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65632" w:rsidRPr="00E96121" w:rsidRDefault="00065632" w:rsidP="00BC79C3">
      <w:pPr>
        <w:rPr>
          <w:sz w:val="20"/>
          <w:szCs w:val="20"/>
        </w:rPr>
      </w:pPr>
      <w:bookmarkStart w:id="0" w:name="_Toc401150092"/>
      <w:bookmarkStart w:id="1" w:name="_Toc223158046"/>
      <w:bookmarkStart w:id="2" w:name="_Toc393879197"/>
    </w:p>
    <w:p w:rsidR="00065632" w:rsidRPr="00E96121" w:rsidRDefault="00065632" w:rsidP="00BC79C3">
      <w:pPr>
        <w:rPr>
          <w:sz w:val="20"/>
          <w:szCs w:val="20"/>
        </w:rPr>
      </w:pPr>
    </w:p>
    <w:p w:rsidR="00065632" w:rsidRPr="00E96121" w:rsidRDefault="00065632" w:rsidP="00BC79C3">
      <w:pPr>
        <w:rPr>
          <w:sz w:val="20"/>
          <w:szCs w:val="20"/>
        </w:rPr>
      </w:pPr>
      <w:bookmarkStart w:id="3" w:name="_Toc127343746"/>
    </w:p>
    <w:p w:rsidR="00065632" w:rsidRPr="00E96121" w:rsidRDefault="00065632" w:rsidP="00BC79C3">
      <w:pPr>
        <w:rPr>
          <w:sz w:val="20"/>
          <w:szCs w:val="20"/>
        </w:rPr>
      </w:pPr>
    </w:p>
    <w:bookmarkEnd w:id="3"/>
    <w:p w:rsidR="00065632" w:rsidRPr="00693AAF" w:rsidRDefault="00560258" w:rsidP="00BC79C3">
      <w:pPr>
        <w:spacing w:before="320"/>
        <w:jc w:val="left"/>
        <w:rPr>
          <w:rFonts w:ascii="Times New Roman" w:hAnsi="Times New Roman" w:cs="Times New Roman"/>
          <w:color w:val="002776"/>
          <w:sz w:val="60"/>
          <w:szCs w:val="60"/>
        </w:rPr>
      </w:pPr>
      <w:r>
        <w:rPr>
          <w:noProof/>
          <w:lang w:val="cs-CZ" w:eastAsia="cs-CZ"/>
        </w:rPr>
        <mc:AlternateContent>
          <mc:Choice Requires="wps">
            <w:drawing>
              <wp:anchor distT="0" distB="0" distL="114300" distR="114300" simplePos="0" relativeHeight="251658752" behindDoc="0" locked="0" layoutInCell="1" allowOverlap="1">
                <wp:simplePos x="0" y="0"/>
                <wp:positionH relativeFrom="column">
                  <wp:posOffset>535940</wp:posOffset>
                </wp:positionH>
                <wp:positionV relativeFrom="paragraph">
                  <wp:posOffset>632460</wp:posOffset>
                </wp:positionV>
                <wp:extent cx="5224145" cy="5770880"/>
                <wp:effectExtent l="0" t="2540" r="0" b="0"/>
                <wp:wrapNone/>
                <wp:docPr id="32" name="Text Box 1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24145" cy="5770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5632" w:rsidRPr="00191710" w:rsidRDefault="00065632" w:rsidP="00271CDF">
                            <w:pPr>
                              <w:jc w:val="left"/>
                              <w:rPr>
                                <w:rFonts w:ascii="Times New Roman" w:hAnsi="Times New Roman" w:cs="Times New Roman"/>
                                <w:color w:val="002776"/>
                                <w:sz w:val="48"/>
                                <w:szCs w:val="48"/>
                              </w:rPr>
                            </w:pPr>
                            <w:r>
                              <w:rPr>
                                <w:rFonts w:ascii="Times New Roman" w:hAnsi="Times New Roman" w:cs="Times New Roman"/>
                                <w:color w:val="002776"/>
                                <w:sz w:val="48"/>
                                <w:szCs w:val="48"/>
                              </w:rPr>
                              <w:t>Ex-ante Assessment of the Use of a Financial Instrument in the IROP</w:t>
                            </w:r>
                          </w:p>
                          <w:p w:rsidR="00065632" w:rsidRPr="00693AAF" w:rsidRDefault="00065632" w:rsidP="00271CDF">
                            <w:pPr>
                              <w:jc w:val="left"/>
                              <w:rPr>
                                <w:rFonts w:ascii="Times New Roman" w:hAnsi="Times New Roman" w:cs="Times New Roman"/>
                                <w:color w:val="92D400"/>
                                <w:sz w:val="48"/>
                                <w:szCs w:val="48"/>
                              </w:rPr>
                            </w:pPr>
                          </w:p>
                          <w:p w:rsidR="00065632" w:rsidRPr="00693AAF" w:rsidRDefault="00065632" w:rsidP="00271CDF">
                            <w:pPr>
                              <w:jc w:val="left"/>
                              <w:rPr>
                                <w:rFonts w:ascii="Times New Roman" w:hAnsi="Times New Roman" w:cs="Times New Roman"/>
                                <w:color w:val="92D400"/>
                                <w:sz w:val="48"/>
                                <w:szCs w:val="48"/>
                              </w:rPr>
                            </w:pPr>
                            <w:r w:rsidRPr="00693AAF">
                              <w:rPr>
                                <w:rFonts w:ascii="Times New Roman" w:hAnsi="Times New Roman" w:cs="Times New Roman"/>
                                <w:color w:val="92D400"/>
                                <w:sz w:val="48"/>
                                <w:szCs w:val="48"/>
                              </w:rPr>
                              <w:t>Ministry of Regional Development</w:t>
                            </w:r>
                          </w:p>
                          <w:p w:rsidR="00065632" w:rsidRPr="00693AAF" w:rsidRDefault="00065632" w:rsidP="00271CDF">
                            <w:pPr>
                              <w:jc w:val="left"/>
                              <w:rPr>
                                <w:rFonts w:ascii="Times New Roman" w:hAnsi="Times New Roman" w:cs="Times New Roman"/>
                                <w:color w:val="92D400"/>
                                <w:sz w:val="28"/>
                                <w:szCs w:val="28"/>
                              </w:rPr>
                            </w:pPr>
                          </w:p>
                          <w:p w:rsidR="00065632" w:rsidRPr="00693AAF" w:rsidRDefault="00065632" w:rsidP="00271CDF">
                            <w:pPr>
                              <w:jc w:val="left"/>
                              <w:rPr>
                                <w:rFonts w:ascii="Times New Roman" w:hAnsi="Times New Roman" w:cs="Times New Roman"/>
                                <w:color w:val="92D400"/>
                                <w:sz w:val="28"/>
                                <w:szCs w:val="28"/>
                              </w:rPr>
                            </w:pPr>
                          </w:p>
                          <w:p w:rsidR="00065632" w:rsidRPr="00693AAF" w:rsidRDefault="00065632" w:rsidP="00271CDF">
                            <w:pPr>
                              <w:jc w:val="left"/>
                              <w:rPr>
                                <w:rFonts w:ascii="Times New Roman" w:hAnsi="Times New Roman" w:cs="Times New Roman"/>
                                <w:color w:val="002776"/>
                                <w:sz w:val="32"/>
                                <w:szCs w:val="32"/>
                              </w:rPr>
                            </w:pPr>
                          </w:p>
                          <w:p w:rsidR="00065632" w:rsidRPr="00693AAF" w:rsidRDefault="00065632" w:rsidP="00271CDF">
                            <w:pPr>
                              <w:jc w:val="left"/>
                              <w:rPr>
                                <w:rFonts w:ascii="Times New Roman" w:hAnsi="Times New Roman" w:cs="Times New Roman"/>
                                <w:color w:val="002776"/>
                                <w:sz w:val="32"/>
                                <w:szCs w:val="32"/>
                              </w:rPr>
                            </w:pPr>
                          </w:p>
                          <w:p w:rsidR="00065632" w:rsidRPr="00693AAF" w:rsidRDefault="00065632" w:rsidP="00271CDF">
                            <w:pPr>
                              <w:jc w:val="left"/>
                              <w:rPr>
                                <w:rFonts w:ascii="Times New Roman" w:hAnsi="Times New Roman" w:cs="Times New Roman"/>
                                <w:color w:val="002776"/>
                                <w:sz w:val="32"/>
                                <w:szCs w:val="32"/>
                              </w:rPr>
                            </w:pPr>
                          </w:p>
                          <w:p w:rsidR="00065632" w:rsidRPr="00693AAF" w:rsidRDefault="00065632" w:rsidP="00271CDF">
                            <w:pPr>
                              <w:jc w:val="left"/>
                              <w:rPr>
                                <w:rFonts w:ascii="Times New Roman" w:hAnsi="Times New Roman" w:cs="Times New Roman"/>
                                <w:b/>
                                <w:bCs/>
                                <w:color w:val="002776"/>
                                <w:sz w:val="48"/>
                                <w:szCs w:val="48"/>
                              </w:rPr>
                            </w:pPr>
                            <w:r w:rsidRPr="00693AAF">
                              <w:rPr>
                                <w:rFonts w:ascii="Times New Roman" w:hAnsi="Times New Roman" w:cs="Times New Roman"/>
                                <w:b/>
                                <w:bCs/>
                                <w:color w:val="002776"/>
                                <w:sz w:val="48"/>
                                <w:szCs w:val="48"/>
                              </w:rPr>
                              <w:t>Final Project Report</w:t>
                            </w:r>
                          </w:p>
                          <w:p w:rsidR="00065632" w:rsidRPr="00693AAF" w:rsidRDefault="00065632" w:rsidP="00271CDF">
                            <w:pPr>
                              <w:jc w:val="left"/>
                              <w:rPr>
                                <w:rFonts w:ascii="Times New Roman" w:hAnsi="Times New Roman" w:cs="Times New Roman"/>
                                <w:color w:val="002776"/>
                                <w:sz w:val="32"/>
                                <w:szCs w:val="32"/>
                              </w:rPr>
                            </w:pPr>
                          </w:p>
                          <w:p w:rsidR="00065632" w:rsidRPr="00693AAF" w:rsidRDefault="00065632" w:rsidP="00271CDF">
                            <w:pPr>
                              <w:jc w:val="left"/>
                              <w:rPr>
                                <w:rFonts w:ascii="Times New Roman" w:hAnsi="Times New Roman" w:cs="Times New Roman"/>
                                <w:color w:val="002776"/>
                                <w:sz w:val="32"/>
                                <w:szCs w:val="32"/>
                              </w:rPr>
                            </w:pPr>
                          </w:p>
                          <w:p w:rsidR="00065632" w:rsidRPr="00693AAF" w:rsidRDefault="00065632" w:rsidP="00271CDF">
                            <w:pPr>
                              <w:jc w:val="left"/>
                              <w:rPr>
                                <w:rFonts w:ascii="Times New Roman" w:hAnsi="Times New Roman" w:cs="Times New Roman"/>
                                <w:color w:val="002776"/>
                                <w:sz w:val="32"/>
                                <w:szCs w:val="32"/>
                              </w:rPr>
                            </w:pPr>
                          </w:p>
                          <w:p w:rsidR="00065632" w:rsidRPr="00693AAF" w:rsidRDefault="00065632" w:rsidP="00BC79C3">
                            <w:pPr>
                              <w:jc w:val="left"/>
                              <w:rPr>
                                <w:rFonts w:ascii="Times New Roman" w:hAnsi="Times New Roman" w:cs="Times New Roman"/>
                                <w:color w:val="002776"/>
                                <w:sz w:val="32"/>
                                <w:szCs w:val="32"/>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00" o:spid="_x0000_s1026" type="#_x0000_t202" style="position:absolute;margin-left:42.2pt;margin-top:49.8pt;width:411.35pt;height:454.4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" filled="f" stroked="f">
                <v:textbox>
                  <w:txbxContent>
                    <w:p w:rsidR="00065632" w:rsidRPr="00191710" w:rsidRDefault="00065632" w:rsidP="00271CDF">
                      <w:pPr>
                        <w:jc w:val="left"/>
                        <w:rPr>
                          <w:rFonts w:ascii="Times New Roman" w:hAnsi="Times New Roman" w:cs="Times New Roman"/>
                          <w:color w:val="002776"/>
                          <w:sz w:val="48"/>
                          <w:szCs w:val="48"/>
                        </w:rPr>
                      </w:pPr>
                      <w:r>
                        <w:rPr>
                          <w:rFonts w:ascii="Times New Roman" w:hAnsi="Times New Roman" w:cs="Times New Roman"/>
                          <w:color w:val="002776"/>
                          <w:sz w:val="48"/>
                          <w:szCs w:val="48"/>
                        </w:rPr>
                        <w:t>Ex-ante Assessment of the Use of a Financial Instrument in the IROP</w:t>
                      </w:r>
                    </w:p>
                    <w:p w:rsidR="00065632" w:rsidRPr="00693AAF" w:rsidRDefault="00065632" w:rsidP="00271CDF">
                      <w:pPr>
                        <w:jc w:val="left"/>
                        <w:rPr>
                          <w:rFonts w:ascii="Times New Roman" w:hAnsi="Times New Roman" w:cs="Times New Roman"/>
                          <w:color w:val="92D400"/>
                          <w:sz w:val="48"/>
                          <w:szCs w:val="48"/>
                        </w:rPr>
                      </w:pPr>
                    </w:p>
                    <w:p w:rsidR="00065632" w:rsidRPr="00693AAF" w:rsidRDefault="00065632" w:rsidP="00271CDF">
                      <w:pPr>
                        <w:jc w:val="left"/>
                        <w:rPr>
                          <w:rFonts w:ascii="Times New Roman" w:hAnsi="Times New Roman" w:cs="Times New Roman"/>
                          <w:color w:val="92D400"/>
                          <w:sz w:val="48"/>
                          <w:szCs w:val="48"/>
                        </w:rPr>
                      </w:pPr>
                      <w:r w:rsidRPr="00693AAF">
                        <w:rPr>
                          <w:rFonts w:ascii="Times New Roman" w:hAnsi="Times New Roman" w:cs="Times New Roman"/>
                          <w:color w:val="92D400"/>
                          <w:sz w:val="48"/>
                          <w:szCs w:val="48"/>
                        </w:rPr>
                        <w:t>Ministry of Regional Development</w:t>
                      </w:r>
                    </w:p>
                    <w:p w:rsidR="00065632" w:rsidRPr="00693AAF" w:rsidRDefault="00065632" w:rsidP="00271CDF">
                      <w:pPr>
                        <w:jc w:val="left"/>
                        <w:rPr>
                          <w:rFonts w:ascii="Times New Roman" w:hAnsi="Times New Roman" w:cs="Times New Roman"/>
                          <w:color w:val="92D400"/>
                          <w:sz w:val="28"/>
                          <w:szCs w:val="28"/>
                        </w:rPr>
                      </w:pPr>
                    </w:p>
                    <w:p w:rsidR="00065632" w:rsidRPr="00693AAF" w:rsidRDefault="00065632" w:rsidP="00271CDF">
                      <w:pPr>
                        <w:jc w:val="left"/>
                        <w:rPr>
                          <w:rFonts w:ascii="Times New Roman" w:hAnsi="Times New Roman" w:cs="Times New Roman"/>
                          <w:color w:val="92D400"/>
                          <w:sz w:val="28"/>
                          <w:szCs w:val="28"/>
                        </w:rPr>
                      </w:pPr>
                    </w:p>
                    <w:p w:rsidR="00065632" w:rsidRPr="00693AAF" w:rsidRDefault="00065632" w:rsidP="00271CDF">
                      <w:pPr>
                        <w:jc w:val="left"/>
                        <w:rPr>
                          <w:rFonts w:ascii="Times New Roman" w:hAnsi="Times New Roman" w:cs="Times New Roman"/>
                          <w:color w:val="002776"/>
                          <w:sz w:val="32"/>
                          <w:szCs w:val="32"/>
                        </w:rPr>
                      </w:pPr>
                    </w:p>
                    <w:p w:rsidR="00065632" w:rsidRPr="00693AAF" w:rsidRDefault="00065632" w:rsidP="00271CDF">
                      <w:pPr>
                        <w:jc w:val="left"/>
                        <w:rPr>
                          <w:rFonts w:ascii="Times New Roman" w:hAnsi="Times New Roman" w:cs="Times New Roman"/>
                          <w:color w:val="002776"/>
                          <w:sz w:val="32"/>
                          <w:szCs w:val="32"/>
                        </w:rPr>
                      </w:pPr>
                    </w:p>
                    <w:p w:rsidR="00065632" w:rsidRPr="00693AAF" w:rsidRDefault="00065632" w:rsidP="00271CDF">
                      <w:pPr>
                        <w:jc w:val="left"/>
                        <w:rPr>
                          <w:rFonts w:ascii="Times New Roman" w:hAnsi="Times New Roman" w:cs="Times New Roman"/>
                          <w:color w:val="002776"/>
                          <w:sz w:val="32"/>
                          <w:szCs w:val="32"/>
                        </w:rPr>
                      </w:pPr>
                    </w:p>
                    <w:p w:rsidR="00065632" w:rsidRPr="00693AAF" w:rsidRDefault="00065632" w:rsidP="00271CDF">
                      <w:pPr>
                        <w:jc w:val="left"/>
                        <w:rPr>
                          <w:rFonts w:ascii="Times New Roman" w:hAnsi="Times New Roman" w:cs="Times New Roman"/>
                          <w:b/>
                          <w:bCs/>
                          <w:color w:val="002776"/>
                          <w:sz w:val="48"/>
                          <w:szCs w:val="48"/>
                        </w:rPr>
                      </w:pPr>
                      <w:r w:rsidRPr="00693AAF">
                        <w:rPr>
                          <w:rFonts w:ascii="Times New Roman" w:hAnsi="Times New Roman" w:cs="Times New Roman"/>
                          <w:b/>
                          <w:bCs/>
                          <w:color w:val="002776"/>
                          <w:sz w:val="48"/>
                          <w:szCs w:val="48"/>
                        </w:rPr>
                        <w:t>Final Project Report</w:t>
                      </w:r>
                    </w:p>
                    <w:p w:rsidR="00065632" w:rsidRPr="00693AAF" w:rsidRDefault="00065632" w:rsidP="00271CDF">
                      <w:pPr>
                        <w:jc w:val="left"/>
                        <w:rPr>
                          <w:rFonts w:ascii="Times New Roman" w:hAnsi="Times New Roman" w:cs="Times New Roman"/>
                          <w:color w:val="002776"/>
                          <w:sz w:val="32"/>
                          <w:szCs w:val="32"/>
                        </w:rPr>
                      </w:pPr>
                    </w:p>
                    <w:p w:rsidR="00065632" w:rsidRPr="00693AAF" w:rsidRDefault="00065632" w:rsidP="00271CDF">
                      <w:pPr>
                        <w:jc w:val="left"/>
                        <w:rPr>
                          <w:rFonts w:ascii="Times New Roman" w:hAnsi="Times New Roman" w:cs="Times New Roman"/>
                          <w:color w:val="002776"/>
                          <w:sz w:val="32"/>
                          <w:szCs w:val="32"/>
                        </w:rPr>
                      </w:pPr>
                    </w:p>
                    <w:p w:rsidR="00065632" w:rsidRPr="00693AAF" w:rsidRDefault="00065632" w:rsidP="00271CDF">
                      <w:pPr>
                        <w:jc w:val="left"/>
                        <w:rPr>
                          <w:rFonts w:ascii="Times New Roman" w:hAnsi="Times New Roman" w:cs="Times New Roman"/>
                          <w:color w:val="002776"/>
                          <w:sz w:val="32"/>
                          <w:szCs w:val="32"/>
                        </w:rPr>
                      </w:pPr>
                    </w:p>
                    <w:p w:rsidR="00065632" w:rsidRPr="00693AAF" w:rsidRDefault="00065632" w:rsidP="00BC79C3">
                      <w:pPr>
                        <w:jc w:val="left"/>
                        <w:rPr>
                          <w:rFonts w:ascii="Times New Roman" w:hAnsi="Times New Roman" w:cs="Times New Roman"/>
                          <w:color w:val="002776"/>
                          <w:sz w:val="32"/>
                          <w:szCs w:val="32"/>
                        </w:rPr>
                      </w:pPr>
                    </w:p>
                  </w:txbxContent>
                </v:textbox>
              </v:shape>
            </w:pict>
          </mc:Fallback>
        </mc:AlternateContent>
      </w:r>
    </w:p>
    <w:p w:rsidR="00065632" w:rsidRPr="004843FD" w:rsidRDefault="00065632" w:rsidP="00BC79C3"/>
    <w:p w:rsidR="00065632" w:rsidRPr="004843FD" w:rsidRDefault="00560258" w:rsidP="00BC79C3">
      <w:r>
        <w:rPr>
          <w:noProof/>
          <w:lang w:val="cs-CZ" w:eastAsia="cs-CZ"/>
        </w:rPr>
        <w:drawing>
          <wp:anchor distT="0" distB="0" distL="114300" distR="114300" simplePos="0" relativeHeight="251656704" behindDoc="0" locked="0" layoutInCell="1" allowOverlap="1">
            <wp:simplePos x="0" y="0"/>
            <wp:positionH relativeFrom="column">
              <wp:posOffset>3051810</wp:posOffset>
            </wp:positionH>
            <wp:positionV relativeFrom="paragraph">
              <wp:posOffset>6725285</wp:posOffset>
            </wp:positionV>
            <wp:extent cx="2257425" cy="428625"/>
            <wp:effectExtent l="0" t="0" r="0" b="9525"/>
            <wp:wrapNone/>
            <wp:docPr id="31" name="Picture 15" descr="Deloitte_no_backgroun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eloitte_no_background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57425" cy="428625"/>
                    </a:xfrm>
                    <a:prstGeom prst="rect">
                      <a:avLst/>
                    </a:prstGeom>
                    <a:noFill/>
                  </pic:spPr>
                </pic:pic>
              </a:graphicData>
            </a:graphic>
            <wp14:sizeRelH relativeFrom="page">
              <wp14:pctWidth>0</wp14:pctWidth>
            </wp14:sizeRelH>
            <wp14:sizeRelV relativeFrom="page">
              <wp14:pctHeight>0</wp14:pctHeight>
            </wp14:sizeRelV>
          </wp:anchor>
        </w:drawing>
      </w:r>
      <w:r>
        <w:rPr>
          <w:noProof/>
          <w:lang w:val="cs-CZ" w:eastAsia="cs-CZ"/>
        </w:rPr>
        <mc:AlternateContent>
          <mc:Choice Requires="wps">
            <w:drawing>
              <wp:anchor distT="0" distB="0" distL="114300" distR="114300" simplePos="0" relativeHeight="251657728" behindDoc="0" locked="0" layoutInCell="1" allowOverlap="1">
                <wp:simplePos x="0" y="0"/>
                <wp:positionH relativeFrom="column">
                  <wp:posOffset>-71120</wp:posOffset>
                </wp:positionH>
                <wp:positionV relativeFrom="paragraph">
                  <wp:posOffset>6885940</wp:posOffset>
                </wp:positionV>
                <wp:extent cx="1934845" cy="680720"/>
                <wp:effectExtent l="635" t="0" r="0" b="0"/>
                <wp:wrapNone/>
                <wp:docPr id="3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34845" cy="680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65632" w:rsidRPr="00693AAF" w:rsidRDefault="00065632" w:rsidP="00BC79C3">
                            <w:pPr>
                              <w:pStyle w:val="BodyText1"/>
                              <w:spacing w:before="120" w:after="240"/>
                              <w:rPr>
                                <w:b/>
                                <w:bCs/>
                                <w:color w:val="002776"/>
                                <w:sz w:val="20"/>
                                <w:szCs w:val="20"/>
                              </w:rPr>
                            </w:pPr>
                            <w:r w:rsidRPr="00693AAF">
                              <w:rPr>
                                <w:b/>
                                <w:bCs/>
                                <w:color w:val="002776"/>
                                <w:sz w:val="20"/>
                                <w:szCs w:val="20"/>
                              </w:rPr>
                              <w:t>3 March 2015</w:t>
                            </w:r>
                          </w:p>
                          <w:p w:rsidR="00065632" w:rsidRDefault="00065632" w:rsidP="00BC79C3">
                            <w:pPr>
                              <w:jc w:val="left"/>
                            </w:pP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 o:spid="_x0000_s1027" type="#_x0000_t202" style="position:absolute;left:0;text-align:left;margin-left:-5.6pt;margin-top:542.2pt;width:152.35pt;height:53.6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" stroked="f">
                <v:textbox style="mso-fit-shape-to-text:t">
                  <w:txbxContent>
                    <w:p w:rsidR="00065632" w:rsidRPr="00693AAF" w:rsidRDefault="00065632" w:rsidP="00BC79C3">
                      <w:pPr>
                        <w:pStyle w:val="BodyText1"/>
                        <w:spacing w:before="120" w:after="240"/>
                        <w:rPr>
                          <w:b/>
                          <w:bCs/>
                          <w:color w:val="002776"/>
                          <w:sz w:val="20"/>
                          <w:szCs w:val="20"/>
                        </w:rPr>
                      </w:pPr>
                      <w:r w:rsidRPr="00693AAF">
                        <w:rPr>
                          <w:b/>
                          <w:bCs/>
                          <w:color w:val="002776"/>
                          <w:sz w:val="20"/>
                          <w:szCs w:val="20"/>
                        </w:rPr>
                        <w:t>3 March 2015</w:t>
                      </w:r>
                    </w:p>
                    <w:p w:rsidR="00065632" w:rsidRDefault="00065632" w:rsidP="00BC79C3">
                      <w:pPr>
                        <w:jc w:val="left"/>
                      </w:pPr>
                    </w:p>
                  </w:txbxContent>
                </v:textbox>
              </v:shape>
            </w:pict>
          </mc:Fallback>
        </mc:AlternateContent>
      </w:r>
    </w:p>
    <w:p w:rsidR="00065632" w:rsidRPr="004843FD" w:rsidRDefault="00065632" w:rsidP="00BC79C3">
      <w:pPr>
        <w:sectPr w:rsidR="00065632" w:rsidRPr="004843FD" w:rsidSect="00BC79C3">
          <w:headerReference w:type="default" r:id="rId9"/>
          <w:footerReference w:type="default" r:id="rId10"/>
          <w:headerReference w:type="first" r:id="rId11"/>
          <w:footerReference w:type="first" r:id="rId12"/>
          <w:pgSz w:w="11906" w:h="16838" w:code="9"/>
          <w:pgMar w:top="1418" w:right="1418" w:bottom="1418" w:left="1418" w:header="142" w:footer="709" w:gutter="0"/>
          <w:paperSrc w:first="15" w:other="15"/>
          <w:cols w:space="708"/>
          <w:titlePg/>
          <w:docGrid w:linePitch="360"/>
        </w:sectPr>
      </w:pPr>
    </w:p>
    <w:p w:rsidR="00065632" w:rsidRPr="004843FD" w:rsidRDefault="00065632" w:rsidP="00BC79C3">
      <w:pPr>
        <w:spacing w:after="360"/>
        <w:rPr>
          <w:rFonts w:ascii="Times New Roman" w:hAnsi="Times New Roman" w:cs="Times New Roman"/>
          <w:color w:val="002060"/>
          <w:sz w:val="56"/>
          <w:szCs w:val="56"/>
        </w:rPr>
      </w:pPr>
      <w:bookmarkStart w:id="4" w:name="_Toc426033642"/>
      <w:r>
        <w:rPr>
          <w:rStyle w:val="Nadpis1Char"/>
        </w:rPr>
        <w:lastRenderedPageBreak/>
        <w:t>Table of contents</w:t>
      </w:r>
      <w:bookmarkEnd w:id="4"/>
    </w:p>
    <w:p w:rsidR="00560258" w:rsidRDefault="00065632">
      <w:pPr>
        <w:pStyle w:val="Obsah1"/>
        <w:tabs>
          <w:tab w:val="right" w:leader="dot" w:pos="10457"/>
        </w:tabs>
        <w:rPr>
          <w:rFonts w:asciiTheme="minorHAnsi" w:eastAsiaTheme="minorEastAsia" w:hAnsiTheme="minorHAnsi" w:cstheme="minorBidi"/>
          <w:noProof/>
          <w:sz w:val="22"/>
          <w:szCs w:val="22"/>
          <w:lang w:val="cs-CZ" w:eastAsia="cs-CZ"/>
        </w:rPr>
      </w:pPr>
      <w:r w:rsidRPr="004843FD">
        <w:fldChar w:fldCharType="begin"/>
      </w:r>
      <w:r w:rsidRPr="004843FD">
        <w:instrText xml:space="preserve"> TOC \o "1-3" \h \z \u </w:instrText>
      </w:r>
      <w:r w:rsidRPr="004843FD">
        <w:fldChar w:fldCharType="separate"/>
      </w:r>
      <w:hyperlink w:anchor="_Toc426033642" w:history="1">
        <w:r w:rsidR="00560258" w:rsidRPr="00B0116D">
          <w:rPr>
            <w:rStyle w:val="Hypertextovodkaz"/>
            <w:noProof/>
          </w:rPr>
          <w:t>Table of contents</w:t>
        </w:r>
        <w:r w:rsidR="00560258">
          <w:rPr>
            <w:noProof/>
            <w:webHidden/>
          </w:rPr>
          <w:tab/>
        </w:r>
        <w:r w:rsidR="00560258">
          <w:rPr>
            <w:noProof/>
            <w:webHidden/>
          </w:rPr>
          <w:fldChar w:fldCharType="begin"/>
        </w:r>
        <w:r w:rsidR="00560258">
          <w:rPr>
            <w:noProof/>
            <w:webHidden/>
          </w:rPr>
          <w:instrText xml:space="preserve"> PAGEREF _Toc426033642 \h </w:instrText>
        </w:r>
        <w:r w:rsidR="00560258">
          <w:rPr>
            <w:noProof/>
            <w:webHidden/>
          </w:rPr>
        </w:r>
        <w:r w:rsidR="00560258">
          <w:rPr>
            <w:noProof/>
            <w:webHidden/>
          </w:rPr>
          <w:fldChar w:fldCharType="separate"/>
        </w:r>
        <w:r w:rsidR="007C5202">
          <w:rPr>
            <w:noProof/>
            <w:webHidden/>
          </w:rPr>
          <w:t>2</w:t>
        </w:r>
        <w:r w:rsidR="00560258">
          <w:rPr>
            <w:noProof/>
            <w:webHidden/>
          </w:rPr>
          <w:fldChar w:fldCharType="end"/>
        </w:r>
      </w:hyperlink>
    </w:p>
    <w:p w:rsidR="00560258" w:rsidRDefault="00560258">
      <w:pPr>
        <w:pStyle w:val="Obsah1"/>
        <w:tabs>
          <w:tab w:val="right" w:leader="dot" w:pos="10457"/>
        </w:tabs>
        <w:rPr>
          <w:rFonts w:asciiTheme="minorHAnsi" w:eastAsiaTheme="minorEastAsia" w:hAnsiTheme="minorHAnsi" w:cstheme="minorBidi"/>
          <w:noProof/>
          <w:sz w:val="22"/>
          <w:szCs w:val="22"/>
          <w:lang w:val="cs-CZ" w:eastAsia="cs-CZ"/>
        </w:rPr>
      </w:pPr>
      <w:hyperlink w:anchor="_Toc426033643" w:history="1">
        <w:r w:rsidRPr="00B0116D">
          <w:rPr>
            <w:rStyle w:val="Hypertextovodkaz"/>
            <w:noProof/>
          </w:rPr>
          <w:t>List of abbre</w:t>
        </w:r>
        <w:bookmarkStart w:id="5" w:name="_GoBack"/>
        <w:bookmarkEnd w:id="5"/>
        <w:r w:rsidRPr="00B0116D">
          <w:rPr>
            <w:rStyle w:val="Hypertextovodkaz"/>
            <w:noProof/>
          </w:rPr>
          <w:t>viations</w:t>
        </w:r>
        <w:r>
          <w:rPr>
            <w:noProof/>
            <w:webHidden/>
          </w:rPr>
          <w:tab/>
        </w:r>
        <w:r>
          <w:rPr>
            <w:noProof/>
            <w:webHidden/>
          </w:rPr>
          <w:fldChar w:fldCharType="begin"/>
        </w:r>
        <w:r>
          <w:rPr>
            <w:noProof/>
            <w:webHidden/>
          </w:rPr>
          <w:instrText xml:space="preserve"> PAGEREF _Toc426033643 \h </w:instrText>
        </w:r>
        <w:r>
          <w:rPr>
            <w:noProof/>
            <w:webHidden/>
          </w:rPr>
        </w:r>
        <w:r>
          <w:rPr>
            <w:noProof/>
            <w:webHidden/>
          </w:rPr>
          <w:fldChar w:fldCharType="separate"/>
        </w:r>
        <w:r w:rsidR="007C5202">
          <w:rPr>
            <w:noProof/>
            <w:webHidden/>
          </w:rPr>
          <w:t>4</w:t>
        </w:r>
        <w:r>
          <w:rPr>
            <w:noProof/>
            <w:webHidden/>
          </w:rPr>
          <w:fldChar w:fldCharType="end"/>
        </w:r>
      </w:hyperlink>
    </w:p>
    <w:p w:rsidR="00560258" w:rsidRDefault="00560258">
      <w:pPr>
        <w:pStyle w:val="Obsah1"/>
        <w:tabs>
          <w:tab w:val="right" w:leader="dot" w:pos="10457"/>
        </w:tabs>
        <w:rPr>
          <w:rFonts w:asciiTheme="minorHAnsi" w:eastAsiaTheme="minorEastAsia" w:hAnsiTheme="minorHAnsi" w:cstheme="minorBidi"/>
          <w:noProof/>
          <w:sz w:val="22"/>
          <w:szCs w:val="22"/>
          <w:lang w:val="cs-CZ" w:eastAsia="cs-CZ"/>
        </w:rPr>
      </w:pPr>
      <w:hyperlink w:anchor="_Toc426033644" w:history="1">
        <w:r w:rsidRPr="00B0116D">
          <w:rPr>
            <w:rStyle w:val="Hypertextovodkaz"/>
            <w:noProof/>
          </w:rPr>
          <w:t>1</w:t>
        </w:r>
        <w:r>
          <w:rPr>
            <w:rFonts w:asciiTheme="minorHAnsi" w:eastAsiaTheme="minorEastAsia" w:hAnsiTheme="minorHAnsi" w:cstheme="minorBidi"/>
            <w:noProof/>
            <w:sz w:val="22"/>
            <w:szCs w:val="22"/>
            <w:lang w:val="cs-CZ" w:eastAsia="cs-CZ"/>
          </w:rPr>
          <w:tab/>
        </w:r>
        <w:r w:rsidRPr="00B0116D">
          <w:rPr>
            <w:rStyle w:val="Hypertextovodkaz"/>
            <w:noProof/>
          </w:rPr>
          <w:t>Executive Summary</w:t>
        </w:r>
        <w:r>
          <w:rPr>
            <w:noProof/>
            <w:webHidden/>
          </w:rPr>
          <w:tab/>
        </w:r>
        <w:r>
          <w:rPr>
            <w:noProof/>
            <w:webHidden/>
          </w:rPr>
          <w:fldChar w:fldCharType="begin"/>
        </w:r>
        <w:r>
          <w:rPr>
            <w:noProof/>
            <w:webHidden/>
          </w:rPr>
          <w:instrText xml:space="preserve"> PAGEREF _Toc426033644 \h </w:instrText>
        </w:r>
        <w:r>
          <w:rPr>
            <w:noProof/>
            <w:webHidden/>
          </w:rPr>
        </w:r>
        <w:r>
          <w:rPr>
            <w:noProof/>
            <w:webHidden/>
          </w:rPr>
          <w:fldChar w:fldCharType="separate"/>
        </w:r>
        <w:r w:rsidR="007C5202">
          <w:rPr>
            <w:noProof/>
            <w:webHidden/>
          </w:rPr>
          <w:t>6</w:t>
        </w:r>
        <w:r>
          <w:rPr>
            <w:noProof/>
            <w:webHidden/>
          </w:rPr>
          <w:fldChar w:fldCharType="end"/>
        </w:r>
      </w:hyperlink>
    </w:p>
    <w:p w:rsidR="00560258" w:rsidRDefault="00560258">
      <w:pPr>
        <w:pStyle w:val="Obsah1"/>
        <w:tabs>
          <w:tab w:val="right" w:leader="dot" w:pos="10457"/>
        </w:tabs>
        <w:rPr>
          <w:rFonts w:asciiTheme="minorHAnsi" w:eastAsiaTheme="minorEastAsia" w:hAnsiTheme="minorHAnsi" w:cstheme="minorBidi"/>
          <w:noProof/>
          <w:sz w:val="22"/>
          <w:szCs w:val="22"/>
          <w:lang w:val="cs-CZ" w:eastAsia="cs-CZ"/>
        </w:rPr>
      </w:pPr>
      <w:hyperlink w:anchor="_Toc426033645" w:history="1">
        <w:r w:rsidRPr="00B0116D">
          <w:rPr>
            <w:rStyle w:val="Hypertextovodkaz"/>
            <w:noProof/>
          </w:rPr>
          <w:t>2</w:t>
        </w:r>
        <w:r>
          <w:rPr>
            <w:rFonts w:asciiTheme="minorHAnsi" w:eastAsiaTheme="minorEastAsia" w:hAnsiTheme="minorHAnsi" w:cstheme="minorBidi"/>
            <w:noProof/>
            <w:sz w:val="22"/>
            <w:szCs w:val="22"/>
            <w:lang w:val="cs-CZ" w:eastAsia="cs-CZ"/>
          </w:rPr>
          <w:tab/>
        </w:r>
        <w:r w:rsidRPr="00B0116D">
          <w:rPr>
            <w:rStyle w:val="Hypertextovodkaz"/>
            <w:noProof/>
          </w:rPr>
          <w:t>Methodology procedure</w:t>
        </w:r>
        <w:r>
          <w:rPr>
            <w:noProof/>
            <w:webHidden/>
          </w:rPr>
          <w:tab/>
        </w:r>
        <w:r>
          <w:rPr>
            <w:noProof/>
            <w:webHidden/>
          </w:rPr>
          <w:fldChar w:fldCharType="begin"/>
        </w:r>
        <w:r>
          <w:rPr>
            <w:noProof/>
            <w:webHidden/>
          </w:rPr>
          <w:instrText xml:space="preserve"> PAGEREF _Toc426033645 \h </w:instrText>
        </w:r>
        <w:r>
          <w:rPr>
            <w:noProof/>
            <w:webHidden/>
          </w:rPr>
        </w:r>
        <w:r>
          <w:rPr>
            <w:noProof/>
            <w:webHidden/>
          </w:rPr>
          <w:fldChar w:fldCharType="separate"/>
        </w:r>
        <w:r w:rsidR="007C5202">
          <w:rPr>
            <w:noProof/>
            <w:webHidden/>
          </w:rPr>
          <w:t>13</w:t>
        </w:r>
        <w:r>
          <w:rPr>
            <w:noProof/>
            <w:webHidden/>
          </w:rPr>
          <w:fldChar w:fldCharType="end"/>
        </w:r>
      </w:hyperlink>
    </w:p>
    <w:p w:rsidR="00560258" w:rsidRDefault="00560258">
      <w:pPr>
        <w:pStyle w:val="Obsah1"/>
        <w:tabs>
          <w:tab w:val="right" w:leader="dot" w:pos="10457"/>
        </w:tabs>
        <w:rPr>
          <w:rFonts w:asciiTheme="minorHAnsi" w:eastAsiaTheme="minorEastAsia" w:hAnsiTheme="minorHAnsi" w:cstheme="minorBidi"/>
          <w:noProof/>
          <w:sz w:val="22"/>
          <w:szCs w:val="22"/>
          <w:lang w:val="cs-CZ" w:eastAsia="cs-CZ"/>
        </w:rPr>
      </w:pPr>
      <w:hyperlink w:anchor="_Toc426033646" w:history="1">
        <w:r w:rsidRPr="00B0116D">
          <w:rPr>
            <w:rStyle w:val="Hypertextovodkaz"/>
            <w:noProof/>
          </w:rPr>
          <w:t>3</w:t>
        </w:r>
        <w:r>
          <w:rPr>
            <w:rFonts w:asciiTheme="minorHAnsi" w:eastAsiaTheme="minorEastAsia" w:hAnsiTheme="minorHAnsi" w:cstheme="minorBidi"/>
            <w:noProof/>
            <w:sz w:val="22"/>
            <w:szCs w:val="22"/>
            <w:lang w:val="cs-CZ" w:eastAsia="cs-CZ"/>
          </w:rPr>
          <w:tab/>
        </w:r>
        <w:r w:rsidRPr="00B0116D">
          <w:rPr>
            <w:rStyle w:val="Hypertextovodkaz"/>
            <w:noProof/>
          </w:rPr>
          <w:t>Possibilities for use of IFIs</w:t>
        </w:r>
        <w:r>
          <w:rPr>
            <w:noProof/>
            <w:webHidden/>
          </w:rPr>
          <w:tab/>
        </w:r>
        <w:r>
          <w:rPr>
            <w:noProof/>
            <w:webHidden/>
          </w:rPr>
          <w:fldChar w:fldCharType="begin"/>
        </w:r>
        <w:r>
          <w:rPr>
            <w:noProof/>
            <w:webHidden/>
          </w:rPr>
          <w:instrText xml:space="preserve"> PAGEREF _Toc426033646 \h </w:instrText>
        </w:r>
        <w:r>
          <w:rPr>
            <w:noProof/>
            <w:webHidden/>
          </w:rPr>
        </w:r>
        <w:r>
          <w:rPr>
            <w:noProof/>
            <w:webHidden/>
          </w:rPr>
          <w:fldChar w:fldCharType="separate"/>
        </w:r>
        <w:r w:rsidR="007C5202">
          <w:rPr>
            <w:noProof/>
            <w:webHidden/>
          </w:rPr>
          <w:t>15</w:t>
        </w:r>
        <w:r>
          <w:rPr>
            <w:noProof/>
            <w:webHidden/>
          </w:rPr>
          <w:fldChar w:fldCharType="end"/>
        </w:r>
      </w:hyperlink>
    </w:p>
    <w:p w:rsidR="00560258" w:rsidRDefault="00560258">
      <w:pPr>
        <w:pStyle w:val="Obsah2"/>
        <w:tabs>
          <w:tab w:val="right" w:leader="dot" w:pos="10457"/>
        </w:tabs>
        <w:rPr>
          <w:rFonts w:asciiTheme="minorHAnsi" w:eastAsiaTheme="minorEastAsia" w:hAnsiTheme="minorHAnsi" w:cstheme="minorBidi"/>
          <w:noProof/>
          <w:sz w:val="22"/>
          <w:szCs w:val="22"/>
          <w:lang w:val="cs-CZ" w:eastAsia="cs-CZ"/>
        </w:rPr>
      </w:pPr>
      <w:hyperlink w:anchor="_Toc426033647" w:history="1">
        <w:r w:rsidRPr="00B0116D">
          <w:rPr>
            <w:rStyle w:val="Hypertextovodkaz"/>
            <w:noProof/>
          </w:rPr>
          <w:t>3.1</w:t>
        </w:r>
        <w:r>
          <w:rPr>
            <w:rFonts w:asciiTheme="minorHAnsi" w:eastAsiaTheme="minorEastAsia" w:hAnsiTheme="minorHAnsi" w:cstheme="minorBidi"/>
            <w:noProof/>
            <w:sz w:val="22"/>
            <w:szCs w:val="22"/>
            <w:lang w:val="cs-CZ" w:eastAsia="cs-CZ"/>
          </w:rPr>
          <w:tab/>
        </w:r>
        <w:r w:rsidRPr="00B0116D">
          <w:rPr>
            <w:rStyle w:val="Hypertextovodkaz"/>
            <w:noProof/>
          </w:rPr>
          <w:t>Innovative financial instruments</w:t>
        </w:r>
        <w:r>
          <w:rPr>
            <w:noProof/>
            <w:webHidden/>
          </w:rPr>
          <w:tab/>
        </w:r>
        <w:r>
          <w:rPr>
            <w:noProof/>
            <w:webHidden/>
          </w:rPr>
          <w:fldChar w:fldCharType="begin"/>
        </w:r>
        <w:r>
          <w:rPr>
            <w:noProof/>
            <w:webHidden/>
          </w:rPr>
          <w:instrText xml:space="preserve"> PAGEREF _Toc426033647 \h </w:instrText>
        </w:r>
        <w:r>
          <w:rPr>
            <w:noProof/>
            <w:webHidden/>
          </w:rPr>
        </w:r>
        <w:r>
          <w:rPr>
            <w:noProof/>
            <w:webHidden/>
          </w:rPr>
          <w:fldChar w:fldCharType="separate"/>
        </w:r>
        <w:r w:rsidR="007C5202">
          <w:rPr>
            <w:noProof/>
            <w:webHidden/>
          </w:rPr>
          <w:t>15</w:t>
        </w:r>
        <w:r>
          <w:rPr>
            <w:noProof/>
            <w:webHidden/>
          </w:rPr>
          <w:fldChar w:fldCharType="end"/>
        </w:r>
      </w:hyperlink>
    </w:p>
    <w:p w:rsidR="00560258" w:rsidRDefault="00560258">
      <w:pPr>
        <w:pStyle w:val="Obsah2"/>
        <w:tabs>
          <w:tab w:val="right" w:leader="dot" w:pos="10457"/>
        </w:tabs>
        <w:rPr>
          <w:rFonts w:asciiTheme="minorHAnsi" w:eastAsiaTheme="minorEastAsia" w:hAnsiTheme="minorHAnsi" w:cstheme="minorBidi"/>
          <w:noProof/>
          <w:sz w:val="22"/>
          <w:szCs w:val="22"/>
          <w:lang w:val="cs-CZ" w:eastAsia="cs-CZ"/>
        </w:rPr>
      </w:pPr>
      <w:hyperlink w:anchor="_Toc426033648" w:history="1">
        <w:r w:rsidRPr="00B0116D">
          <w:rPr>
            <w:rStyle w:val="Hypertextovodkaz"/>
            <w:noProof/>
          </w:rPr>
          <w:t>3.2</w:t>
        </w:r>
        <w:r>
          <w:rPr>
            <w:rFonts w:asciiTheme="minorHAnsi" w:eastAsiaTheme="minorEastAsia" w:hAnsiTheme="minorHAnsi" w:cstheme="minorBidi"/>
            <w:noProof/>
            <w:sz w:val="22"/>
            <w:szCs w:val="22"/>
            <w:lang w:val="cs-CZ" w:eastAsia="cs-CZ"/>
          </w:rPr>
          <w:tab/>
        </w:r>
        <w:r w:rsidRPr="00B0116D">
          <w:rPr>
            <w:rStyle w:val="Hypertextovodkaz"/>
            <w:noProof/>
          </w:rPr>
          <w:t>Comparing IFIs with grant financing</w:t>
        </w:r>
        <w:r>
          <w:rPr>
            <w:noProof/>
            <w:webHidden/>
          </w:rPr>
          <w:tab/>
        </w:r>
        <w:r>
          <w:rPr>
            <w:noProof/>
            <w:webHidden/>
          </w:rPr>
          <w:fldChar w:fldCharType="begin"/>
        </w:r>
        <w:r>
          <w:rPr>
            <w:noProof/>
            <w:webHidden/>
          </w:rPr>
          <w:instrText xml:space="preserve"> PAGEREF _Toc426033648 \h </w:instrText>
        </w:r>
        <w:r>
          <w:rPr>
            <w:noProof/>
            <w:webHidden/>
          </w:rPr>
        </w:r>
        <w:r>
          <w:rPr>
            <w:noProof/>
            <w:webHidden/>
          </w:rPr>
          <w:fldChar w:fldCharType="separate"/>
        </w:r>
        <w:r w:rsidR="007C5202">
          <w:rPr>
            <w:noProof/>
            <w:webHidden/>
          </w:rPr>
          <w:t>16</w:t>
        </w:r>
        <w:r>
          <w:rPr>
            <w:noProof/>
            <w:webHidden/>
          </w:rPr>
          <w:fldChar w:fldCharType="end"/>
        </w:r>
      </w:hyperlink>
    </w:p>
    <w:p w:rsidR="00560258" w:rsidRDefault="00560258">
      <w:pPr>
        <w:pStyle w:val="Obsah1"/>
        <w:tabs>
          <w:tab w:val="right" w:leader="dot" w:pos="10457"/>
        </w:tabs>
        <w:rPr>
          <w:rFonts w:asciiTheme="minorHAnsi" w:eastAsiaTheme="minorEastAsia" w:hAnsiTheme="minorHAnsi" w:cstheme="minorBidi"/>
          <w:noProof/>
          <w:sz w:val="22"/>
          <w:szCs w:val="22"/>
          <w:lang w:val="cs-CZ" w:eastAsia="cs-CZ"/>
        </w:rPr>
      </w:pPr>
      <w:hyperlink w:anchor="_Toc426033649" w:history="1">
        <w:r w:rsidRPr="00B0116D">
          <w:rPr>
            <w:rStyle w:val="Hypertextovodkaz"/>
            <w:noProof/>
          </w:rPr>
          <w:t>4</w:t>
        </w:r>
        <w:r>
          <w:rPr>
            <w:rFonts w:asciiTheme="minorHAnsi" w:eastAsiaTheme="minorEastAsia" w:hAnsiTheme="minorHAnsi" w:cstheme="minorBidi"/>
            <w:noProof/>
            <w:sz w:val="22"/>
            <w:szCs w:val="22"/>
            <w:lang w:val="cs-CZ" w:eastAsia="cs-CZ"/>
          </w:rPr>
          <w:tab/>
        </w:r>
        <w:r w:rsidRPr="00B0116D">
          <w:rPr>
            <w:rStyle w:val="Hypertextovodkaz"/>
            <w:noProof/>
          </w:rPr>
          <w:t>Block A - Mapping market characteristics</w:t>
        </w:r>
        <w:r>
          <w:rPr>
            <w:noProof/>
            <w:webHidden/>
          </w:rPr>
          <w:tab/>
        </w:r>
        <w:r>
          <w:rPr>
            <w:noProof/>
            <w:webHidden/>
          </w:rPr>
          <w:fldChar w:fldCharType="begin"/>
        </w:r>
        <w:r>
          <w:rPr>
            <w:noProof/>
            <w:webHidden/>
          </w:rPr>
          <w:instrText xml:space="preserve"> PAGEREF _Toc426033649 \h </w:instrText>
        </w:r>
        <w:r>
          <w:rPr>
            <w:noProof/>
            <w:webHidden/>
          </w:rPr>
        </w:r>
        <w:r>
          <w:rPr>
            <w:noProof/>
            <w:webHidden/>
          </w:rPr>
          <w:fldChar w:fldCharType="separate"/>
        </w:r>
        <w:r w:rsidR="007C5202">
          <w:rPr>
            <w:noProof/>
            <w:webHidden/>
          </w:rPr>
          <w:t>18</w:t>
        </w:r>
        <w:r>
          <w:rPr>
            <w:noProof/>
            <w:webHidden/>
          </w:rPr>
          <w:fldChar w:fldCharType="end"/>
        </w:r>
      </w:hyperlink>
    </w:p>
    <w:p w:rsidR="00560258" w:rsidRDefault="00560258">
      <w:pPr>
        <w:pStyle w:val="Obsah2"/>
        <w:tabs>
          <w:tab w:val="right" w:leader="dot" w:pos="10457"/>
        </w:tabs>
        <w:rPr>
          <w:rFonts w:asciiTheme="minorHAnsi" w:eastAsiaTheme="minorEastAsia" w:hAnsiTheme="minorHAnsi" w:cstheme="minorBidi"/>
          <w:noProof/>
          <w:sz w:val="22"/>
          <w:szCs w:val="22"/>
          <w:lang w:val="cs-CZ" w:eastAsia="cs-CZ"/>
        </w:rPr>
      </w:pPr>
      <w:hyperlink w:anchor="_Toc426033650" w:history="1">
        <w:r w:rsidRPr="00B0116D">
          <w:rPr>
            <w:rStyle w:val="Hypertextovodkaz"/>
            <w:noProof/>
          </w:rPr>
          <w:t>4.1</w:t>
        </w:r>
        <w:r>
          <w:rPr>
            <w:rFonts w:asciiTheme="minorHAnsi" w:eastAsiaTheme="minorEastAsia" w:hAnsiTheme="minorHAnsi" w:cstheme="minorBidi"/>
            <w:noProof/>
            <w:sz w:val="22"/>
            <w:szCs w:val="22"/>
            <w:lang w:val="cs-CZ" w:eastAsia="cs-CZ"/>
          </w:rPr>
          <w:tab/>
        </w:r>
        <w:r w:rsidRPr="00B0116D">
          <w:rPr>
            <w:rStyle w:val="Hypertextovodkaz"/>
            <w:noProof/>
          </w:rPr>
          <w:t>Pre-screening the areas of aid suitable for the deployment of IFIs</w:t>
        </w:r>
        <w:r>
          <w:rPr>
            <w:noProof/>
            <w:webHidden/>
          </w:rPr>
          <w:tab/>
        </w:r>
        <w:r>
          <w:rPr>
            <w:noProof/>
            <w:webHidden/>
          </w:rPr>
          <w:fldChar w:fldCharType="begin"/>
        </w:r>
        <w:r>
          <w:rPr>
            <w:noProof/>
            <w:webHidden/>
          </w:rPr>
          <w:instrText xml:space="preserve"> PAGEREF _Toc426033650 \h </w:instrText>
        </w:r>
        <w:r>
          <w:rPr>
            <w:noProof/>
            <w:webHidden/>
          </w:rPr>
        </w:r>
        <w:r>
          <w:rPr>
            <w:noProof/>
            <w:webHidden/>
          </w:rPr>
          <w:fldChar w:fldCharType="separate"/>
        </w:r>
        <w:r w:rsidR="007C5202">
          <w:rPr>
            <w:noProof/>
            <w:webHidden/>
          </w:rPr>
          <w:t>18</w:t>
        </w:r>
        <w:r>
          <w:rPr>
            <w:noProof/>
            <w:webHidden/>
          </w:rPr>
          <w:fldChar w:fldCharType="end"/>
        </w:r>
      </w:hyperlink>
    </w:p>
    <w:p w:rsidR="00560258" w:rsidRDefault="00560258">
      <w:pPr>
        <w:pStyle w:val="Obsah2"/>
        <w:tabs>
          <w:tab w:val="right" w:leader="dot" w:pos="10457"/>
        </w:tabs>
        <w:rPr>
          <w:rFonts w:asciiTheme="minorHAnsi" w:eastAsiaTheme="minorEastAsia" w:hAnsiTheme="minorHAnsi" w:cstheme="minorBidi"/>
          <w:noProof/>
          <w:sz w:val="22"/>
          <w:szCs w:val="22"/>
          <w:lang w:val="cs-CZ" w:eastAsia="cs-CZ"/>
        </w:rPr>
      </w:pPr>
      <w:hyperlink w:anchor="_Toc426033651" w:history="1">
        <w:r w:rsidRPr="00B0116D">
          <w:rPr>
            <w:rStyle w:val="Hypertextovodkaz"/>
            <w:noProof/>
          </w:rPr>
          <w:t>4.2</w:t>
        </w:r>
        <w:r>
          <w:rPr>
            <w:rFonts w:asciiTheme="minorHAnsi" w:eastAsiaTheme="minorEastAsia" w:hAnsiTheme="minorHAnsi" w:cstheme="minorBidi"/>
            <w:noProof/>
            <w:sz w:val="22"/>
            <w:szCs w:val="22"/>
            <w:lang w:val="cs-CZ" w:eastAsia="cs-CZ"/>
          </w:rPr>
          <w:tab/>
        </w:r>
        <w:r w:rsidRPr="00B0116D">
          <w:rPr>
            <w:rStyle w:val="Hypertextovodkaz"/>
            <w:noProof/>
          </w:rPr>
          <w:t>Analysis of market failures and sub-optimal investment situations</w:t>
        </w:r>
        <w:r>
          <w:rPr>
            <w:noProof/>
            <w:webHidden/>
          </w:rPr>
          <w:tab/>
        </w:r>
        <w:r>
          <w:rPr>
            <w:noProof/>
            <w:webHidden/>
          </w:rPr>
          <w:fldChar w:fldCharType="begin"/>
        </w:r>
        <w:r>
          <w:rPr>
            <w:noProof/>
            <w:webHidden/>
          </w:rPr>
          <w:instrText xml:space="preserve"> PAGEREF _Toc426033651 \h </w:instrText>
        </w:r>
        <w:r>
          <w:rPr>
            <w:noProof/>
            <w:webHidden/>
          </w:rPr>
        </w:r>
        <w:r>
          <w:rPr>
            <w:noProof/>
            <w:webHidden/>
          </w:rPr>
          <w:fldChar w:fldCharType="separate"/>
        </w:r>
        <w:r w:rsidR="007C5202">
          <w:rPr>
            <w:noProof/>
            <w:webHidden/>
          </w:rPr>
          <w:t>32</w:t>
        </w:r>
        <w:r>
          <w:rPr>
            <w:noProof/>
            <w:webHidden/>
          </w:rPr>
          <w:fldChar w:fldCharType="end"/>
        </w:r>
      </w:hyperlink>
    </w:p>
    <w:p w:rsidR="00560258" w:rsidRDefault="00560258">
      <w:pPr>
        <w:pStyle w:val="Obsah3"/>
        <w:tabs>
          <w:tab w:val="left" w:pos="1320"/>
          <w:tab w:val="right" w:leader="dot" w:pos="10457"/>
        </w:tabs>
        <w:rPr>
          <w:rFonts w:asciiTheme="minorHAnsi" w:eastAsiaTheme="minorEastAsia" w:hAnsiTheme="minorHAnsi" w:cstheme="minorBidi"/>
          <w:noProof/>
          <w:sz w:val="22"/>
          <w:szCs w:val="22"/>
          <w:lang w:val="cs-CZ" w:eastAsia="cs-CZ"/>
        </w:rPr>
      </w:pPr>
      <w:hyperlink w:anchor="_Toc426033652" w:history="1">
        <w:r w:rsidRPr="00B0116D">
          <w:rPr>
            <w:rStyle w:val="Hypertextovodkaz"/>
            <w:noProof/>
          </w:rPr>
          <w:t>4.2.1</w:t>
        </w:r>
        <w:r>
          <w:rPr>
            <w:rFonts w:asciiTheme="minorHAnsi" w:eastAsiaTheme="minorEastAsia" w:hAnsiTheme="minorHAnsi" w:cstheme="minorBidi"/>
            <w:noProof/>
            <w:sz w:val="22"/>
            <w:szCs w:val="22"/>
            <w:lang w:val="cs-CZ" w:eastAsia="cs-CZ"/>
          </w:rPr>
          <w:tab/>
        </w:r>
        <w:r w:rsidRPr="00B0116D">
          <w:rPr>
            <w:rStyle w:val="Hypertextovodkaz"/>
            <w:noProof/>
          </w:rPr>
          <w:t>Specific objective 2.1: Improving the quality and availability of services leading to social inclusion</w:t>
        </w:r>
        <w:r>
          <w:rPr>
            <w:noProof/>
            <w:webHidden/>
          </w:rPr>
          <w:tab/>
        </w:r>
        <w:r>
          <w:rPr>
            <w:noProof/>
            <w:webHidden/>
          </w:rPr>
          <w:fldChar w:fldCharType="begin"/>
        </w:r>
        <w:r>
          <w:rPr>
            <w:noProof/>
            <w:webHidden/>
          </w:rPr>
          <w:instrText xml:space="preserve"> PAGEREF _Toc426033652 \h </w:instrText>
        </w:r>
        <w:r>
          <w:rPr>
            <w:noProof/>
            <w:webHidden/>
          </w:rPr>
        </w:r>
        <w:r>
          <w:rPr>
            <w:noProof/>
            <w:webHidden/>
          </w:rPr>
          <w:fldChar w:fldCharType="separate"/>
        </w:r>
        <w:r w:rsidR="007C5202">
          <w:rPr>
            <w:noProof/>
            <w:webHidden/>
          </w:rPr>
          <w:t>32</w:t>
        </w:r>
        <w:r>
          <w:rPr>
            <w:noProof/>
            <w:webHidden/>
          </w:rPr>
          <w:fldChar w:fldCharType="end"/>
        </w:r>
      </w:hyperlink>
    </w:p>
    <w:p w:rsidR="00560258" w:rsidRDefault="00560258">
      <w:pPr>
        <w:pStyle w:val="Obsah3"/>
        <w:tabs>
          <w:tab w:val="left" w:pos="1320"/>
          <w:tab w:val="right" w:leader="dot" w:pos="10457"/>
        </w:tabs>
        <w:rPr>
          <w:rFonts w:asciiTheme="minorHAnsi" w:eastAsiaTheme="minorEastAsia" w:hAnsiTheme="minorHAnsi" w:cstheme="minorBidi"/>
          <w:noProof/>
          <w:sz w:val="22"/>
          <w:szCs w:val="22"/>
          <w:lang w:val="cs-CZ" w:eastAsia="cs-CZ"/>
        </w:rPr>
      </w:pPr>
      <w:hyperlink w:anchor="_Toc426033653" w:history="1">
        <w:r w:rsidRPr="00B0116D">
          <w:rPr>
            <w:rStyle w:val="Hypertextovodkaz"/>
            <w:noProof/>
          </w:rPr>
          <w:t>4.2.2</w:t>
        </w:r>
        <w:r>
          <w:rPr>
            <w:rFonts w:asciiTheme="minorHAnsi" w:eastAsiaTheme="minorEastAsia" w:hAnsiTheme="minorHAnsi" w:cstheme="minorBidi"/>
            <w:noProof/>
            <w:sz w:val="22"/>
            <w:szCs w:val="22"/>
            <w:lang w:val="cs-CZ" w:eastAsia="cs-CZ"/>
          </w:rPr>
          <w:tab/>
        </w:r>
        <w:r w:rsidRPr="00B0116D">
          <w:rPr>
            <w:rStyle w:val="Hypertextovodkaz"/>
            <w:noProof/>
          </w:rPr>
          <w:t>Specific objective 2.5 – Reduction in energy consumption in the housing sector</w:t>
        </w:r>
        <w:r>
          <w:rPr>
            <w:noProof/>
            <w:webHidden/>
          </w:rPr>
          <w:tab/>
        </w:r>
        <w:r>
          <w:rPr>
            <w:noProof/>
            <w:webHidden/>
          </w:rPr>
          <w:fldChar w:fldCharType="begin"/>
        </w:r>
        <w:r>
          <w:rPr>
            <w:noProof/>
            <w:webHidden/>
          </w:rPr>
          <w:instrText xml:space="preserve"> PAGEREF _Toc426033653 \h </w:instrText>
        </w:r>
        <w:r>
          <w:rPr>
            <w:noProof/>
            <w:webHidden/>
          </w:rPr>
        </w:r>
        <w:r>
          <w:rPr>
            <w:noProof/>
            <w:webHidden/>
          </w:rPr>
          <w:fldChar w:fldCharType="separate"/>
        </w:r>
        <w:r w:rsidR="007C5202">
          <w:rPr>
            <w:noProof/>
            <w:webHidden/>
          </w:rPr>
          <w:t>37</w:t>
        </w:r>
        <w:r>
          <w:rPr>
            <w:noProof/>
            <w:webHidden/>
          </w:rPr>
          <w:fldChar w:fldCharType="end"/>
        </w:r>
      </w:hyperlink>
    </w:p>
    <w:p w:rsidR="00560258" w:rsidRDefault="00560258">
      <w:pPr>
        <w:pStyle w:val="Obsah2"/>
        <w:tabs>
          <w:tab w:val="right" w:leader="dot" w:pos="10457"/>
        </w:tabs>
        <w:rPr>
          <w:rFonts w:asciiTheme="minorHAnsi" w:eastAsiaTheme="minorEastAsia" w:hAnsiTheme="minorHAnsi" w:cstheme="minorBidi"/>
          <w:noProof/>
          <w:sz w:val="22"/>
          <w:szCs w:val="22"/>
          <w:lang w:val="cs-CZ" w:eastAsia="cs-CZ"/>
        </w:rPr>
      </w:pPr>
      <w:hyperlink w:anchor="_Toc426033654" w:history="1">
        <w:r w:rsidRPr="00B0116D">
          <w:rPr>
            <w:rStyle w:val="Hypertextovodkaz"/>
            <w:noProof/>
          </w:rPr>
          <w:t>4.3</w:t>
        </w:r>
        <w:r>
          <w:rPr>
            <w:rFonts w:asciiTheme="minorHAnsi" w:eastAsiaTheme="minorEastAsia" w:hAnsiTheme="minorHAnsi" w:cstheme="minorBidi"/>
            <w:noProof/>
            <w:sz w:val="22"/>
            <w:szCs w:val="22"/>
            <w:lang w:val="cs-CZ" w:eastAsia="cs-CZ"/>
          </w:rPr>
          <w:tab/>
        </w:r>
        <w:r w:rsidRPr="00B0116D">
          <w:rPr>
            <w:rStyle w:val="Hypertextovodkaz"/>
            <w:noProof/>
          </w:rPr>
          <w:t>Assessment of the value added of financial instruments and estimated additional public and private resources</w:t>
        </w:r>
        <w:r>
          <w:rPr>
            <w:noProof/>
            <w:webHidden/>
          </w:rPr>
          <w:tab/>
        </w:r>
        <w:r>
          <w:rPr>
            <w:noProof/>
            <w:webHidden/>
          </w:rPr>
          <w:fldChar w:fldCharType="begin"/>
        </w:r>
        <w:r>
          <w:rPr>
            <w:noProof/>
            <w:webHidden/>
          </w:rPr>
          <w:instrText xml:space="preserve"> PAGEREF _Toc426033654 \h </w:instrText>
        </w:r>
        <w:r>
          <w:rPr>
            <w:noProof/>
            <w:webHidden/>
          </w:rPr>
        </w:r>
        <w:r>
          <w:rPr>
            <w:noProof/>
            <w:webHidden/>
          </w:rPr>
          <w:fldChar w:fldCharType="separate"/>
        </w:r>
        <w:r w:rsidR="007C5202">
          <w:rPr>
            <w:noProof/>
            <w:webHidden/>
          </w:rPr>
          <w:t>53</w:t>
        </w:r>
        <w:r>
          <w:rPr>
            <w:noProof/>
            <w:webHidden/>
          </w:rPr>
          <w:fldChar w:fldCharType="end"/>
        </w:r>
      </w:hyperlink>
    </w:p>
    <w:p w:rsidR="00560258" w:rsidRDefault="00560258">
      <w:pPr>
        <w:pStyle w:val="Obsah2"/>
        <w:tabs>
          <w:tab w:val="right" w:leader="dot" w:pos="10457"/>
        </w:tabs>
        <w:rPr>
          <w:rFonts w:asciiTheme="minorHAnsi" w:eastAsiaTheme="minorEastAsia" w:hAnsiTheme="minorHAnsi" w:cstheme="minorBidi"/>
          <w:noProof/>
          <w:sz w:val="22"/>
          <w:szCs w:val="22"/>
          <w:lang w:val="cs-CZ" w:eastAsia="cs-CZ"/>
        </w:rPr>
      </w:pPr>
      <w:hyperlink w:anchor="_Toc426033655" w:history="1">
        <w:r w:rsidRPr="00B0116D">
          <w:rPr>
            <w:rStyle w:val="Hypertextovodkaz"/>
            <w:noProof/>
          </w:rPr>
          <w:t>4.4</w:t>
        </w:r>
        <w:r>
          <w:rPr>
            <w:rFonts w:asciiTheme="minorHAnsi" w:eastAsiaTheme="minorEastAsia" w:hAnsiTheme="minorHAnsi" w:cstheme="minorBidi"/>
            <w:noProof/>
            <w:sz w:val="22"/>
            <w:szCs w:val="22"/>
            <w:lang w:val="cs-CZ" w:eastAsia="cs-CZ"/>
          </w:rPr>
          <w:tab/>
        </w:r>
        <w:r w:rsidRPr="00B0116D">
          <w:rPr>
            <w:rStyle w:val="Hypertextovodkaz"/>
            <w:noProof/>
          </w:rPr>
          <w:t>Experience with financial instruments in the CR and selected EU Member States</w:t>
        </w:r>
        <w:r>
          <w:rPr>
            <w:noProof/>
            <w:webHidden/>
          </w:rPr>
          <w:tab/>
        </w:r>
        <w:r>
          <w:rPr>
            <w:noProof/>
            <w:webHidden/>
          </w:rPr>
          <w:fldChar w:fldCharType="begin"/>
        </w:r>
        <w:r>
          <w:rPr>
            <w:noProof/>
            <w:webHidden/>
          </w:rPr>
          <w:instrText xml:space="preserve"> PAGEREF _Toc426033655 \h </w:instrText>
        </w:r>
        <w:r>
          <w:rPr>
            <w:noProof/>
            <w:webHidden/>
          </w:rPr>
        </w:r>
        <w:r>
          <w:rPr>
            <w:noProof/>
            <w:webHidden/>
          </w:rPr>
          <w:fldChar w:fldCharType="separate"/>
        </w:r>
        <w:r w:rsidR="007C5202">
          <w:rPr>
            <w:noProof/>
            <w:webHidden/>
          </w:rPr>
          <w:t>55</w:t>
        </w:r>
        <w:r>
          <w:rPr>
            <w:noProof/>
            <w:webHidden/>
          </w:rPr>
          <w:fldChar w:fldCharType="end"/>
        </w:r>
      </w:hyperlink>
    </w:p>
    <w:p w:rsidR="00560258" w:rsidRDefault="00560258">
      <w:pPr>
        <w:pStyle w:val="Obsah3"/>
        <w:tabs>
          <w:tab w:val="left" w:pos="1320"/>
          <w:tab w:val="right" w:leader="dot" w:pos="10457"/>
        </w:tabs>
        <w:rPr>
          <w:rFonts w:asciiTheme="minorHAnsi" w:eastAsiaTheme="minorEastAsia" w:hAnsiTheme="minorHAnsi" w:cstheme="minorBidi"/>
          <w:noProof/>
          <w:sz w:val="22"/>
          <w:szCs w:val="22"/>
          <w:lang w:val="cs-CZ" w:eastAsia="cs-CZ"/>
        </w:rPr>
      </w:pPr>
      <w:hyperlink w:anchor="_Toc426033656" w:history="1">
        <w:r w:rsidRPr="00B0116D">
          <w:rPr>
            <w:rStyle w:val="Hypertextovodkaz"/>
            <w:noProof/>
          </w:rPr>
          <w:t>4.4.1</w:t>
        </w:r>
        <w:r>
          <w:rPr>
            <w:rFonts w:asciiTheme="minorHAnsi" w:eastAsiaTheme="minorEastAsia" w:hAnsiTheme="minorHAnsi" w:cstheme="minorBidi"/>
            <w:noProof/>
            <w:sz w:val="22"/>
            <w:szCs w:val="22"/>
            <w:lang w:val="cs-CZ" w:eastAsia="cs-CZ"/>
          </w:rPr>
          <w:tab/>
        </w:r>
        <w:r w:rsidRPr="00B0116D">
          <w:rPr>
            <w:rStyle w:val="Hypertextovodkaz"/>
            <w:noProof/>
          </w:rPr>
          <w:t>Transfer of Experience when Using Similar Previously Implemented Instruments to the Proposal of Innovative Financial Instruments in IROP</w:t>
        </w:r>
        <w:r>
          <w:rPr>
            <w:noProof/>
            <w:webHidden/>
          </w:rPr>
          <w:tab/>
        </w:r>
        <w:r>
          <w:rPr>
            <w:noProof/>
            <w:webHidden/>
          </w:rPr>
          <w:fldChar w:fldCharType="begin"/>
        </w:r>
        <w:r>
          <w:rPr>
            <w:noProof/>
            <w:webHidden/>
          </w:rPr>
          <w:instrText xml:space="preserve"> PAGEREF _Toc426033656 \h </w:instrText>
        </w:r>
        <w:r>
          <w:rPr>
            <w:noProof/>
            <w:webHidden/>
          </w:rPr>
        </w:r>
        <w:r>
          <w:rPr>
            <w:noProof/>
            <w:webHidden/>
          </w:rPr>
          <w:fldChar w:fldCharType="separate"/>
        </w:r>
        <w:r w:rsidR="007C5202">
          <w:rPr>
            <w:noProof/>
            <w:webHidden/>
          </w:rPr>
          <w:t>55</w:t>
        </w:r>
        <w:r>
          <w:rPr>
            <w:noProof/>
            <w:webHidden/>
          </w:rPr>
          <w:fldChar w:fldCharType="end"/>
        </w:r>
      </w:hyperlink>
    </w:p>
    <w:p w:rsidR="00560258" w:rsidRDefault="00560258">
      <w:pPr>
        <w:pStyle w:val="Obsah3"/>
        <w:tabs>
          <w:tab w:val="left" w:pos="1320"/>
          <w:tab w:val="right" w:leader="dot" w:pos="10457"/>
        </w:tabs>
        <w:rPr>
          <w:rFonts w:asciiTheme="minorHAnsi" w:eastAsiaTheme="minorEastAsia" w:hAnsiTheme="minorHAnsi" w:cstheme="minorBidi"/>
          <w:noProof/>
          <w:sz w:val="22"/>
          <w:szCs w:val="22"/>
          <w:lang w:val="cs-CZ" w:eastAsia="cs-CZ"/>
        </w:rPr>
      </w:pPr>
      <w:hyperlink w:anchor="_Toc426033657" w:history="1">
        <w:r w:rsidRPr="00B0116D">
          <w:rPr>
            <w:rStyle w:val="Hypertextovodkaz"/>
            <w:noProof/>
          </w:rPr>
          <w:t>4.4.2</w:t>
        </w:r>
        <w:r>
          <w:rPr>
            <w:rFonts w:asciiTheme="minorHAnsi" w:eastAsiaTheme="minorEastAsia" w:hAnsiTheme="minorHAnsi" w:cstheme="minorBidi"/>
            <w:noProof/>
            <w:sz w:val="22"/>
            <w:szCs w:val="22"/>
            <w:lang w:val="cs-CZ" w:eastAsia="cs-CZ"/>
          </w:rPr>
          <w:tab/>
        </w:r>
        <w:r w:rsidRPr="00B0116D">
          <w:rPr>
            <w:rStyle w:val="Hypertextovodkaz"/>
            <w:noProof/>
          </w:rPr>
          <w:t>Experience in the area of social housing</w:t>
        </w:r>
        <w:r>
          <w:rPr>
            <w:noProof/>
            <w:webHidden/>
          </w:rPr>
          <w:tab/>
        </w:r>
        <w:r>
          <w:rPr>
            <w:noProof/>
            <w:webHidden/>
          </w:rPr>
          <w:fldChar w:fldCharType="begin"/>
        </w:r>
        <w:r>
          <w:rPr>
            <w:noProof/>
            <w:webHidden/>
          </w:rPr>
          <w:instrText xml:space="preserve"> PAGEREF _Toc426033657 \h </w:instrText>
        </w:r>
        <w:r>
          <w:rPr>
            <w:noProof/>
            <w:webHidden/>
          </w:rPr>
        </w:r>
        <w:r>
          <w:rPr>
            <w:noProof/>
            <w:webHidden/>
          </w:rPr>
          <w:fldChar w:fldCharType="separate"/>
        </w:r>
        <w:r w:rsidR="007C5202">
          <w:rPr>
            <w:noProof/>
            <w:webHidden/>
          </w:rPr>
          <w:t>56</w:t>
        </w:r>
        <w:r>
          <w:rPr>
            <w:noProof/>
            <w:webHidden/>
          </w:rPr>
          <w:fldChar w:fldCharType="end"/>
        </w:r>
      </w:hyperlink>
    </w:p>
    <w:p w:rsidR="00560258" w:rsidRDefault="00560258">
      <w:pPr>
        <w:pStyle w:val="Obsah3"/>
        <w:tabs>
          <w:tab w:val="left" w:pos="1320"/>
          <w:tab w:val="right" w:leader="dot" w:pos="10457"/>
        </w:tabs>
        <w:rPr>
          <w:rFonts w:asciiTheme="minorHAnsi" w:eastAsiaTheme="minorEastAsia" w:hAnsiTheme="minorHAnsi" w:cstheme="minorBidi"/>
          <w:noProof/>
          <w:sz w:val="22"/>
          <w:szCs w:val="22"/>
          <w:lang w:val="cs-CZ" w:eastAsia="cs-CZ"/>
        </w:rPr>
      </w:pPr>
      <w:hyperlink w:anchor="_Toc426033658" w:history="1">
        <w:r w:rsidRPr="00B0116D">
          <w:rPr>
            <w:rStyle w:val="Hypertextovodkaz"/>
            <w:noProof/>
          </w:rPr>
          <w:t>4.4.3</w:t>
        </w:r>
        <w:r>
          <w:rPr>
            <w:rFonts w:asciiTheme="minorHAnsi" w:eastAsiaTheme="minorEastAsia" w:hAnsiTheme="minorHAnsi" w:cstheme="minorBidi"/>
            <w:noProof/>
            <w:sz w:val="22"/>
            <w:szCs w:val="22"/>
            <w:lang w:val="cs-CZ" w:eastAsia="cs-CZ"/>
          </w:rPr>
          <w:tab/>
        </w:r>
        <w:r w:rsidRPr="00B0116D">
          <w:rPr>
            <w:rStyle w:val="Hypertextovodkaz"/>
            <w:noProof/>
          </w:rPr>
          <w:t>Experience in the area of reducing energy consumption in the housing sector</w:t>
        </w:r>
        <w:r>
          <w:rPr>
            <w:noProof/>
            <w:webHidden/>
          </w:rPr>
          <w:tab/>
        </w:r>
        <w:r>
          <w:rPr>
            <w:noProof/>
            <w:webHidden/>
          </w:rPr>
          <w:fldChar w:fldCharType="begin"/>
        </w:r>
        <w:r>
          <w:rPr>
            <w:noProof/>
            <w:webHidden/>
          </w:rPr>
          <w:instrText xml:space="preserve"> PAGEREF _Toc426033658 \h </w:instrText>
        </w:r>
        <w:r>
          <w:rPr>
            <w:noProof/>
            <w:webHidden/>
          </w:rPr>
        </w:r>
        <w:r>
          <w:rPr>
            <w:noProof/>
            <w:webHidden/>
          </w:rPr>
          <w:fldChar w:fldCharType="separate"/>
        </w:r>
        <w:r w:rsidR="007C5202">
          <w:rPr>
            <w:noProof/>
            <w:webHidden/>
          </w:rPr>
          <w:t>58</w:t>
        </w:r>
        <w:r>
          <w:rPr>
            <w:noProof/>
            <w:webHidden/>
          </w:rPr>
          <w:fldChar w:fldCharType="end"/>
        </w:r>
      </w:hyperlink>
    </w:p>
    <w:p w:rsidR="00560258" w:rsidRDefault="00560258">
      <w:pPr>
        <w:pStyle w:val="Obsah1"/>
        <w:tabs>
          <w:tab w:val="right" w:leader="dot" w:pos="10457"/>
        </w:tabs>
        <w:rPr>
          <w:rFonts w:asciiTheme="minorHAnsi" w:eastAsiaTheme="minorEastAsia" w:hAnsiTheme="minorHAnsi" w:cstheme="minorBidi"/>
          <w:noProof/>
          <w:sz w:val="22"/>
          <w:szCs w:val="22"/>
          <w:lang w:val="cs-CZ" w:eastAsia="cs-CZ"/>
        </w:rPr>
      </w:pPr>
      <w:hyperlink w:anchor="_Toc426033659" w:history="1">
        <w:r w:rsidRPr="00B0116D">
          <w:rPr>
            <w:rStyle w:val="Hypertextovodkaz"/>
            <w:noProof/>
          </w:rPr>
          <w:t>5</w:t>
        </w:r>
        <w:r>
          <w:rPr>
            <w:rFonts w:asciiTheme="minorHAnsi" w:eastAsiaTheme="minorEastAsia" w:hAnsiTheme="minorHAnsi" w:cstheme="minorBidi"/>
            <w:noProof/>
            <w:sz w:val="22"/>
            <w:szCs w:val="22"/>
            <w:lang w:val="cs-CZ" w:eastAsia="cs-CZ"/>
          </w:rPr>
          <w:tab/>
        </w:r>
        <w:r w:rsidRPr="00B0116D">
          <w:rPr>
            <w:rStyle w:val="Hypertextovodkaz"/>
            <w:noProof/>
          </w:rPr>
          <w:t>Block B – Management and implementation strategy</w:t>
        </w:r>
        <w:r>
          <w:rPr>
            <w:noProof/>
            <w:webHidden/>
          </w:rPr>
          <w:tab/>
        </w:r>
        <w:r>
          <w:rPr>
            <w:noProof/>
            <w:webHidden/>
          </w:rPr>
          <w:fldChar w:fldCharType="begin"/>
        </w:r>
        <w:r>
          <w:rPr>
            <w:noProof/>
            <w:webHidden/>
          </w:rPr>
          <w:instrText xml:space="preserve"> PAGEREF _Toc426033659 \h </w:instrText>
        </w:r>
        <w:r>
          <w:rPr>
            <w:noProof/>
            <w:webHidden/>
          </w:rPr>
        </w:r>
        <w:r>
          <w:rPr>
            <w:noProof/>
            <w:webHidden/>
          </w:rPr>
          <w:fldChar w:fldCharType="separate"/>
        </w:r>
        <w:r w:rsidR="007C5202">
          <w:rPr>
            <w:noProof/>
            <w:webHidden/>
          </w:rPr>
          <w:t>65</w:t>
        </w:r>
        <w:r>
          <w:rPr>
            <w:noProof/>
            <w:webHidden/>
          </w:rPr>
          <w:fldChar w:fldCharType="end"/>
        </w:r>
      </w:hyperlink>
    </w:p>
    <w:p w:rsidR="00560258" w:rsidRDefault="00560258">
      <w:pPr>
        <w:pStyle w:val="Obsah2"/>
        <w:tabs>
          <w:tab w:val="right" w:leader="dot" w:pos="10457"/>
        </w:tabs>
        <w:rPr>
          <w:rFonts w:asciiTheme="minorHAnsi" w:eastAsiaTheme="minorEastAsia" w:hAnsiTheme="minorHAnsi" w:cstheme="minorBidi"/>
          <w:noProof/>
          <w:sz w:val="22"/>
          <w:szCs w:val="22"/>
          <w:lang w:val="cs-CZ" w:eastAsia="cs-CZ"/>
        </w:rPr>
      </w:pPr>
      <w:hyperlink w:anchor="_Toc426033660" w:history="1">
        <w:r w:rsidRPr="00B0116D">
          <w:rPr>
            <w:rStyle w:val="Hypertextovodkaz"/>
            <w:noProof/>
          </w:rPr>
          <w:t>5.1</w:t>
        </w:r>
        <w:r>
          <w:rPr>
            <w:rFonts w:asciiTheme="minorHAnsi" w:eastAsiaTheme="minorEastAsia" w:hAnsiTheme="minorHAnsi" w:cstheme="minorBidi"/>
            <w:noProof/>
            <w:sz w:val="22"/>
            <w:szCs w:val="22"/>
            <w:lang w:val="cs-CZ" w:eastAsia="cs-CZ"/>
          </w:rPr>
          <w:tab/>
        </w:r>
        <w:r w:rsidRPr="00B0116D">
          <w:rPr>
            <w:rStyle w:val="Hypertextovodkaz"/>
            <w:noProof/>
          </w:rPr>
          <w:t>Implementation structure characteristics</w:t>
        </w:r>
        <w:r>
          <w:rPr>
            <w:noProof/>
            <w:webHidden/>
          </w:rPr>
          <w:tab/>
        </w:r>
        <w:r>
          <w:rPr>
            <w:noProof/>
            <w:webHidden/>
          </w:rPr>
          <w:fldChar w:fldCharType="begin"/>
        </w:r>
        <w:r>
          <w:rPr>
            <w:noProof/>
            <w:webHidden/>
          </w:rPr>
          <w:instrText xml:space="preserve"> PAGEREF _Toc426033660 \h </w:instrText>
        </w:r>
        <w:r>
          <w:rPr>
            <w:noProof/>
            <w:webHidden/>
          </w:rPr>
        </w:r>
        <w:r>
          <w:rPr>
            <w:noProof/>
            <w:webHidden/>
          </w:rPr>
          <w:fldChar w:fldCharType="separate"/>
        </w:r>
        <w:r w:rsidR="007C5202">
          <w:rPr>
            <w:noProof/>
            <w:webHidden/>
          </w:rPr>
          <w:t>65</w:t>
        </w:r>
        <w:r>
          <w:rPr>
            <w:noProof/>
            <w:webHidden/>
          </w:rPr>
          <w:fldChar w:fldCharType="end"/>
        </w:r>
      </w:hyperlink>
    </w:p>
    <w:p w:rsidR="00560258" w:rsidRDefault="00560258">
      <w:pPr>
        <w:pStyle w:val="Obsah3"/>
        <w:tabs>
          <w:tab w:val="left" w:pos="1320"/>
          <w:tab w:val="right" w:leader="dot" w:pos="10457"/>
        </w:tabs>
        <w:rPr>
          <w:rFonts w:asciiTheme="minorHAnsi" w:eastAsiaTheme="minorEastAsia" w:hAnsiTheme="minorHAnsi" w:cstheme="minorBidi"/>
          <w:noProof/>
          <w:sz w:val="22"/>
          <w:szCs w:val="22"/>
          <w:lang w:val="cs-CZ" w:eastAsia="cs-CZ"/>
        </w:rPr>
      </w:pPr>
      <w:hyperlink w:anchor="_Toc426033661" w:history="1">
        <w:r w:rsidRPr="00B0116D">
          <w:rPr>
            <w:rStyle w:val="Hypertextovodkaz"/>
            <w:noProof/>
          </w:rPr>
          <w:t>5.1.1</w:t>
        </w:r>
        <w:r>
          <w:rPr>
            <w:rFonts w:asciiTheme="minorHAnsi" w:eastAsiaTheme="minorEastAsia" w:hAnsiTheme="minorHAnsi" w:cstheme="minorBidi"/>
            <w:noProof/>
            <w:sz w:val="22"/>
            <w:szCs w:val="22"/>
            <w:lang w:val="cs-CZ" w:eastAsia="cs-CZ"/>
          </w:rPr>
          <w:tab/>
        </w:r>
        <w:r w:rsidRPr="00B0116D">
          <w:rPr>
            <w:rStyle w:val="Hypertextovodkaz"/>
            <w:noProof/>
          </w:rPr>
          <w:t>Basic assessment of the options of IFI implementation</w:t>
        </w:r>
        <w:r>
          <w:rPr>
            <w:noProof/>
            <w:webHidden/>
          </w:rPr>
          <w:tab/>
        </w:r>
        <w:r>
          <w:rPr>
            <w:noProof/>
            <w:webHidden/>
          </w:rPr>
          <w:fldChar w:fldCharType="begin"/>
        </w:r>
        <w:r>
          <w:rPr>
            <w:noProof/>
            <w:webHidden/>
          </w:rPr>
          <w:instrText xml:space="preserve"> PAGEREF _Toc426033661 \h </w:instrText>
        </w:r>
        <w:r>
          <w:rPr>
            <w:noProof/>
            <w:webHidden/>
          </w:rPr>
        </w:r>
        <w:r>
          <w:rPr>
            <w:noProof/>
            <w:webHidden/>
          </w:rPr>
          <w:fldChar w:fldCharType="separate"/>
        </w:r>
        <w:r w:rsidR="007C5202">
          <w:rPr>
            <w:noProof/>
            <w:webHidden/>
          </w:rPr>
          <w:t>65</w:t>
        </w:r>
        <w:r>
          <w:rPr>
            <w:noProof/>
            <w:webHidden/>
          </w:rPr>
          <w:fldChar w:fldCharType="end"/>
        </w:r>
      </w:hyperlink>
    </w:p>
    <w:p w:rsidR="00560258" w:rsidRDefault="00560258">
      <w:pPr>
        <w:pStyle w:val="Obsah3"/>
        <w:tabs>
          <w:tab w:val="left" w:pos="1320"/>
          <w:tab w:val="right" w:leader="dot" w:pos="10457"/>
        </w:tabs>
        <w:rPr>
          <w:rFonts w:asciiTheme="minorHAnsi" w:eastAsiaTheme="minorEastAsia" w:hAnsiTheme="minorHAnsi" w:cstheme="minorBidi"/>
          <w:noProof/>
          <w:sz w:val="22"/>
          <w:szCs w:val="22"/>
          <w:lang w:val="cs-CZ" w:eastAsia="cs-CZ"/>
        </w:rPr>
      </w:pPr>
      <w:hyperlink w:anchor="_Toc426033662" w:history="1">
        <w:r w:rsidRPr="00B0116D">
          <w:rPr>
            <w:rStyle w:val="Hypertextovodkaz"/>
            <w:noProof/>
          </w:rPr>
          <w:t>5.1.2</w:t>
        </w:r>
        <w:r>
          <w:rPr>
            <w:rFonts w:asciiTheme="minorHAnsi" w:eastAsiaTheme="minorEastAsia" w:hAnsiTheme="minorHAnsi" w:cstheme="minorBidi"/>
            <w:noProof/>
            <w:sz w:val="22"/>
            <w:szCs w:val="22"/>
            <w:lang w:val="cs-CZ" w:eastAsia="cs-CZ"/>
          </w:rPr>
          <w:tab/>
        </w:r>
        <w:r w:rsidRPr="00B0116D">
          <w:rPr>
            <w:rStyle w:val="Hypertextovodkaz"/>
            <w:noProof/>
          </w:rPr>
          <w:t>Assessment of the possibility to use instruments established at the EU level, managed directly or indirectly by the Commission</w:t>
        </w:r>
        <w:r>
          <w:rPr>
            <w:noProof/>
            <w:webHidden/>
          </w:rPr>
          <w:tab/>
        </w:r>
        <w:r>
          <w:rPr>
            <w:noProof/>
            <w:webHidden/>
          </w:rPr>
          <w:fldChar w:fldCharType="begin"/>
        </w:r>
        <w:r>
          <w:rPr>
            <w:noProof/>
            <w:webHidden/>
          </w:rPr>
          <w:instrText xml:space="preserve"> PAGEREF _Toc426033662 \h </w:instrText>
        </w:r>
        <w:r>
          <w:rPr>
            <w:noProof/>
            <w:webHidden/>
          </w:rPr>
        </w:r>
        <w:r>
          <w:rPr>
            <w:noProof/>
            <w:webHidden/>
          </w:rPr>
          <w:fldChar w:fldCharType="separate"/>
        </w:r>
        <w:r w:rsidR="007C5202">
          <w:rPr>
            <w:noProof/>
            <w:webHidden/>
          </w:rPr>
          <w:t>66</w:t>
        </w:r>
        <w:r>
          <w:rPr>
            <w:noProof/>
            <w:webHidden/>
          </w:rPr>
          <w:fldChar w:fldCharType="end"/>
        </w:r>
      </w:hyperlink>
    </w:p>
    <w:p w:rsidR="00560258" w:rsidRDefault="00560258">
      <w:pPr>
        <w:pStyle w:val="Obsah3"/>
        <w:tabs>
          <w:tab w:val="left" w:pos="1320"/>
          <w:tab w:val="right" w:leader="dot" w:pos="10457"/>
        </w:tabs>
        <w:rPr>
          <w:rFonts w:asciiTheme="minorHAnsi" w:eastAsiaTheme="minorEastAsia" w:hAnsiTheme="minorHAnsi" w:cstheme="minorBidi"/>
          <w:noProof/>
          <w:sz w:val="22"/>
          <w:szCs w:val="22"/>
          <w:lang w:val="cs-CZ" w:eastAsia="cs-CZ"/>
        </w:rPr>
      </w:pPr>
      <w:hyperlink w:anchor="_Toc426033663" w:history="1">
        <w:r w:rsidRPr="00B0116D">
          <w:rPr>
            <w:rStyle w:val="Hypertextovodkaz"/>
            <w:noProof/>
          </w:rPr>
          <w:t>5.1.3</w:t>
        </w:r>
        <w:r>
          <w:rPr>
            <w:rFonts w:asciiTheme="minorHAnsi" w:eastAsiaTheme="minorEastAsia" w:hAnsiTheme="minorHAnsi" w:cstheme="minorBidi"/>
            <w:noProof/>
            <w:sz w:val="22"/>
            <w:szCs w:val="22"/>
            <w:lang w:val="cs-CZ" w:eastAsia="cs-CZ"/>
          </w:rPr>
          <w:tab/>
        </w:r>
        <w:r w:rsidRPr="00B0116D">
          <w:rPr>
            <w:rStyle w:val="Hypertextovodkaz"/>
            <w:noProof/>
          </w:rPr>
          <w:t>Assessment of IFIs established at the national, regional, transnational or cross-border level</w:t>
        </w:r>
        <w:r>
          <w:rPr>
            <w:noProof/>
            <w:webHidden/>
          </w:rPr>
          <w:tab/>
        </w:r>
        <w:r>
          <w:rPr>
            <w:noProof/>
            <w:webHidden/>
          </w:rPr>
          <w:fldChar w:fldCharType="begin"/>
        </w:r>
        <w:r>
          <w:rPr>
            <w:noProof/>
            <w:webHidden/>
          </w:rPr>
          <w:instrText xml:space="preserve"> PAGEREF _Toc426033663 \h </w:instrText>
        </w:r>
        <w:r>
          <w:rPr>
            <w:noProof/>
            <w:webHidden/>
          </w:rPr>
        </w:r>
        <w:r>
          <w:rPr>
            <w:noProof/>
            <w:webHidden/>
          </w:rPr>
          <w:fldChar w:fldCharType="separate"/>
        </w:r>
        <w:r w:rsidR="007C5202">
          <w:rPr>
            <w:noProof/>
            <w:webHidden/>
          </w:rPr>
          <w:t>67</w:t>
        </w:r>
        <w:r>
          <w:rPr>
            <w:noProof/>
            <w:webHidden/>
          </w:rPr>
          <w:fldChar w:fldCharType="end"/>
        </w:r>
      </w:hyperlink>
    </w:p>
    <w:p w:rsidR="00560258" w:rsidRDefault="00560258">
      <w:pPr>
        <w:pStyle w:val="Obsah3"/>
        <w:tabs>
          <w:tab w:val="left" w:pos="1320"/>
          <w:tab w:val="right" w:leader="dot" w:pos="10457"/>
        </w:tabs>
        <w:rPr>
          <w:rFonts w:asciiTheme="minorHAnsi" w:eastAsiaTheme="minorEastAsia" w:hAnsiTheme="minorHAnsi" w:cstheme="minorBidi"/>
          <w:noProof/>
          <w:sz w:val="22"/>
          <w:szCs w:val="22"/>
          <w:lang w:val="cs-CZ" w:eastAsia="cs-CZ"/>
        </w:rPr>
      </w:pPr>
      <w:hyperlink w:anchor="_Toc426033664" w:history="1">
        <w:r w:rsidRPr="00B0116D">
          <w:rPr>
            <w:rStyle w:val="Hypertextovodkaz"/>
            <w:noProof/>
          </w:rPr>
          <w:t>5.1.4</w:t>
        </w:r>
        <w:r>
          <w:rPr>
            <w:rFonts w:asciiTheme="minorHAnsi" w:eastAsiaTheme="minorEastAsia" w:hAnsiTheme="minorHAnsi" w:cstheme="minorBidi"/>
            <w:noProof/>
            <w:sz w:val="22"/>
            <w:szCs w:val="22"/>
            <w:lang w:val="cs-CZ" w:eastAsia="cs-CZ"/>
          </w:rPr>
          <w:tab/>
        </w:r>
        <w:r w:rsidRPr="00B0116D">
          <w:rPr>
            <w:rStyle w:val="Hypertextovodkaz"/>
            <w:noProof/>
          </w:rPr>
          <w:t>Assessment of suitability of involvement of entities under Art. 38(4)(b) of the Common Provisions Regulation</w:t>
        </w:r>
        <w:r>
          <w:rPr>
            <w:noProof/>
            <w:webHidden/>
          </w:rPr>
          <w:tab/>
        </w:r>
        <w:r>
          <w:rPr>
            <w:noProof/>
            <w:webHidden/>
          </w:rPr>
          <w:fldChar w:fldCharType="begin"/>
        </w:r>
        <w:r>
          <w:rPr>
            <w:noProof/>
            <w:webHidden/>
          </w:rPr>
          <w:instrText xml:space="preserve"> PAGEREF _Toc426033664 \h </w:instrText>
        </w:r>
        <w:r>
          <w:rPr>
            <w:noProof/>
            <w:webHidden/>
          </w:rPr>
        </w:r>
        <w:r>
          <w:rPr>
            <w:noProof/>
            <w:webHidden/>
          </w:rPr>
          <w:fldChar w:fldCharType="separate"/>
        </w:r>
        <w:r w:rsidR="007C5202">
          <w:rPr>
            <w:noProof/>
            <w:webHidden/>
          </w:rPr>
          <w:t>70</w:t>
        </w:r>
        <w:r>
          <w:rPr>
            <w:noProof/>
            <w:webHidden/>
          </w:rPr>
          <w:fldChar w:fldCharType="end"/>
        </w:r>
      </w:hyperlink>
    </w:p>
    <w:p w:rsidR="00560258" w:rsidRDefault="00560258">
      <w:pPr>
        <w:pStyle w:val="Obsah3"/>
        <w:tabs>
          <w:tab w:val="left" w:pos="1320"/>
          <w:tab w:val="right" w:leader="dot" w:pos="10457"/>
        </w:tabs>
        <w:rPr>
          <w:rFonts w:asciiTheme="minorHAnsi" w:eastAsiaTheme="minorEastAsia" w:hAnsiTheme="minorHAnsi" w:cstheme="minorBidi"/>
          <w:noProof/>
          <w:sz w:val="22"/>
          <w:szCs w:val="22"/>
          <w:lang w:val="cs-CZ" w:eastAsia="cs-CZ"/>
        </w:rPr>
      </w:pPr>
      <w:hyperlink w:anchor="_Toc426033665" w:history="1">
        <w:r w:rsidRPr="00B0116D">
          <w:rPr>
            <w:rStyle w:val="Hypertextovodkaz"/>
            <w:noProof/>
          </w:rPr>
          <w:t>5.1.5</w:t>
        </w:r>
        <w:r>
          <w:rPr>
            <w:rFonts w:asciiTheme="minorHAnsi" w:eastAsiaTheme="minorEastAsia" w:hAnsiTheme="minorHAnsi" w:cstheme="minorBidi"/>
            <w:noProof/>
            <w:sz w:val="22"/>
            <w:szCs w:val="22"/>
            <w:lang w:val="cs-CZ" w:eastAsia="cs-CZ"/>
          </w:rPr>
          <w:tab/>
        </w:r>
        <w:r w:rsidRPr="00B0116D">
          <w:rPr>
            <w:rStyle w:val="Hypertextovodkaz"/>
            <w:noProof/>
          </w:rPr>
          <w:t>Framework scheme of the proposed FI and assessment of its integration in the national holding fund</w:t>
        </w:r>
        <w:r>
          <w:rPr>
            <w:noProof/>
            <w:webHidden/>
          </w:rPr>
          <w:tab/>
        </w:r>
        <w:r>
          <w:rPr>
            <w:noProof/>
            <w:webHidden/>
          </w:rPr>
          <w:fldChar w:fldCharType="begin"/>
        </w:r>
        <w:r>
          <w:rPr>
            <w:noProof/>
            <w:webHidden/>
          </w:rPr>
          <w:instrText xml:space="preserve"> PAGEREF _Toc426033665 \h </w:instrText>
        </w:r>
        <w:r>
          <w:rPr>
            <w:noProof/>
            <w:webHidden/>
          </w:rPr>
        </w:r>
        <w:r>
          <w:rPr>
            <w:noProof/>
            <w:webHidden/>
          </w:rPr>
          <w:fldChar w:fldCharType="separate"/>
        </w:r>
        <w:r w:rsidR="007C5202">
          <w:rPr>
            <w:noProof/>
            <w:webHidden/>
          </w:rPr>
          <w:t>74</w:t>
        </w:r>
        <w:r>
          <w:rPr>
            <w:noProof/>
            <w:webHidden/>
          </w:rPr>
          <w:fldChar w:fldCharType="end"/>
        </w:r>
      </w:hyperlink>
    </w:p>
    <w:p w:rsidR="00560258" w:rsidRDefault="00560258">
      <w:pPr>
        <w:pStyle w:val="Obsah3"/>
        <w:tabs>
          <w:tab w:val="left" w:pos="1320"/>
          <w:tab w:val="right" w:leader="dot" w:pos="10457"/>
        </w:tabs>
        <w:rPr>
          <w:rFonts w:asciiTheme="minorHAnsi" w:eastAsiaTheme="minorEastAsia" w:hAnsiTheme="minorHAnsi" w:cstheme="minorBidi"/>
          <w:noProof/>
          <w:sz w:val="22"/>
          <w:szCs w:val="22"/>
          <w:lang w:val="cs-CZ" w:eastAsia="cs-CZ"/>
        </w:rPr>
      </w:pPr>
      <w:hyperlink w:anchor="_Toc426033666" w:history="1">
        <w:r w:rsidRPr="00B0116D">
          <w:rPr>
            <w:rStyle w:val="Hypertextovodkaz"/>
            <w:noProof/>
          </w:rPr>
          <w:t>5.1.6</w:t>
        </w:r>
        <w:r>
          <w:rPr>
            <w:rFonts w:asciiTheme="minorHAnsi" w:eastAsiaTheme="minorEastAsia" w:hAnsiTheme="minorHAnsi" w:cstheme="minorBidi"/>
            <w:noProof/>
            <w:sz w:val="22"/>
            <w:szCs w:val="22"/>
            <w:lang w:val="cs-CZ" w:eastAsia="cs-CZ"/>
          </w:rPr>
          <w:tab/>
        </w:r>
        <w:r w:rsidRPr="00B0116D">
          <w:rPr>
            <w:rStyle w:val="Hypertextovodkaz"/>
            <w:noProof/>
          </w:rPr>
          <w:t>Steps necessary for the introduction of the financial instrument</w:t>
        </w:r>
        <w:r>
          <w:rPr>
            <w:noProof/>
            <w:webHidden/>
          </w:rPr>
          <w:tab/>
        </w:r>
        <w:r>
          <w:rPr>
            <w:noProof/>
            <w:webHidden/>
          </w:rPr>
          <w:fldChar w:fldCharType="begin"/>
        </w:r>
        <w:r>
          <w:rPr>
            <w:noProof/>
            <w:webHidden/>
          </w:rPr>
          <w:instrText xml:space="preserve"> PAGEREF _Toc426033666 \h </w:instrText>
        </w:r>
        <w:r>
          <w:rPr>
            <w:noProof/>
            <w:webHidden/>
          </w:rPr>
        </w:r>
        <w:r>
          <w:rPr>
            <w:noProof/>
            <w:webHidden/>
          </w:rPr>
          <w:fldChar w:fldCharType="separate"/>
        </w:r>
        <w:r w:rsidR="007C5202">
          <w:rPr>
            <w:noProof/>
            <w:webHidden/>
          </w:rPr>
          <w:t>80</w:t>
        </w:r>
        <w:r>
          <w:rPr>
            <w:noProof/>
            <w:webHidden/>
          </w:rPr>
          <w:fldChar w:fldCharType="end"/>
        </w:r>
      </w:hyperlink>
    </w:p>
    <w:p w:rsidR="00560258" w:rsidRDefault="00560258">
      <w:pPr>
        <w:pStyle w:val="Obsah2"/>
        <w:tabs>
          <w:tab w:val="right" w:leader="dot" w:pos="10457"/>
        </w:tabs>
        <w:rPr>
          <w:rFonts w:asciiTheme="minorHAnsi" w:eastAsiaTheme="minorEastAsia" w:hAnsiTheme="minorHAnsi" w:cstheme="minorBidi"/>
          <w:noProof/>
          <w:sz w:val="22"/>
          <w:szCs w:val="22"/>
          <w:lang w:val="cs-CZ" w:eastAsia="cs-CZ"/>
        </w:rPr>
      </w:pPr>
      <w:hyperlink w:anchor="_Toc426033667" w:history="1">
        <w:r w:rsidRPr="00B0116D">
          <w:rPr>
            <w:rStyle w:val="Hypertextovodkaz"/>
            <w:noProof/>
          </w:rPr>
          <w:t>5.2</w:t>
        </w:r>
        <w:r>
          <w:rPr>
            <w:rFonts w:asciiTheme="minorHAnsi" w:eastAsiaTheme="minorEastAsia" w:hAnsiTheme="minorHAnsi" w:cstheme="minorBidi"/>
            <w:noProof/>
            <w:sz w:val="22"/>
            <w:szCs w:val="22"/>
            <w:lang w:val="cs-CZ" w:eastAsia="cs-CZ"/>
          </w:rPr>
          <w:tab/>
        </w:r>
        <w:r w:rsidRPr="00B0116D">
          <w:rPr>
            <w:rStyle w:val="Hypertextovodkaz"/>
            <w:noProof/>
          </w:rPr>
          <w:t>Proposed investment strategy</w:t>
        </w:r>
        <w:r>
          <w:rPr>
            <w:noProof/>
            <w:webHidden/>
          </w:rPr>
          <w:tab/>
        </w:r>
        <w:r>
          <w:rPr>
            <w:noProof/>
            <w:webHidden/>
          </w:rPr>
          <w:fldChar w:fldCharType="begin"/>
        </w:r>
        <w:r>
          <w:rPr>
            <w:noProof/>
            <w:webHidden/>
          </w:rPr>
          <w:instrText xml:space="preserve"> PAGEREF _Toc426033667 \h </w:instrText>
        </w:r>
        <w:r>
          <w:rPr>
            <w:noProof/>
            <w:webHidden/>
          </w:rPr>
        </w:r>
        <w:r>
          <w:rPr>
            <w:noProof/>
            <w:webHidden/>
          </w:rPr>
          <w:fldChar w:fldCharType="separate"/>
        </w:r>
        <w:r w:rsidR="007C5202">
          <w:rPr>
            <w:noProof/>
            <w:webHidden/>
          </w:rPr>
          <w:t>94</w:t>
        </w:r>
        <w:r>
          <w:rPr>
            <w:noProof/>
            <w:webHidden/>
          </w:rPr>
          <w:fldChar w:fldCharType="end"/>
        </w:r>
      </w:hyperlink>
    </w:p>
    <w:p w:rsidR="00560258" w:rsidRDefault="00560258">
      <w:pPr>
        <w:pStyle w:val="Obsah3"/>
        <w:tabs>
          <w:tab w:val="left" w:pos="1320"/>
          <w:tab w:val="right" w:leader="dot" w:pos="10457"/>
        </w:tabs>
        <w:rPr>
          <w:rFonts w:asciiTheme="minorHAnsi" w:eastAsiaTheme="minorEastAsia" w:hAnsiTheme="minorHAnsi" w:cstheme="minorBidi"/>
          <w:noProof/>
          <w:sz w:val="22"/>
          <w:szCs w:val="22"/>
          <w:lang w:val="cs-CZ" w:eastAsia="cs-CZ"/>
        </w:rPr>
      </w:pPr>
      <w:hyperlink w:anchor="_Toc426033668" w:history="1">
        <w:r w:rsidRPr="00B0116D">
          <w:rPr>
            <w:rStyle w:val="Hypertextovodkaz"/>
            <w:noProof/>
          </w:rPr>
          <w:t>5.2.1</w:t>
        </w:r>
        <w:r>
          <w:rPr>
            <w:rFonts w:asciiTheme="minorHAnsi" w:eastAsiaTheme="minorEastAsia" w:hAnsiTheme="minorHAnsi" w:cstheme="minorBidi"/>
            <w:noProof/>
            <w:sz w:val="22"/>
            <w:szCs w:val="22"/>
            <w:lang w:val="cs-CZ" w:eastAsia="cs-CZ"/>
          </w:rPr>
          <w:tab/>
        </w:r>
        <w:r w:rsidRPr="00B0116D">
          <w:rPr>
            <w:rStyle w:val="Hypertextovodkaz"/>
            <w:noProof/>
          </w:rPr>
          <w:t>Description of the original situation</w:t>
        </w:r>
        <w:r>
          <w:rPr>
            <w:noProof/>
            <w:webHidden/>
          </w:rPr>
          <w:tab/>
        </w:r>
        <w:r>
          <w:rPr>
            <w:noProof/>
            <w:webHidden/>
          </w:rPr>
          <w:fldChar w:fldCharType="begin"/>
        </w:r>
        <w:r>
          <w:rPr>
            <w:noProof/>
            <w:webHidden/>
          </w:rPr>
          <w:instrText xml:space="preserve"> PAGEREF _Toc426033668 \h </w:instrText>
        </w:r>
        <w:r>
          <w:rPr>
            <w:noProof/>
            <w:webHidden/>
          </w:rPr>
        </w:r>
        <w:r>
          <w:rPr>
            <w:noProof/>
            <w:webHidden/>
          </w:rPr>
          <w:fldChar w:fldCharType="separate"/>
        </w:r>
        <w:r w:rsidR="007C5202">
          <w:rPr>
            <w:noProof/>
            <w:webHidden/>
          </w:rPr>
          <w:t>94</w:t>
        </w:r>
        <w:r>
          <w:rPr>
            <w:noProof/>
            <w:webHidden/>
          </w:rPr>
          <w:fldChar w:fldCharType="end"/>
        </w:r>
      </w:hyperlink>
    </w:p>
    <w:p w:rsidR="00560258" w:rsidRDefault="00560258">
      <w:pPr>
        <w:pStyle w:val="Obsah3"/>
        <w:tabs>
          <w:tab w:val="left" w:pos="1320"/>
          <w:tab w:val="right" w:leader="dot" w:pos="10457"/>
        </w:tabs>
        <w:rPr>
          <w:rFonts w:asciiTheme="minorHAnsi" w:eastAsiaTheme="minorEastAsia" w:hAnsiTheme="minorHAnsi" w:cstheme="minorBidi"/>
          <w:noProof/>
          <w:sz w:val="22"/>
          <w:szCs w:val="22"/>
          <w:lang w:val="cs-CZ" w:eastAsia="cs-CZ"/>
        </w:rPr>
      </w:pPr>
      <w:hyperlink w:anchor="_Toc426033669" w:history="1">
        <w:r w:rsidRPr="00B0116D">
          <w:rPr>
            <w:rStyle w:val="Hypertextovodkaz"/>
            <w:noProof/>
          </w:rPr>
          <w:t>5.2.2</w:t>
        </w:r>
        <w:r>
          <w:rPr>
            <w:rFonts w:asciiTheme="minorHAnsi" w:eastAsiaTheme="minorEastAsia" w:hAnsiTheme="minorHAnsi" w:cstheme="minorBidi"/>
            <w:noProof/>
            <w:sz w:val="22"/>
            <w:szCs w:val="22"/>
            <w:lang w:val="cs-CZ" w:eastAsia="cs-CZ"/>
          </w:rPr>
          <w:tab/>
        </w:r>
        <w:r w:rsidRPr="00B0116D">
          <w:rPr>
            <w:rStyle w:val="Hypertextovodkaz"/>
            <w:noProof/>
          </w:rPr>
          <w:t>Description of the objectives of the financial instrument</w:t>
        </w:r>
        <w:r>
          <w:rPr>
            <w:noProof/>
            <w:webHidden/>
          </w:rPr>
          <w:tab/>
        </w:r>
        <w:r>
          <w:rPr>
            <w:noProof/>
            <w:webHidden/>
          </w:rPr>
          <w:fldChar w:fldCharType="begin"/>
        </w:r>
        <w:r>
          <w:rPr>
            <w:noProof/>
            <w:webHidden/>
          </w:rPr>
          <w:instrText xml:space="preserve"> PAGEREF _Toc426033669 \h </w:instrText>
        </w:r>
        <w:r>
          <w:rPr>
            <w:noProof/>
            <w:webHidden/>
          </w:rPr>
        </w:r>
        <w:r>
          <w:rPr>
            <w:noProof/>
            <w:webHidden/>
          </w:rPr>
          <w:fldChar w:fldCharType="separate"/>
        </w:r>
        <w:r w:rsidR="007C5202">
          <w:rPr>
            <w:noProof/>
            <w:webHidden/>
          </w:rPr>
          <w:t>98</w:t>
        </w:r>
        <w:r>
          <w:rPr>
            <w:noProof/>
            <w:webHidden/>
          </w:rPr>
          <w:fldChar w:fldCharType="end"/>
        </w:r>
      </w:hyperlink>
    </w:p>
    <w:p w:rsidR="00560258" w:rsidRDefault="00560258">
      <w:pPr>
        <w:pStyle w:val="Obsah3"/>
        <w:tabs>
          <w:tab w:val="left" w:pos="1320"/>
          <w:tab w:val="right" w:leader="dot" w:pos="10457"/>
        </w:tabs>
        <w:rPr>
          <w:rFonts w:asciiTheme="minorHAnsi" w:eastAsiaTheme="minorEastAsia" w:hAnsiTheme="minorHAnsi" w:cstheme="minorBidi"/>
          <w:noProof/>
          <w:sz w:val="22"/>
          <w:szCs w:val="22"/>
          <w:lang w:val="cs-CZ" w:eastAsia="cs-CZ"/>
        </w:rPr>
      </w:pPr>
      <w:hyperlink w:anchor="_Toc426033670" w:history="1">
        <w:r w:rsidRPr="00B0116D">
          <w:rPr>
            <w:rStyle w:val="Hypertextovodkaz"/>
            <w:noProof/>
          </w:rPr>
          <w:t>5.2.3</w:t>
        </w:r>
        <w:r>
          <w:rPr>
            <w:rFonts w:asciiTheme="minorHAnsi" w:eastAsiaTheme="minorEastAsia" w:hAnsiTheme="minorHAnsi" w:cstheme="minorBidi"/>
            <w:noProof/>
            <w:sz w:val="22"/>
            <w:szCs w:val="22"/>
            <w:lang w:val="cs-CZ" w:eastAsia="cs-CZ"/>
          </w:rPr>
          <w:tab/>
        </w:r>
        <w:r w:rsidRPr="00B0116D">
          <w:rPr>
            <w:rStyle w:val="Hypertextovodkaz"/>
            <w:noProof/>
          </w:rPr>
          <w:t>Implementation structure characteristics</w:t>
        </w:r>
        <w:r>
          <w:rPr>
            <w:noProof/>
            <w:webHidden/>
          </w:rPr>
          <w:tab/>
        </w:r>
        <w:r>
          <w:rPr>
            <w:noProof/>
            <w:webHidden/>
          </w:rPr>
          <w:fldChar w:fldCharType="begin"/>
        </w:r>
        <w:r>
          <w:rPr>
            <w:noProof/>
            <w:webHidden/>
          </w:rPr>
          <w:instrText xml:space="preserve"> PAGEREF _Toc426033670 \h </w:instrText>
        </w:r>
        <w:r>
          <w:rPr>
            <w:noProof/>
            <w:webHidden/>
          </w:rPr>
        </w:r>
        <w:r>
          <w:rPr>
            <w:noProof/>
            <w:webHidden/>
          </w:rPr>
          <w:fldChar w:fldCharType="separate"/>
        </w:r>
        <w:r w:rsidR="007C5202">
          <w:rPr>
            <w:noProof/>
            <w:webHidden/>
          </w:rPr>
          <w:t>98</w:t>
        </w:r>
        <w:r>
          <w:rPr>
            <w:noProof/>
            <w:webHidden/>
          </w:rPr>
          <w:fldChar w:fldCharType="end"/>
        </w:r>
      </w:hyperlink>
    </w:p>
    <w:p w:rsidR="00560258" w:rsidRDefault="00560258">
      <w:pPr>
        <w:pStyle w:val="Obsah3"/>
        <w:tabs>
          <w:tab w:val="left" w:pos="1320"/>
          <w:tab w:val="right" w:leader="dot" w:pos="10457"/>
        </w:tabs>
        <w:rPr>
          <w:rFonts w:asciiTheme="minorHAnsi" w:eastAsiaTheme="minorEastAsia" w:hAnsiTheme="minorHAnsi" w:cstheme="minorBidi"/>
          <w:noProof/>
          <w:sz w:val="22"/>
          <w:szCs w:val="22"/>
          <w:lang w:val="cs-CZ" w:eastAsia="cs-CZ"/>
        </w:rPr>
      </w:pPr>
      <w:hyperlink w:anchor="_Toc426033671" w:history="1">
        <w:r w:rsidRPr="00B0116D">
          <w:rPr>
            <w:rStyle w:val="Hypertextovodkaz"/>
            <w:noProof/>
          </w:rPr>
          <w:t>5.2.4</w:t>
        </w:r>
        <w:r>
          <w:rPr>
            <w:rFonts w:asciiTheme="minorHAnsi" w:eastAsiaTheme="minorEastAsia" w:hAnsiTheme="minorHAnsi" w:cstheme="minorBidi"/>
            <w:noProof/>
            <w:sz w:val="22"/>
            <w:szCs w:val="22"/>
            <w:lang w:val="cs-CZ" w:eastAsia="cs-CZ"/>
          </w:rPr>
          <w:tab/>
        </w:r>
        <w:r w:rsidRPr="00B0116D">
          <w:rPr>
            <w:rStyle w:val="Hypertextovodkaz"/>
            <w:noProof/>
          </w:rPr>
          <w:t>Basic parameters of the financial instrument and diagram of operation – proposal for a specific financial instrument</w:t>
        </w:r>
        <w:r>
          <w:rPr>
            <w:noProof/>
            <w:webHidden/>
          </w:rPr>
          <w:tab/>
        </w:r>
        <w:r>
          <w:rPr>
            <w:noProof/>
            <w:webHidden/>
          </w:rPr>
          <w:fldChar w:fldCharType="begin"/>
        </w:r>
        <w:r>
          <w:rPr>
            <w:noProof/>
            <w:webHidden/>
          </w:rPr>
          <w:instrText xml:space="preserve"> PAGEREF _Toc426033671 \h </w:instrText>
        </w:r>
        <w:r>
          <w:rPr>
            <w:noProof/>
            <w:webHidden/>
          </w:rPr>
        </w:r>
        <w:r>
          <w:rPr>
            <w:noProof/>
            <w:webHidden/>
          </w:rPr>
          <w:fldChar w:fldCharType="separate"/>
        </w:r>
        <w:r w:rsidR="007C5202">
          <w:rPr>
            <w:noProof/>
            <w:webHidden/>
          </w:rPr>
          <w:t>98</w:t>
        </w:r>
        <w:r>
          <w:rPr>
            <w:noProof/>
            <w:webHidden/>
          </w:rPr>
          <w:fldChar w:fldCharType="end"/>
        </w:r>
      </w:hyperlink>
    </w:p>
    <w:p w:rsidR="00560258" w:rsidRDefault="00560258">
      <w:pPr>
        <w:pStyle w:val="Obsah3"/>
        <w:tabs>
          <w:tab w:val="left" w:pos="1320"/>
          <w:tab w:val="right" w:leader="dot" w:pos="10457"/>
        </w:tabs>
        <w:rPr>
          <w:rFonts w:asciiTheme="minorHAnsi" w:eastAsiaTheme="minorEastAsia" w:hAnsiTheme="minorHAnsi" w:cstheme="minorBidi"/>
          <w:noProof/>
          <w:sz w:val="22"/>
          <w:szCs w:val="22"/>
          <w:lang w:val="cs-CZ" w:eastAsia="cs-CZ"/>
        </w:rPr>
      </w:pPr>
      <w:hyperlink w:anchor="_Toc426033672" w:history="1">
        <w:r w:rsidRPr="00B0116D">
          <w:rPr>
            <w:rStyle w:val="Hypertextovodkaz"/>
            <w:noProof/>
          </w:rPr>
          <w:t>5.2.5</w:t>
        </w:r>
        <w:r>
          <w:rPr>
            <w:rFonts w:asciiTheme="minorHAnsi" w:eastAsiaTheme="minorEastAsia" w:hAnsiTheme="minorHAnsi" w:cstheme="minorBidi"/>
            <w:noProof/>
            <w:sz w:val="22"/>
            <w:szCs w:val="22"/>
            <w:lang w:val="cs-CZ" w:eastAsia="cs-CZ"/>
          </w:rPr>
          <w:tab/>
        </w:r>
        <w:r w:rsidRPr="00B0116D">
          <w:rPr>
            <w:rStyle w:val="Hypertextovodkaz"/>
            <w:noProof/>
          </w:rPr>
          <w:t>Evaluation of options of the financial instrument operation</w:t>
        </w:r>
        <w:r>
          <w:rPr>
            <w:noProof/>
            <w:webHidden/>
          </w:rPr>
          <w:tab/>
        </w:r>
        <w:r>
          <w:rPr>
            <w:noProof/>
            <w:webHidden/>
          </w:rPr>
          <w:fldChar w:fldCharType="begin"/>
        </w:r>
        <w:r>
          <w:rPr>
            <w:noProof/>
            <w:webHidden/>
          </w:rPr>
          <w:instrText xml:space="preserve"> PAGEREF _Toc426033672 \h </w:instrText>
        </w:r>
        <w:r>
          <w:rPr>
            <w:noProof/>
            <w:webHidden/>
          </w:rPr>
        </w:r>
        <w:r>
          <w:rPr>
            <w:noProof/>
            <w:webHidden/>
          </w:rPr>
          <w:fldChar w:fldCharType="separate"/>
        </w:r>
        <w:r w:rsidR="007C5202">
          <w:rPr>
            <w:noProof/>
            <w:webHidden/>
          </w:rPr>
          <w:t>109</w:t>
        </w:r>
        <w:r>
          <w:rPr>
            <w:noProof/>
            <w:webHidden/>
          </w:rPr>
          <w:fldChar w:fldCharType="end"/>
        </w:r>
      </w:hyperlink>
    </w:p>
    <w:p w:rsidR="00560258" w:rsidRDefault="00560258">
      <w:pPr>
        <w:pStyle w:val="Obsah3"/>
        <w:tabs>
          <w:tab w:val="left" w:pos="1320"/>
          <w:tab w:val="right" w:leader="dot" w:pos="10457"/>
        </w:tabs>
        <w:rPr>
          <w:rFonts w:asciiTheme="minorHAnsi" w:eastAsiaTheme="minorEastAsia" w:hAnsiTheme="minorHAnsi" w:cstheme="minorBidi"/>
          <w:noProof/>
          <w:sz w:val="22"/>
          <w:szCs w:val="22"/>
          <w:lang w:val="cs-CZ" w:eastAsia="cs-CZ"/>
        </w:rPr>
      </w:pPr>
      <w:hyperlink w:anchor="_Toc426033673" w:history="1">
        <w:r w:rsidRPr="00B0116D">
          <w:rPr>
            <w:rStyle w:val="Hypertextovodkaz"/>
            <w:noProof/>
          </w:rPr>
          <w:t>5.2.6</w:t>
        </w:r>
        <w:r>
          <w:rPr>
            <w:rFonts w:asciiTheme="minorHAnsi" w:eastAsiaTheme="minorEastAsia" w:hAnsiTheme="minorHAnsi" w:cstheme="minorBidi"/>
            <w:noProof/>
            <w:sz w:val="22"/>
            <w:szCs w:val="22"/>
            <w:lang w:val="cs-CZ" w:eastAsia="cs-CZ"/>
          </w:rPr>
          <w:tab/>
        </w:r>
        <w:r w:rsidRPr="00B0116D">
          <w:rPr>
            <w:rStyle w:val="Hypertextovodkaz"/>
            <w:noProof/>
          </w:rPr>
          <w:t>Typical example – comparison of subsidy-based aid and a soft loan</w:t>
        </w:r>
        <w:r>
          <w:rPr>
            <w:noProof/>
            <w:webHidden/>
          </w:rPr>
          <w:tab/>
        </w:r>
        <w:r>
          <w:rPr>
            <w:noProof/>
            <w:webHidden/>
          </w:rPr>
          <w:fldChar w:fldCharType="begin"/>
        </w:r>
        <w:r>
          <w:rPr>
            <w:noProof/>
            <w:webHidden/>
          </w:rPr>
          <w:instrText xml:space="preserve"> PAGEREF _Toc426033673 \h </w:instrText>
        </w:r>
        <w:r>
          <w:rPr>
            <w:noProof/>
            <w:webHidden/>
          </w:rPr>
        </w:r>
        <w:r>
          <w:rPr>
            <w:noProof/>
            <w:webHidden/>
          </w:rPr>
          <w:fldChar w:fldCharType="separate"/>
        </w:r>
        <w:r w:rsidR="007C5202">
          <w:rPr>
            <w:noProof/>
            <w:webHidden/>
          </w:rPr>
          <w:t>110</w:t>
        </w:r>
        <w:r>
          <w:rPr>
            <w:noProof/>
            <w:webHidden/>
          </w:rPr>
          <w:fldChar w:fldCharType="end"/>
        </w:r>
      </w:hyperlink>
    </w:p>
    <w:p w:rsidR="00560258" w:rsidRDefault="00560258">
      <w:pPr>
        <w:pStyle w:val="Obsah2"/>
        <w:tabs>
          <w:tab w:val="right" w:leader="dot" w:pos="10457"/>
        </w:tabs>
        <w:rPr>
          <w:rFonts w:asciiTheme="minorHAnsi" w:eastAsiaTheme="minorEastAsia" w:hAnsiTheme="minorHAnsi" w:cstheme="minorBidi"/>
          <w:noProof/>
          <w:sz w:val="22"/>
          <w:szCs w:val="22"/>
          <w:lang w:val="cs-CZ" w:eastAsia="cs-CZ"/>
        </w:rPr>
      </w:pPr>
      <w:hyperlink w:anchor="_Toc426033674" w:history="1">
        <w:r w:rsidRPr="00B0116D">
          <w:rPr>
            <w:rStyle w:val="Hypertextovodkaz"/>
            <w:noProof/>
          </w:rPr>
          <w:t>5.3</w:t>
        </w:r>
        <w:r>
          <w:rPr>
            <w:rFonts w:asciiTheme="minorHAnsi" w:eastAsiaTheme="minorEastAsia" w:hAnsiTheme="minorHAnsi" w:cstheme="minorBidi"/>
            <w:noProof/>
            <w:sz w:val="22"/>
            <w:szCs w:val="22"/>
            <w:lang w:val="cs-CZ" w:eastAsia="cs-CZ"/>
          </w:rPr>
          <w:tab/>
        </w:r>
        <w:r w:rsidRPr="00B0116D">
          <w:rPr>
            <w:rStyle w:val="Hypertextovodkaz"/>
            <w:noProof/>
          </w:rPr>
          <w:t>Options for linking with existing financial instruments and aids</w:t>
        </w:r>
        <w:r>
          <w:rPr>
            <w:noProof/>
            <w:webHidden/>
          </w:rPr>
          <w:tab/>
        </w:r>
        <w:r>
          <w:rPr>
            <w:noProof/>
            <w:webHidden/>
          </w:rPr>
          <w:fldChar w:fldCharType="begin"/>
        </w:r>
        <w:r>
          <w:rPr>
            <w:noProof/>
            <w:webHidden/>
          </w:rPr>
          <w:instrText xml:space="preserve"> PAGEREF _Toc426033674 \h </w:instrText>
        </w:r>
        <w:r>
          <w:rPr>
            <w:noProof/>
            <w:webHidden/>
          </w:rPr>
        </w:r>
        <w:r>
          <w:rPr>
            <w:noProof/>
            <w:webHidden/>
          </w:rPr>
          <w:fldChar w:fldCharType="separate"/>
        </w:r>
        <w:r w:rsidR="007C5202">
          <w:rPr>
            <w:noProof/>
            <w:webHidden/>
          </w:rPr>
          <w:t>113</w:t>
        </w:r>
        <w:r>
          <w:rPr>
            <w:noProof/>
            <w:webHidden/>
          </w:rPr>
          <w:fldChar w:fldCharType="end"/>
        </w:r>
      </w:hyperlink>
    </w:p>
    <w:p w:rsidR="00560258" w:rsidRDefault="00560258">
      <w:pPr>
        <w:pStyle w:val="Obsah2"/>
        <w:tabs>
          <w:tab w:val="right" w:leader="dot" w:pos="10457"/>
        </w:tabs>
        <w:rPr>
          <w:rFonts w:asciiTheme="minorHAnsi" w:eastAsiaTheme="minorEastAsia" w:hAnsiTheme="minorHAnsi" w:cstheme="minorBidi"/>
          <w:noProof/>
          <w:sz w:val="22"/>
          <w:szCs w:val="22"/>
          <w:lang w:val="cs-CZ" w:eastAsia="cs-CZ"/>
        </w:rPr>
      </w:pPr>
      <w:hyperlink w:anchor="_Toc426033675" w:history="1">
        <w:r w:rsidRPr="00B0116D">
          <w:rPr>
            <w:rStyle w:val="Hypertextovodkaz"/>
            <w:noProof/>
            <w:spacing w:val="-2"/>
          </w:rPr>
          <w:t>5.4</w:t>
        </w:r>
        <w:r>
          <w:rPr>
            <w:rFonts w:asciiTheme="minorHAnsi" w:eastAsiaTheme="minorEastAsia" w:hAnsiTheme="minorHAnsi" w:cstheme="minorBidi"/>
            <w:noProof/>
            <w:sz w:val="22"/>
            <w:szCs w:val="22"/>
            <w:lang w:val="cs-CZ" w:eastAsia="cs-CZ"/>
          </w:rPr>
          <w:tab/>
        </w:r>
        <w:r w:rsidRPr="00B0116D">
          <w:rPr>
            <w:rStyle w:val="Hypertextovodkaz"/>
            <w:noProof/>
            <w:spacing w:val="-2"/>
          </w:rPr>
          <w:t>Assessment of the compatibility with the state aid guidelines</w:t>
        </w:r>
        <w:r>
          <w:rPr>
            <w:noProof/>
            <w:webHidden/>
          </w:rPr>
          <w:tab/>
        </w:r>
        <w:r>
          <w:rPr>
            <w:noProof/>
            <w:webHidden/>
          </w:rPr>
          <w:fldChar w:fldCharType="begin"/>
        </w:r>
        <w:r>
          <w:rPr>
            <w:noProof/>
            <w:webHidden/>
          </w:rPr>
          <w:instrText xml:space="preserve"> PAGEREF _Toc426033675 \h </w:instrText>
        </w:r>
        <w:r>
          <w:rPr>
            <w:noProof/>
            <w:webHidden/>
          </w:rPr>
        </w:r>
        <w:r>
          <w:rPr>
            <w:noProof/>
            <w:webHidden/>
          </w:rPr>
          <w:fldChar w:fldCharType="separate"/>
        </w:r>
        <w:r w:rsidR="007C5202">
          <w:rPr>
            <w:noProof/>
            <w:webHidden/>
          </w:rPr>
          <w:t>115</w:t>
        </w:r>
        <w:r>
          <w:rPr>
            <w:noProof/>
            <w:webHidden/>
          </w:rPr>
          <w:fldChar w:fldCharType="end"/>
        </w:r>
      </w:hyperlink>
    </w:p>
    <w:p w:rsidR="00560258" w:rsidRDefault="00560258">
      <w:pPr>
        <w:pStyle w:val="Obsah3"/>
        <w:tabs>
          <w:tab w:val="left" w:pos="1320"/>
          <w:tab w:val="right" w:leader="dot" w:pos="10457"/>
        </w:tabs>
        <w:rPr>
          <w:rFonts w:asciiTheme="minorHAnsi" w:eastAsiaTheme="minorEastAsia" w:hAnsiTheme="minorHAnsi" w:cstheme="minorBidi"/>
          <w:noProof/>
          <w:sz w:val="22"/>
          <w:szCs w:val="22"/>
          <w:lang w:val="cs-CZ" w:eastAsia="cs-CZ"/>
        </w:rPr>
      </w:pPr>
      <w:hyperlink w:anchor="_Toc426033676" w:history="1">
        <w:r w:rsidRPr="00B0116D">
          <w:rPr>
            <w:rStyle w:val="Hypertextovodkaz"/>
            <w:noProof/>
          </w:rPr>
          <w:t>5.4.1</w:t>
        </w:r>
        <w:r>
          <w:rPr>
            <w:rFonts w:asciiTheme="minorHAnsi" w:eastAsiaTheme="minorEastAsia" w:hAnsiTheme="minorHAnsi" w:cstheme="minorBidi"/>
            <w:noProof/>
            <w:sz w:val="22"/>
            <w:szCs w:val="22"/>
            <w:lang w:val="cs-CZ" w:eastAsia="cs-CZ"/>
          </w:rPr>
          <w:tab/>
        </w:r>
        <w:r w:rsidRPr="00B0116D">
          <w:rPr>
            <w:rStyle w:val="Hypertextovodkaz"/>
            <w:noProof/>
          </w:rPr>
          <w:t>Three-phase assessment of the compatibility of the proposed instruments</w:t>
        </w:r>
        <w:r>
          <w:rPr>
            <w:noProof/>
            <w:webHidden/>
          </w:rPr>
          <w:tab/>
        </w:r>
        <w:r>
          <w:rPr>
            <w:noProof/>
            <w:webHidden/>
          </w:rPr>
          <w:fldChar w:fldCharType="begin"/>
        </w:r>
        <w:r>
          <w:rPr>
            <w:noProof/>
            <w:webHidden/>
          </w:rPr>
          <w:instrText xml:space="preserve"> PAGEREF _Toc426033676 \h </w:instrText>
        </w:r>
        <w:r>
          <w:rPr>
            <w:noProof/>
            <w:webHidden/>
          </w:rPr>
        </w:r>
        <w:r>
          <w:rPr>
            <w:noProof/>
            <w:webHidden/>
          </w:rPr>
          <w:fldChar w:fldCharType="separate"/>
        </w:r>
        <w:r w:rsidR="007C5202">
          <w:rPr>
            <w:noProof/>
            <w:webHidden/>
          </w:rPr>
          <w:t>115</w:t>
        </w:r>
        <w:r>
          <w:rPr>
            <w:noProof/>
            <w:webHidden/>
          </w:rPr>
          <w:fldChar w:fldCharType="end"/>
        </w:r>
      </w:hyperlink>
    </w:p>
    <w:p w:rsidR="00560258" w:rsidRDefault="00560258">
      <w:pPr>
        <w:pStyle w:val="Obsah3"/>
        <w:tabs>
          <w:tab w:val="left" w:pos="1320"/>
          <w:tab w:val="right" w:leader="dot" w:pos="10457"/>
        </w:tabs>
        <w:rPr>
          <w:rFonts w:asciiTheme="minorHAnsi" w:eastAsiaTheme="minorEastAsia" w:hAnsiTheme="minorHAnsi" w:cstheme="minorBidi"/>
          <w:noProof/>
          <w:sz w:val="22"/>
          <w:szCs w:val="22"/>
          <w:lang w:val="cs-CZ" w:eastAsia="cs-CZ"/>
        </w:rPr>
      </w:pPr>
      <w:hyperlink w:anchor="_Toc426033677" w:history="1">
        <w:r w:rsidRPr="00B0116D">
          <w:rPr>
            <w:rStyle w:val="Hypertextovodkaz"/>
            <w:noProof/>
          </w:rPr>
          <w:t>5.4.2</w:t>
        </w:r>
        <w:r>
          <w:rPr>
            <w:rFonts w:asciiTheme="minorHAnsi" w:eastAsiaTheme="minorEastAsia" w:hAnsiTheme="minorHAnsi" w:cstheme="minorBidi"/>
            <w:noProof/>
            <w:sz w:val="22"/>
            <w:szCs w:val="22"/>
            <w:lang w:val="cs-CZ" w:eastAsia="cs-CZ"/>
          </w:rPr>
          <w:tab/>
        </w:r>
        <w:r w:rsidRPr="00B0116D">
          <w:rPr>
            <w:rStyle w:val="Hypertextovodkaz"/>
            <w:noProof/>
          </w:rPr>
          <w:t>Evaluation of the option of using the elements of preferential remuneration</w:t>
        </w:r>
        <w:r>
          <w:rPr>
            <w:noProof/>
            <w:webHidden/>
          </w:rPr>
          <w:tab/>
        </w:r>
        <w:r>
          <w:rPr>
            <w:noProof/>
            <w:webHidden/>
          </w:rPr>
          <w:fldChar w:fldCharType="begin"/>
        </w:r>
        <w:r>
          <w:rPr>
            <w:noProof/>
            <w:webHidden/>
          </w:rPr>
          <w:instrText xml:space="preserve"> PAGEREF _Toc426033677 \h </w:instrText>
        </w:r>
        <w:r>
          <w:rPr>
            <w:noProof/>
            <w:webHidden/>
          </w:rPr>
        </w:r>
        <w:r>
          <w:rPr>
            <w:noProof/>
            <w:webHidden/>
          </w:rPr>
          <w:fldChar w:fldCharType="separate"/>
        </w:r>
        <w:r w:rsidR="007C5202">
          <w:rPr>
            <w:noProof/>
            <w:webHidden/>
          </w:rPr>
          <w:t>116</w:t>
        </w:r>
        <w:r>
          <w:rPr>
            <w:noProof/>
            <w:webHidden/>
          </w:rPr>
          <w:fldChar w:fldCharType="end"/>
        </w:r>
      </w:hyperlink>
    </w:p>
    <w:p w:rsidR="00560258" w:rsidRDefault="00560258">
      <w:pPr>
        <w:pStyle w:val="Obsah3"/>
        <w:tabs>
          <w:tab w:val="left" w:pos="1320"/>
          <w:tab w:val="right" w:leader="dot" w:pos="10457"/>
        </w:tabs>
        <w:rPr>
          <w:rFonts w:asciiTheme="minorHAnsi" w:eastAsiaTheme="minorEastAsia" w:hAnsiTheme="minorHAnsi" w:cstheme="minorBidi"/>
          <w:noProof/>
          <w:sz w:val="22"/>
          <w:szCs w:val="22"/>
          <w:lang w:val="cs-CZ" w:eastAsia="cs-CZ"/>
        </w:rPr>
      </w:pPr>
      <w:hyperlink w:anchor="_Toc426033678" w:history="1">
        <w:r w:rsidRPr="00B0116D">
          <w:rPr>
            <w:rStyle w:val="Hypertextovodkaz"/>
            <w:noProof/>
          </w:rPr>
          <w:t>5.4.3</w:t>
        </w:r>
        <w:r>
          <w:rPr>
            <w:rFonts w:asciiTheme="minorHAnsi" w:eastAsiaTheme="minorEastAsia" w:hAnsiTheme="minorHAnsi" w:cstheme="minorBidi"/>
            <w:noProof/>
            <w:sz w:val="22"/>
            <w:szCs w:val="22"/>
            <w:lang w:val="cs-CZ" w:eastAsia="cs-CZ"/>
          </w:rPr>
          <w:tab/>
        </w:r>
        <w:r w:rsidRPr="00B0116D">
          <w:rPr>
            <w:rStyle w:val="Hypertextovodkaz"/>
            <w:noProof/>
          </w:rPr>
          <w:t>The rules for the payment of the remuneration to the fund manager</w:t>
        </w:r>
        <w:r>
          <w:rPr>
            <w:noProof/>
            <w:webHidden/>
          </w:rPr>
          <w:tab/>
        </w:r>
        <w:r>
          <w:rPr>
            <w:noProof/>
            <w:webHidden/>
          </w:rPr>
          <w:fldChar w:fldCharType="begin"/>
        </w:r>
        <w:r>
          <w:rPr>
            <w:noProof/>
            <w:webHidden/>
          </w:rPr>
          <w:instrText xml:space="preserve"> PAGEREF _Toc426033678 \h </w:instrText>
        </w:r>
        <w:r>
          <w:rPr>
            <w:noProof/>
            <w:webHidden/>
          </w:rPr>
        </w:r>
        <w:r>
          <w:rPr>
            <w:noProof/>
            <w:webHidden/>
          </w:rPr>
          <w:fldChar w:fldCharType="separate"/>
        </w:r>
        <w:r w:rsidR="007C5202">
          <w:rPr>
            <w:noProof/>
            <w:webHidden/>
          </w:rPr>
          <w:t>118</w:t>
        </w:r>
        <w:r>
          <w:rPr>
            <w:noProof/>
            <w:webHidden/>
          </w:rPr>
          <w:fldChar w:fldCharType="end"/>
        </w:r>
      </w:hyperlink>
    </w:p>
    <w:p w:rsidR="00560258" w:rsidRDefault="00560258">
      <w:pPr>
        <w:pStyle w:val="Obsah3"/>
        <w:tabs>
          <w:tab w:val="left" w:pos="1320"/>
          <w:tab w:val="right" w:leader="dot" w:pos="10457"/>
        </w:tabs>
        <w:rPr>
          <w:rFonts w:asciiTheme="minorHAnsi" w:eastAsiaTheme="minorEastAsia" w:hAnsiTheme="minorHAnsi" w:cstheme="minorBidi"/>
          <w:noProof/>
          <w:sz w:val="22"/>
          <w:szCs w:val="22"/>
          <w:lang w:val="cs-CZ" w:eastAsia="cs-CZ"/>
        </w:rPr>
      </w:pPr>
      <w:hyperlink w:anchor="_Toc426033679" w:history="1">
        <w:r w:rsidRPr="00B0116D">
          <w:rPr>
            <w:rStyle w:val="Hypertextovodkaz"/>
            <w:noProof/>
          </w:rPr>
          <w:t>5.4.4</w:t>
        </w:r>
        <w:r>
          <w:rPr>
            <w:rFonts w:asciiTheme="minorHAnsi" w:eastAsiaTheme="minorEastAsia" w:hAnsiTheme="minorHAnsi" w:cstheme="minorBidi"/>
            <w:noProof/>
            <w:sz w:val="22"/>
            <w:szCs w:val="22"/>
            <w:lang w:val="cs-CZ" w:eastAsia="cs-CZ"/>
          </w:rPr>
          <w:tab/>
        </w:r>
        <w:r w:rsidRPr="00B0116D">
          <w:rPr>
            <w:rStyle w:val="Hypertextovodkaz"/>
            <w:noProof/>
          </w:rPr>
          <w:t>Rules for the combination of financial instruments with other forms of aid</w:t>
        </w:r>
        <w:r>
          <w:rPr>
            <w:noProof/>
            <w:webHidden/>
          </w:rPr>
          <w:tab/>
        </w:r>
        <w:r>
          <w:rPr>
            <w:noProof/>
            <w:webHidden/>
          </w:rPr>
          <w:fldChar w:fldCharType="begin"/>
        </w:r>
        <w:r>
          <w:rPr>
            <w:noProof/>
            <w:webHidden/>
          </w:rPr>
          <w:instrText xml:space="preserve"> PAGEREF _Toc426033679 \h </w:instrText>
        </w:r>
        <w:r>
          <w:rPr>
            <w:noProof/>
            <w:webHidden/>
          </w:rPr>
        </w:r>
        <w:r>
          <w:rPr>
            <w:noProof/>
            <w:webHidden/>
          </w:rPr>
          <w:fldChar w:fldCharType="separate"/>
        </w:r>
        <w:r w:rsidR="007C5202">
          <w:rPr>
            <w:noProof/>
            <w:webHidden/>
          </w:rPr>
          <w:t>119</w:t>
        </w:r>
        <w:r>
          <w:rPr>
            <w:noProof/>
            <w:webHidden/>
          </w:rPr>
          <w:fldChar w:fldCharType="end"/>
        </w:r>
      </w:hyperlink>
    </w:p>
    <w:p w:rsidR="00560258" w:rsidRDefault="00560258">
      <w:pPr>
        <w:pStyle w:val="Obsah3"/>
        <w:tabs>
          <w:tab w:val="left" w:pos="1320"/>
          <w:tab w:val="right" w:leader="dot" w:pos="10457"/>
        </w:tabs>
        <w:rPr>
          <w:rFonts w:asciiTheme="minorHAnsi" w:eastAsiaTheme="minorEastAsia" w:hAnsiTheme="minorHAnsi" w:cstheme="minorBidi"/>
          <w:noProof/>
          <w:sz w:val="22"/>
          <w:szCs w:val="22"/>
          <w:lang w:val="cs-CZ" w:eastAsia="cs-CZ"/>
        </w:rPr>
      </w:pPr>
      <w:hyperlink w:anchor="_Toc426033680" w:history="1">
        <w:r w:rsidRPr="00B0116D">
          <w:rPr>
            <w:rStyle w:val="Hypertextovodkaz"/>
            <w:noProof/>
          </w:rPr>
          <w:t>5.4.5</w:t>
        </w:r>
        <w:r>
          <w:rPr>
            <w:rFonts w:asciiTheme="minorHAnsi" w:eastAsiaTheme="minorEastAsia" w:hAnsiTheme="minorHAnsi" w:cstheme="minorBidi"/>
            <w:noProof/>
            <w:sz w:val="22"/>
            <w:szCs w:val="22"/>
            <w:lang w:val="cs-CZ" w:eastAsia="cs-CZ"/>
          </w:rPr>
          <w:tab/>
        </w:r>
        <w:r w:rsidRPr="00B0116D">
          <w:rPr>
            <w:rStyle w:val="Hypertextovodkaz"/>
            <w:noProof/>
          </w:rPr>
          <w:t>Calculation of the Gross Grant Equivalent</w:t>
        </w:r>
        <w:r>
          <w:rPr>
            <w:noProof/>
            <w:webHidden/>
          </w:rPr>
          <w:tab/>
        </w:r>
        <w:r>
          <w:rPr>
            <w:noProof/>
            <w:webHidden/>
          </w:rPr>
          <w:fldChar w:fldCharType="begin"/>
        </w:r>
        <w:r>
          <w:rPr>
            <w:noProof/>
            <w:webHidden/>
          </w:rPr>
          <w:instrText xml:space="preserve"> PAGEREF _Toc426033680 \h </w:instrText>
        </w:r>
        <w:r>
          <w:rPr>
            <w:noProof/>
            <w:webHidden/>
          </w:rPr>
        </w:r>
        <w:r>
          <w:rPr>
            <w:noProof/>
            <w:webHidden/>
          </w:rPr>
          <w:fldChar w:fldCharType="separate"/>
        </w:r>
        <w:r w:rsidR="007C5202">
          <w:rPr>
            <w:noProof/>
            <w:webHidden/>
          </w:rPr>
          <w:t>120</w:t>
        </w:r>
        <w:r>
          <w:rPr>
            <w:noProof/>
            <w:webHidden/>
          </w:rPr>
          <w:fldChar w:fldCharType="end"/>
        </w:r>
      </w:hyperlink>
    </w:p>
    <w:p w:rsidR="00560258" w:rsidRDefault="00560258">
      <w:pPr>
        <w:pStyle w:val="Obsah2"/>
        <w:tabs>
          <w:tab w:val="right" w:leader="dot" w:pos="10457"/>
        </w:tabs>
        <w:rPr>
          <w:rFonts w:asciiTheme="minorHAnsi" w:eastAsiaTheme="minorEastAsia" w:hAnsiTheme="minorHAnsi" w:cstheme="minorBidi"/>
          <w:noProof/>
          <w:sz w:val="22"/>
          <w:szCs w:val="22"/>
          <w:lang w:val="cs-CZ" w:eastAsia="cs-CZ"/>
        </w:rPr>
      </w:pPr>
      <w:hyperlink w:anchor="_Toc426033681" w:history="1">
        <w:r w:rsidRPr="00B0116D">
          <w:rPr>
            <w:rStyle w:val="Hypertextovodkaz"/>
            <w:noProof/>
          </w:rPr>
          <w:t>5.5</w:t>
        </w:r>
        <w:r>
          <w:rPr>
            <w:rFonts w:asciiTheme="minorHAnsi" w:eastAsiaTheme="minorEastAsia" w:hAnsiTheme="minorHAnsi" w:cstheme="minorBidi"/>
            <w:noProof/>
            <w:sz w:val="22"/>
            <w:szCs w:val="22"/>
            <w:lang w:val="cs-CZ" w:eastAsia="cs-CZ"/>
          </w:rPr>
          <w:tab/>
        </w:r>
        <w:r w:rsidRPr="00B0116D">
          <w:rPr>
            <w:rStyle w:val="Hypertextovodkaz"/>
            <w:noProof/>
          </w:rPr>
          <w:t>Specification of the expected results</w:t>
        </w:r>
        <w:r>
          <w:rPr>
            <w:noProof/>
            <w:webHidden/>
          </w:rPr>
          <w:tab/>
        </w:r>
        <w:r>
          <w:rPr>
            <w:noProof/>
            <w:webHidden/>
          </w:rPr>
          <w:fldChar w:fldCharType="begin"/>
        </w:r>
        <w:r>
          <w:rPr>
            <w:noProof/>
            <w:webHidden/>
          </w:rPr>
          <w:instrText xml:space="preserve"> PAGEREF _Toc426033681 \h </w:instrText>
        </w:r>
        <w:r>
          <w:rPr>
            <w:noProof/>
            <w:webHidden/>
          </w:rPr>
        </w:r>
        <w:r>
          <w:rPr>
            <w:noProof/>
            <w:webHidden/>
          </w:rPr>
          <w:fldChar w:fldCharType="separate"/>
        </w:r>
        <w:r w:rsidR="007C5202">
          <w:rPr>
            <w:noProof/>
            <w:webHidden/>
          </w:rPr>
          <w:t>123</w:t>
        </w:r>
        <w:r>
          <w:rPr>
            <w:noProof/>
            <w:webHidden/>
          </w:rPr>
          <w:fldChar w:fldCharType="end"/>
        </w:r>
      </w:hyperlink>
    </w:p>
    <w:p w:rsidR="00560258" w:rsidRDefault="00560258">
      <w:pPr>
        <w:pStyle w:val="Obsah3"/>
        <w:tabs>
          <w:tab w:val="left" w:pos="1320"/>
          <w:tab w:val="right" w:leader="dot" w:pos="10457"/>
        </w:tabs>
        <w:rPr>
          <w:rFonts w:asciiTheme="minorHAnsi" w:eastAsiaTheme="minorEastAsia" w:hAnsiTheme="minorHAnsi" w:cstheme="minorBidi"/>
          <w:noProof/>
          <w:sz w:val="22"/>
          <w:szCs w:val="22"/>
          <w:lang w:val="cs-CZ" w:eastAsia="cs-CZ"/>
        </w:rPr>
      </w:pPr>
      <w:hyperlink w:anchor="_Toc426033682" w:history="1">
        <w:r w:rsidRPr="00B0116D">
          <w:rPr>
            <w:rStyle w:val="Hypertextovodkaz"/>
            <w:noProof/>
          </w:rPr>
          <w:t>5.5.1</w:t>
        </w:r>
        <w:r>
          <w:rPr>
            <w:rFonts w:asciiTheme="minorHAnsi" w:eastAsiaTheme="minorEastAsia" w:hAnsiTheme="minorHAnsi" w:cstheme="minorBidi"/>
            <w:noProof/>
            <w:sz w:val="22"/>
            <w:szCs w:val="22"/>
            <w:lang w:val="cs-CZ" w:eastAsia="cs-CZ"/>
          </w:rPr>
          <w:tab/>
        </w:r>
        <w:r w:rsidRPr="00B0116D">
          <w:rPr>
            <w:rStyle w:val="Hypertextovodkaz"/>
            <w:noProof/>
          </w:rPr>
          <w:t>Draft indicators</w:t>
        </w:r>
        <w:r>
          <w:rPr>
            <w:noProof/>
            <w:webHidden/>
          </w:rPr>
          <w:tab/>
        </w:r>
        <w:r>
          <w:rPr>
            <w:noProof/>
            <w:webHidden/>
          </w:rPr>
          <w:fldChar w:fldCharType="begin"/>
        </w:r>
        <w:r>
          <w:rPr>
            <w:noProof/>
            <w:webHidden/>
          </w:rPr>
          <w:instrText xml:space="preserve"> PAGEREF _Toc426033682 \h </w:instrText>
        </w:r>
        <w:r>
          <w:rPr>
            <w:noProof/>
            <w:webHidden/>
          </w:rPr>
        </w:r>
        <w:r>
          <w:rPr>
            <w:noProof/>
            <w:webHidden/>
          </w:rPr>
          <w:fldChar w:fldCharType="separate"/>
        </w:r>
        <w:r w:rsidR="007C5202">
          <w:rPr>
            <w:noProof/>
            <w:webHidden/>
          </w:rPr>
          <w:t>123</w:t>
        </w:r>
        <w:r>
          <w:rPr>
            <w:noProof/>
            <w:webHidden/>
          </w:rPr>
          <w:fldChar w:fldCharType="end"/>
        </w:r>
      </w:hyperlink>
    </w:p>
    <w:p w:rsidR="00560258" w:rsidRDefault="00560258">
      <w:pPr>
        <w:pStyle w:val="Obsah3"/>
        <w:tabs>
          <w:tab w:val="left" w:pos="1320"/>
          <w:tab w:val="right" w:leader="dot" w:pos="10457"/>
        </w:tabs>
        <w:rPr>
          <w:rFonts w:asciiTheme="minorHAnsi" w:eastAsiaTheme="minorEastAsia" w:hAnsiTheme="minorHAnsi" w:cstheme="minorBidi"/>
          <w:noProof/>
          <w:sz w:val="22"/>
          <w:szCs w:val="22"/>
          <w:lang w:val="cs-CZ" w:eastAsia="cs-CZ"/>
        </w:rPr>
      </w:pPr>
      <w:hyperlink w:anchor="_Toc426033683" w:history="1">
        <w:r w:rsidRPr="00B0116D">
          <w:rPr>
            <w:rStyle w:val="Hypertextovodkaz"/>
            <w:noProof/>
          </w:rPr>
          <w:t>5.5.2</w:t>
        </w:r>
        <w:r>
          <w:rPr>
            <w:rFonts w:asciiTheme="minorHAnsi" w:eastAsiaTheme="minorEastAsia" w:hAnsiTheme="minorHAnsi" w:cstheme="minorBidi"/>
            <w:noProof/>
            <w:sz w:val="22"/>
            <w:szCs w:val="22"/>
            <w:lang w:val="cs-CZ" w:eastAsia="cs-CZ"/>
          </w:rPr>
          <w:tab/>
        </w:r>
        <w:r w:rsidRPr="00B0116D">
          <w:rPr>
            <w:rStyle w:val="Hypertextovodkaz"/>
            <w:noProof/>
          </w:rPr>
          <w:t>Key factors to be taken into consideration when reviewing the indicator values</w:t>
        </w:r>
        <w:r>
          <w:rPr>
            <w:noProof/>
            <w:webHidden/>
          </w:rPr>
          <w:tab/>
        </w:r>
        <w:r>
          <w:rPr>
            <w:noProof/>
            <w:webHidden/>
          </w:rPr>
          <w:fldChar w:fldCharType="begin"/>
        </w:r>
        <w:r>
          <w:rPr>
            <w:noProof/>
            <w:webHidden/>
          </w:rPr>
          <w:instrText xml:space="preserve"> PAGEREF _Toc426033683 \h </w:instrText>
        </w:r>
        <w:r>
          <w:rPr>
            <w:noProof/>
            <w:webHidden/>
          </w:rPr>
        </w:r>
        <w:r>
          <w:rPr>
            <w:noProof/>
            <w:webHidden/>
          </w:rPr>
          <w:fldChar w:fldCharType="separate"/>
        </w:r>
        <w:r w:rsidR="007C5202">
          <w:rPr>
            <w:noProof/>
            <w:webHidden/>
          </w:rPr>
          <w:t>123</w:t>
        </w:r>
        <w:r>
          <w:rPr>
            <w:noProof/>
            <w:webHidden/>
          </w:rPr>
          <w:fldChar w:fldCharType="end"/>
        </w:r>
      </w:hyperlink>
    </w:p>
    <w:p w:rsidR="00560258" w:rsidRDefault="00560258">
      <w:pPr>
        <w:pStyle w:val="Obsah3"/>
        <w:tabs>
          <w:tab w:val="left" w:pos="1320"/>
          <w:tab w:val="right" w:leader="dot" w:pos="10457"/>
        </w:tabs>
        <w:rPr>
          <w:rFonts w:asciiTheme="minorHAnsi" w:eastAsiaTheme="minorEastAsia" w:hAnsiTheme="minorHAnsi" w:cstheme="minorBidi"/>
          <w:noProof/>
          <w:sz w:val="22"/>
          <w:szCs w:val="22"/>
          <w:lang w:val="cs-CZ" w:eastAsia="cs-CZ"/>
        </w:rPr>
      </w:pPr>
      <w:hyperlink w:anchor="_Toc426033684" w:history="1">
        <w:r w:rsidRPr="00B0116D">
          <w:rPr>
            <w:rStyle w:val="Hypertextovodkaz"/>
            <w:noProof/>
          </w:rPr>
          <w:t>5.5.3</w:t>
        </w:r>
        <w:r>
          <w:rPr>
            <w:rFonts w:asciiTheme="minorHAnsi" w:eastAsiaTheme="minorEastAsia" w:hAnsiTheme="minorHAnsi" w:cstheme="minorBidi"/>
            <w:noProof/>
            <w:sz w:val="22"/>
            <w:szCs w:val="22"/>
            <w:lang w:val="cs-CZ" w:eastAsia="cs-CZ"/>
          </w:rPr>
          <w:tab/>
        </w:r>
        <w:r w:rsidRPr="00B0116D">
          <w:rPr>
            <w:rStyle w:val="Hypertextovodkaz"/>
            <w:noProof/>
          </w:rPr>
          <w:t>Sample indicator calculation – the number of aided projects</w:t>
        </w:r>
        <w:r>
          <w:rPr>
            <w:noProof/>
            <w:webHidden/>
          </w:rPr>
          <w:tab/>
        </w:r>
        <w:r>
          <w:rPr>
            <w:noProof/>
            <w:webHidden/>
          </w:rPr>
          <w:fldChar w:fldCharType="begin"/>
        </w:r>
        <w:r>
          <w:rPr>
            <w:noProof/>
            <w:webHidden/>
          </w:rPr>
          <w:instrText xml:space="preserve"> PAGEREF _Toc426033684 \h </w:instrText>
        </w:r>
        <w:r>
          <w:rPr>
            <w:noProof/>
            <w:webHidden/>
          </w:rPr>
        </w:r>
        <w:r>
          <w:rPr>
            <w:noProof/>
            <w:webHidden/>
          </w:rPr>
          <w:fldChar w:fldCharType="separate"/>
        </w:r>
        <w:r w:rsidR="007C5202">
          <w:rPr>
            <w:noProof/>
            <w:webHidden/>
          </w:rPr>
          <w:t>125</w:t>
        </w:r>
        <w:r>
          <w:rPr>
            <w:noProof/>
            <w:webHidden/>
          </w:rPr>
          <w:fldChar w:fldCharType="end"/>
        </w:r>
      </w:hyperlink>
    </w:p>
    <w:p w:rsidR="00560258" w:rsidRDefault="00560258">
      <w:pPr>
        <w:pStyle w:val="Obsah3"/>
        <w:tabs>
          <w:tab w:val="left" w:pos="1320"/>
          <w:tab w:val="right" w:leader="dot" w:pos="10457"/>
        </w:tabs>
        <w:rPr>
          <w:rFonts w:asciiTheme="minorHAnsi" w:eastAsiaTheme="minorEastAsia" w:hAnsiTheme="minorHAnsi" w:cstheme="minorBidi"/>
          <w:noProof/>
          <w:sz w:val="22"/>
          <w:szCs w:val="22"/>
          <w:lang w:val="cs-CZ" w:eastAsia="cs-CZ"/>
        </w:rPr>
      </w:pPr>
      <w:hyperlink w:anchor="_Toc426033685" w:history="1">
        <w:r w:rsidRPr="00B0116D">
          <w:rPr>
            <w:rStyle w:val="Hypertextovodkaz"/>
            <w:noProof/>
          </w:rPr>
          <w:t>5.5.4</w:t>
        </w:r>
        <w:r>
          <w:rPr>
            <w:rFonts w:asciiTheme="minorHAnsi" w:eastAsiaTheme="minorEastAsia" w:hAnsiTheme="minorHAnsi" w:cstheme="minorBidi"/>
            <w:noProof/>
            <w:sz w:val="22"/>
            <w:szCs w:val="22"/>
            <w:lang w:val="cs-CZ" w:eastAsia="cs-CZ"/>
          </w:rPr>
          <w:tab/>
        </w:r>
        <w:r w:rsidRPr="00B0116D">
          <w:rPr>
            <w:rStyle w:val="Hypertextovodkaz"/>
            <w:noProof/>
          </w:rPr>
          <w:t>Risks and limitations</w:t>
        </w:r>
        <w:r>
          <w:rPr>
            <w:noProof/>
            <w:webHidden/>
          </w:rPr>
          <w:tab/>
        </w:r>
        <w:r>
          <w:rPr>
            <w:noProof/>
            <w:webHidden/>
          </w:rPr>
          <w:fldChar w:fldCharType="begin"/>
        </w:r>
        <w:r>
          <w:rPr>
            <w:noProof/>
            <w:webHidden/>
          </w:rPr>
          <w:instrText xml:space="preserve"> PAGEREF _Toc426033685 \h </w:instrText>
        </w:r>
        <w:r>
          <w:rPr>
            <w:noProof/>
            <w:webHidden/>
          </w:rPr>
        </w:r>
        <w:r>
          <w:rPr>
            <w:noProof/>
            <w:webHidden/>
          </w:rPr>
          <w:fldChar w:fldCharType="separate"/>
        </w:r>
        <w:r w:rsidR="007C5202">
          <w:rPr>
            <w:noProof/>
            <w:webHidden/>
          </w:rPr>
          <w:t>126</w:t>
        </w:r>
        <w:r>
          <w:rPr>
            <w:noProof/>
            <w:webHidden/>
          </w:rPr>
          <w:fldChar w:fldCharType="end"/>
        </w:r>
      </w:hyperlink>
    </w:p>
    <w:p w:rsidR="00560258" w:rsidRDefault="00560258">
      <w:pPr>
        <w:pStyle w:val="Obsah2"/>
        <w:tabs>
          <w:tab w:val="right" w:leader="dot" w:pos="10457"/>
        </w:tabs>
        <w:rPr>
          <w:rFonts w:asciiTheme="minorHAnsi" w:eastAsiaTheme="minorEastAsia" w:hAnsiTheme="minorHAnsi" w:cstheme="minorBidi"/>
          <w:noProof/>
          <w:sz w:val="22"/>
          <w:szCs w:val="22"/>
          <w:lang w:val="cs-CZ" w:eastAsia="cs-CZ"/>
        </w:rPr>
      </w:pPr>
      <w:hyperlink w:anchor="_Toc426033686" w:history="1">
        <w:r w:rsidRPr="00B0116D">
          <w:rPr>
            <w:rStyle w:val="Hypertextovodkaz"/>
            <w:noProof/>
          </w:rPr>
          <w:t>5.6</w:t>
        </w:r>
        <w:r>
          <w:rPr>
            <w:rFonts w:asciiTheme="minorHAnsi" w:eastAsiaTheme="minorEastAsia" w:hAnsiTheme="minorHAnsi" w:cstheme="minorBidi"/>
            <w:noProof/>
            <w:sz w:val="22"/>
            <w:szCs w:val="22"/>
            <w:lang w:val="cs-CZ" w:eastAsia="cs-CZ"/>
          </w:rPr>
          <w:tab/>
        </w:r>
        <w:r w:rsidRPr="00B0116D">
          <w:rPr>
            <w:rStyle w:val="Hypertextovodkaz"/>
            <w:noProof/>
          </w:rPr>
          <w:t>Provisions enabling the review and update of the ex-ante assessment</w:t>
        </w:r>
        <w:r>
          <w:rPr>
            <w:noProof/>
            <w:webHidden/>
          </w:rPr>
          <w:tab/>
        </w:r>
        <w:r>
          <w:rPr>
            <w:noProof/>
            <w:webHidden/>
          </w:rPr>
          <w:fldChar w:fldCharType="begin"/>
        </w:r>
        <w:r>
          <w:rPr>
            <w:noProof/>
            <w:webHidden/>
          </w:rPr>
          <w:instrText xml:space="preserve"> PAGEREF _Toc426033686 \h </w:instrText>
        </w:r>
        <w:r>
          <w:rPr>
            <w:noProof/>
            <w:webHidden/>
          </w:rPr>
        </w:r>
        <w:r>
          <w:rPr>
            <w:noProof/>
            <w:webHidden/>
          </w:rPr>
          <w:fldChar w:fldCharType="separate"/>
        </w:r>
        <w:r w:rsidR="007C5202">
          <w:rPr>
            <w:noProof/>
            <w:webHidden/>
          </w:rPr>
          <w:t>128</w:t>
        </w:r>
        <w:r>
          <w:rPr>
            <w:noProof/>
            <w:webHidden/>
          </w:rPr>
          <w:fldChar w:fldCharType="end"/>
        </w:r>
      </w:hyperlink>
    </w:p>
    <w:p w:rsidR="00560258" w:rsidRDefault="00560258">
      <w:pPr>
        <w:pStyle w:val="Obsah1"/>
        <w:tabs>
          <w:tab w:val="right" w:leader="dot" w:pos="10457"/>
        </w:tabs>
        <w:rPr>
          <w:rFonts w:asciiTheme="minorHAnsi" w:eastAsiaTheme="minorEastAsia" w:hAnsiTheme="minorHAnsi" w:cstheme="minorBidi"/>
          <w:noProof/>
          <w:sz w:val="22"/>
          <w:szCs w:val="22"/>
          <w:lang w:val="cs-CZ" w:eastAsia="cs-CZ"/>
        </w:rPr>
      </w:pPr>
      <w:hyperlink w:anchor="_Toc426033687" w:history="1">
        <w:r w:rsidRPr="00B0116D">
          <w:rPr>
            <w:rStyle w:val="Hypertextovodkaz"/>
            <w:noProof/>
          </w:rPr>
          <w:t>6</w:t>
        </w:r>
        <w:r>
          <w:rPr>
            <w:rFonts w:asciiTheme="minorHAnsi" w:eastAsiaTheme="minorEastAsia" w:hAnsiTheme="minorHAnsi" w:cstheme="minorBidi"/>
            <w:noProof/>
            <w:sz w:val="22"/>
            <w:szCs w:val="22"/>
            <w:lang w:val="cs-CZ" w:eastAsia="cs-CZ"/>
          </w:rPr>
          <w:tab/>
        </w:r>
        <w:r w:rsidRPr="00B0116D">
          <w:rPr>
            <w:rStyle w:val="Hypertextovodkaz"/>
            <w:noProof/>
          </w:rPr>
          <w:t>Annexes</w:t>
        </w:r>
        <w:r>
          <w:rPr>
            <w:noProof/>
            <w:webHidden/>
          </w:rPr>
          <w:tab/>
        </w:r>
        <w:r>
          <w:rPr>
            <w:noProof/>
            <w:webHidden/>
          </w:rPr>
          <w:fldChar w:fldCharType="begin"/>
        </w:r>
        <w:r>
          <w:rPr>
            <w:noProof/>
            <w:webHidden/>
          </w:rPr>
          <w:instrText xml:space="preserve"> PAGEREF _Toc426033687 \h </w:instrText>
        </w:r>
        <w:r>
          <w:rPr>
            <w:noProof/>
            <w:webHidden/>
          </w:rPr>
        </w:r>
        <w:r>
          <w:rPr>
            <w:noProof/>
            <w:webHidden/>
          </w:rPr>
          <w:fldChar w:fldCharType="separate"/>
        </w:r>
        <w:r w:rsidR="007C5202">
          <w:rPr>
            <w:noProof/>
            <w:webHidden/>
          </w:rPr>
          <w:t>130</w:t>
        </w:r>
        <w:r>
          <w:rPr>
            <w:noProof/>
            <w:webHidden/>
          </w:rPr>
          <w:fldChar w:fldCharType="end"/>
        </w:r>
      </w:hyperlink>
    </w:p>
    <w:p w:rsidR="00560258" w:rsidRDefault="00560258">
      <w:pPr>
        <w:pStyle w:val="Obsah1"/>
        <w:tabs>
          <w:tab w:val="right" w:leader="dot" w:pos="10457"/>
        </w:tabs>
        <w:rPr>
          <w:rFonts w:asciiTheme="minorHAnsi" w:eastAsiaTheme="minorEastAsia" w:hAnsiTheme="minorHAnsi" w:cstheme="minorBidi"/>
          <w:noProof/>
          <w:sz w:val="22"/>
          <w:szCs w:val="22"/>
          <w:lang w:val="cs-CZ" w:eastAsia="cs-CZ"/>
        </w:rPr>
      </w:pPr>
      <w:hyperlink w:anchor="_Toc426033688" w:history="1">
        <w:r w:rsidRPr="00B0116D">
          <w:rPr>
            <w:rStyle w:val="Hypertextovodkaz"/>
            <w:noProof/>
          </w:rPr>
          <w:t>7</w:t>
        </w:r>
        <w:r>
          <w:rPr>
            <w:rFonts w:asciiTheme="minorHAnsi" w:eastAsiaTheme="minorEastAsia" w:hAnsiTheme="minorHAnsi" w:cstheme="minorBidi"/>
            <w:noProof/>
            <w:sz w:val="22"/>
            <w:szCs w:val="22"/>
            <w:lang w:val="cs-CZ" w:eastAsia="cs-CZ"/>
          </w:rPr>
          <w:tab/>
        </w:r>
        <w:r w:rsidRPr="00B0116D">
          <w:rPr>
            <w:rStyle w:val="Hypertextovodkaz"/>
            <w:noProof/>
          </w:rPr>
          <w:t>List of sources</w:t>
        </w:r>
        <w:r>
          <w:rPr>
            <w:noProof/>
            <w:webHidden/>
          </w:rPr>
          <w:tab/>
        </w:r>
        <w:r>
          <w:rPr>
            <w:noProof/>
            <w:webHidden/>
          </w:rPr>
          <w:fldChar w:fldCharType="begin"/>
        </w:r>
        <w:r>
          <w:rPr>
            <w:noProof/>
            <w:webHidden/>
          </w:rPr>
          <w:instrText xml:space="preserve"> PAGEREF _Toc426033688 \h </w:instrText>
        </w:r>
        <w:r>
          <w:rPr>
            <w:noProof/>
            <w:webHidden/>
          </w:rPr>
        </w:r>
        <w:r>
          <w:rPr>
            <w:noProof/>
            <w:webHidden/>
          </w:rPr>
          <w:fldChar w:fldCharType="separate"/>
        </w:r>
        <w:r w:rsidR="007C5202">
          <w:rPr>
            <w:noProof/>
            <w:webHidden/>
          </w:rPr>
          <w:t>131</w:t>
        </w:r>
        <w:r>
          <w:rPr>
            <w:noProof/>
            <w:webHidden/>
          </w:rPr>
          <w:fldChar w:fldCharType="end"/>
        </w:r>
      </w:hyperlink>
    </w:p>
    <w:p w:rsidR="00560258" w:rsidRDefault="00560258">
      <w:pPr>
        <w:pStyle w:val="Obsah1"/>
        <w:tabs>
          <w:tab w:val="right" w:leader="dot" w:pos="10457"/>
        </w:tabs>
        <w:rPr>
          <w:rFonts w:asciiTheme="minorHAnsi" w:eastAsiaTheme="minorEastAsia" w:hAnsiTheme="minorHAnsi" w:cstheme="minorBidi"/>
          <w:noProof/>
          <w:sz w:val="22"/>
          <w:szCs w:val="22"/>
          <w:lang w:val="cs-CZ" w:eastAsia="cs-CZ"/>
        </w:rPr>
      </w:pPr>
      <w:hyperlink w:anchor="_Toc426033689" w:history="1">
        <w:r w:rsidRPr="00B0116D">
          <w:rPr>
            <w:rStyle w:val="Hypertextovodkaz"/>
            <w:noProof/>
          </w:rPr>
          <w:t>List of tables and figures</w:t>
        </w:r>
        <w:r>
          <w:rPr>
            <w:noProof/>
            <w:webHidden/>
          </w:rPr>
          <w:tab/>
        </w:r>
        <w:r>
          <w:rPr>
            <w:noProof/>
            <w:webHidden/>
          </w:rPr>
          <w:fldChar w:fldCharType="begin"/>
        </w:r>
        <w:r>
          <w:rPr>
            <w:noProof/>
            <w:webHidden/>
          </w:rPr>
          <w:instrText xml:space="preserve"> PAGEREF _Toc426033689 \h </w:instrText>
        </w:r>
        <w:r>
          <w:rPr>
            <w:noProof/>
            <w:webHidden/>
          </w:rPr>
        </w:r>
        <w:r>
          <w:rPr>
            <w:noProof/>
            <w:webHidden/>
          </w:rPr>
          <w:fldChar w:fldCharType="separate"/>
        </w:r>
        <w:r w:rsidR="007C5202">
          <w:rPr>
            <w:noProof/>
            <w:webHidden/>
          </w:rPr>
          <w:t>133</w:t>
        </w:r>
        <w:r>
          <w:rPr>
            <w:noProof/>
            <w:webHidden/>
          </w:rPr>
          <w:fldChar w:fldCharType="end"/>
        </w:r>
      </w:hyperlink>
    </w:p>
    <w:p w:rsidR="00560258" w:rsidRDefault="00560258">
      <w:pPr>
        <w:pStyle w:val="Obsah2"/>
        <w:tabs>
          <w:tab w:val="right" w:leader="dot" w:pos="10457"/>
        </w:tabs>
        <w:rPr>
          <w:rFonts w:asciiTheme="minorHAnsi" w:eastAsiaTheme="minorEastAsia" w:hAnsiTheme="minorHAnsi" w:cstheme="minorBidi"/>
          <w:noProof/>
          <w:sz w:val="22"/>
          <w:szCs w:val="22"/>
          <w:lang w:val="cs-CZ" w:eastAsia="cs-CZ"/>
        </w:rPr>
      </w:pPr>
      <w:hyperlink w:anchor="_Toc426033690" w:history="1">
        <w:r w:rsidRPr="00B0116D">
          <w:rPr>
            <w:rStyle w:val="Hypertextovodkaz"/>
            <w:noProof/>
          </w:rPr>
          <w:t>List of tables</w:t>
        </w:r>
        <w:r>
          <w:rPr>
            <w:noProof/>
            <w:webHidden/>
          </w:rPr>
          <w:tab/>
        </w:r>
        <w:r>
          <w:rPr>
            <w:noProof/>
            <w:webHidden/>
          </w:rPr>
          <w:fldChar w:fldCharType="begin"/>
        </w:r>
        <w:r>
          <w:rPr>
            <w:noProof/>
            <w:webHidden/>
          </w:rPr>
          <w:instrText xml:space="preserve"> PAGEREF _Toc426033690 \h </w:instrText>
        </w:r>
        <w:r>
          <w:rPr>
            <w:noProof/>
            <w:webHidden/>
          </w:rPr>
        </w:r>
        <w:r>
          <w:rPr>
            <w:noProof/>
            <w:webHidden/>
          </w:rPr>
          <w:fldChar w:fldCharType="separate"/>
        </w:r>
        <w:r w:rsidR="007C5202">
          <w:rPr>
            <w:noProof/>
            <w:webHidden/>
          </w:rPr>
          <w:t>133</w:t>
        </w:r>
        <w:r>
          <w:rPr>
            <w:noProof/>
            <w:webHidden/>
          </w:rPr>
          <w:fldChar w:fldCharType="end"/>
        </w:r>
      </w:hyperlink>
    </w:p>
    <w:p w:rsidR="00065632" w:rsidRPr="00693AAF" w:rsidRDefault="00560258" w:rsidP="00560258">
      <w:pPr>
        <w:pStyle w:val="Obsah2"/>
        <w:tabs>
          <w:tab w:val="right" w:leader="dot" w:pos="10457"/>
        </w:tabs>
        <w:rPr>
          <w:noProof/>
          <w:sz w:val="22"/>
          <w:szCs w:val="22"/>
        </w:rPr>
      </w:pPr>
      <w:hyperlink w:anchor="_Toc426033691" w:history="1">
        <w:r w:rsidRPr="00B0116D">
          <w:rPr>
            <w:rStyle w:val="Hypertextovodkaz"/>
            <w:noProof/>
          </w:rPr>
          <w:t>List of figures</w:t>
        </w:r>
        <w:r>
          <w:rPr>
            <w:noProof/>
            <w:webHidden/>
          </w:rPr>
          <w:tab/>
        </w:r>
        <w:r>
          <w:rPr>
            <w:noProof/>
            <w:webHidden/>
          </w:rPr>
          <w:fldChar w:fldCharType="begin"/>
        </w:r>
        <w:r>
          <w:rPr>
            <w:noProof/>
            <w:webHidden/>
          </w:rPr>
          <w:instrText xml:space="preserve"> PAGEREF _Toc426033691 \h </w:instrText>
        </w:r>
        <w:r>
          <w:rPr>
            <w:noProof/>
            <w:webHidden/>
          </w:rPr>
        </w:r>
        <w:r>
          <w:rPr>
            <w:noProof/>
            <w:webHidden/>
          </w:rPr>
          <w:fldChar w:fldCharType="separate"/>
        </w:r>
        <w:r w:rsidR="007C5202">
          <w:rPr>
            <w:noProof/>
            <w:webHidden/>
          </w:rPr>
          <w:t>133</w:t>
        </w:r>
        <w:r>
          <w:rPr>
            <w:noProof/>
            <w:webHidden/>
          </w:rPr>
          <w:fldChar w:fldCharType="end"/>
        </w:r>
      </w:hyperlink>
      <w:r w:rsidR="00065632" w:rsidRPr="004843FD">
        <w:fldChar w:fldCharType="end"/>
      </w:r>
    </w:p>
    <w:p w:rsidR="00065632" w:rsidRDefault="00065632" w:rsidP="00A513EC">
      <w:pPr>
        <w:pStyle w:val="Nadpis1"/>
        <w:numPr>
          <w:ilvl w:val="0"/>
          <w:numId w:val="0"/>
        </w:numPr>
      </w:pPr>
      <w:bookmarkStart w:id="6" w:name="_Toc418767133"/>
      <w:bookmarkStart w:id="7" w:name="_Toc426033643"/>
      <w:bookmarkEnd w:id="0"/>
      <w:bookmarkEnd w:id="1"/>
      <w:r>
        <w:lastRenderedPageBreak/>
        <w:t>List of abbreviations</w:t>
      </w:r>
      <w:bookmarkEnd w:id="6"/>
      <w:bookmarkEnd w:id="7"/>
    </w:p>
    <w:tbl>
      <w:tblPr>
        <w:tblW w:w="9380" w:type="dxa"/>
        <w:tblInd w:w="-140" w:type="dxa"/>
        <w:tblCellMar>
          <w:left w:w="70" w:type="dxa"/>
          <w:right w:w="70" w:type="dxa"/>
        </w:tblCellMar>
        <w:tblLook w:val="00A0" w:firstRow="1" w:lastRow="0" w:firstColumn="1" w:lastColumn="0" w:noHBand="0" w:noVBand="0"/>
      </w:tblPr>
      <w:tblGrid>
        <w:gridCol w:w="2560"/>
        <w:gridCol w:w="6820"/>
      </w:tblGrid>
      <w:tr w:rsidR="00065632" w:rsidRPr="00882979">
        <w:trPr>
          <w:trHeight w:val="315"/>
        </w:trPr>
        <w:tc>
          <w:tcPr>
            <w:tcW w:w="2560" w:type="dxa"/>
            <w:tcBorders>
              <w:top w:val="nil"/>
              <w:left w:val="nil"/>
              <w:bottom w:val="single" w:sz="8" w:space="0" w:color="92D400"/>
              <w:right w:val="nil"/>
            </w:tcBorders>
            <w:shd w:val="clear" w:color="000000" w:fill="92D400"/>
            <w:noWrap/>
            <w:vAlign w:val="center"/>
          </w:tcPr>
          <w:p w:rsidR="00065632" w:rsidRPr="00882979" w:rsidRDefault="00065632" w:rsidP="00DE2A67">
            <w:pPr>
              <w:spacing w:after="0"/>
              <w:rPr>
                <w:b/>
                <w:bCs/>
                <w:color w:val="FFFFFF"/>
              </w:rPr>
            </w:pPr>
            <w:bookmarkStart w:id="8" w:name="RANGE_A1"/>
            <w:bookmarkStart w:id="9" w:name="_Toc386370972"/>
            <w:r>
              <w:rPr>
                <w:b/>
                <w:bCs/>
                <w:color w:val="FFFFFF"/>
              </w:rPr>
              <w:t>Term</w:t>
            </w:r>
            <w:bookmarkEnd w:id="8"/>
          </w:p>
        </w:tc>
        <w:tc>
          <w:tcPr>
            <w:tcW w:w="6820" w:type="dxa"/>
            <w:tcBorders>
              <w:top w:val="nil"/>
              <w:left w:val="nil"/>
              <w:bottom w:val="single" w:sz="8" w:space="0" w:color="92D400"/>
              <w:right w:val="nil"/>
            </w:tcBorders>
            <w:shd w:val="clear" w:color="000000" w:fill="92D400"/>
            <w:noWrap/>
            <w:vAlign w:val="center"/>
          </w:tcPr>
          <w:p w:rsidR="00065632" w:rsidRPr="00882979" w:rsidRDefault="00065632" w:rsidP="00DE2A67">
            <w:pPr>
              <w:spacing w:after="0"/>
              <w:rPr>
                <w:b/>
                <w:bCs/>
                <w:color w:val="FFFFFF"/>
              </w:rPr>
            </w:pPr>
            <w:r>
              <w:rPr>
                <w:b/>
                <w:bCs/>
                <w:color w:val="FFFFFF"/>
              </w:rPr>
              <w:t>Definition</w:t>
            </w:r>
          </w:p>
        </w:tc>
      </w:tr>
      <w:tr w:rsidR="00065632" w:rsidRPr="00882979">
        <w:trPr>
          <w:trHeight w:val="315"/>
        </w:trPr>
        <w:tc>
          <w:tcPr>
            <w:tcW w:w="2560" w:type="dxa"/>
            <w:tcBorders>
              <w:top w:val="nil"/>
              <w:left w:val="nil"/>
              <w:bottom w:val="single" w:sz="8" w:space="0" w:color="92D400"/>
              <w:right w:val="nil"/>
            </w:tcBorders>
            <w:shd w:val="clear" w:color="000000" w:fill="FFFFFF"/>
            <w:noWrap/>
            <w:vAlign w:val="center"/>
          </w:tcPr>
          <w:p w:rsidR="00065632" w:rsidRPr="00882979" w:rsidRDefault="00065632" w:rsidP="00DE2A67">
            <w:pPr>
              <w:spacing w:after="0"/>
              <w:rPr>
                <w:b/>
                <w:bCs/>
                <w:color w:val="000000"/>
              </w:rPr>
            </w:pPr>
            <w:r>
              <w:rPr>
                <w:b/>
                <w:bCs/>
                <w:color w:val="000000"/>
              </w:rPr>
              <w:t>CMZRB</w:t>
            </w:r>
          </w:p>
        </w:tc>
        <w:tc>
          <w:tcPr>
            <w:tcW w:w="6820" w:type="dxa"/>
            <w:tcBorders>
              <w:top w:val="nil"/>
              <w:left w:val="nil"/>
              <w:bottom w:val="single" w:sz="8" w:space="0" w:color="92D400"/>
              <w:right w:val="nil"/>
            </w:tcBorders>
            <w:shd w:val="clear" w:color="000000" w:fill="FFFFFF"/>
            <w:noWrap/>
            <w:vAlign w:val="center"/>
          </w:tcPr>
          <w:p w:rsidR="00065632" w:rsidRPr="00882979" w:rsidRDefault="00065632" w:rsidP="00DE2A67">
            <w:pPr>
              <w:spacing w:after="0"/>
              <w:rPr>
                <w:color w:val="000000"/>
              </w:rPr>
            </w:pPr>
            <w:proofErr w:type="spellStart"/>
            <w:r>
              <w:rPr>
                <w:color w:val="000000"/>
              </w:rPr>
              <w:t>Českomoravská</w:t>
            </w:r>
            <w:proofErr w:type="spellEnd"/>
            <w:r>
              <w:rPr>
                <w:color w:val="000000"/>
              </w:rPr>
              <w:t xml:space="preserve"> </w:t>
            </w:r>
            <w:proofErr w:type="spellStart"/>
            <w:r>
              <w:rPr>
                <w:color w:val="000000"/>
              </w:rPr>
              <w:t>záruční</w:t>
            </w:r>
            <w:proofErr w:type="spellEnd"/>
            <w:r>
              <w:rPr>
                <w:color w:val="000000"/>
              </w:rPr>
              <w:t xml:space="preserve"> a </w:t>
            </w:r>
            <w:proofErr w:type="spellStart"/>
            <w:r>
              <w:rPr>
                <w:color w:val="000000"/>
              </w:rPr>
              <w:t>rozvojová</w:t>
            </w:r>
            <w:proofErr w:type="spellEnd"/>
            <w:r>
              <w:rPr>
                <w:color w:val="000000"/>
              </w:rPr>
              <w:t xml:space="preserve"> </w:t>
            </w:r>
            <w:proofErr w:type="spellStart"/>
            <w:r>
              <w:rPr>
                <w:color w:val="000000"/>
              </w:rPr>
              <w:t>banka</w:t>
            </w:r>
            <w:proofErr w:type="spellEnd"/>
            <w:r>
              <w:rPr>
                <w:color w:val="000000"/>
              </w:rPr>
              <w:t xml:space="preserve"> (Czech–Moravian Guarantee and Development Bank)</w:t>
            </w:r>
          </w:p>
        </w:tc>
      </w:tr>
      <w:tr w:rsidR="00065632" w:rsidRPr="00882979">
        <w:trPr>
          <w:trHeight w:val="315"/>
        </w:trPr>
        <w:tc>
          <w:tcPr>
            <w:tcW w:w="2560" w:type="dxa"/>
            <w:tcBorders>
              <w:top w:val="nil"/>
              <w:left w:val="nil"/>
              <w:bottom w:val="single" w:sz="8" w:space="0" w:color="92D400"/>
              <w:right w:val="nil"/>
            </w:tcBorders>
            <w:shd w:val="clear" w:color="000000" w:fill="FFFFFF"/>
            <w:noWrap/>
            <w:vAlign w:val="center"/>
          </w:tcPr>
          <w:p w:rsidR="00065632" w:rsidRPr="00882979" w:rsidRDefault="00065632" w:rsidP="00DE2A67">
            <w:pPr>
              <w:spacing w:after="0"/>
              <w:rPr>
                <w:b/>
                <w:bCs/>
                <w:color w:val="000000"/>
              </w:rPr>
            </w:pPr>
            <w:r>
              <w:rPr>
                <w:b/>
                <w:bCs/>
                <w:color w:val="000000"/>
              </w:rPr>
              <w:t>CNB</w:t>
            </w:r>
          </w:p>
        </w:tc>
        <w:tc>
          <w:tcPr>
            <w:tcW w:w="6820" w:type="dxa"/>
            <w:tcBorders>
              <w:top w:val="nil"/>
              <w:left w:val="nil"/>
              <w:bottom w:val="single" w:sz="8" w:space="0" w:color="92D400"/>
              <w:right w:val="nil"/>
            </w:tcBorders>
            <w:shd w:val="clear" w:color="000000" w:fill="FFFFFF"/>
            <w:noWrap/>
            <w:vAlign w:val="center"/>
          </w:tcPr>
          <w:p w:rsidR="00065632" w:rsidRPr="00882979" w:rsidRDefault="00065632" w:rsidP="00DE2A67">
            <w:pPr>
              <w:spacing w:after="0"/>
              <w:rPr>
                <w:color w:val="000000"/>
              </w:rPr>
            </w:pPr>
            <w:r>
              <w:rPr>
                <w:color w:val="000000"/>
              </w:rPr>
              <w:t>Czech National Bank</w:t>
            </w:r>
          </w:p>
        </w:tc>
      </w:tr>
      <w:tr w:rsidR="00065632" w:rsidRPr="00882979">
        <w:trPr>
          <w:trHeight w:val="315"/>
        </w:trPr>
        <w:tc>
          <w:tcPr>
            <w:tcW w:w="2560" w:type="dxa"/>
            <w:tcBorders>
              <w:top w:val="nil"/>
              <w:left w:val="nil"/>
              <w:bottom w:val="single" w:sz="8" w:space="0" w:color="92D400"/>
              <w:right w:val="nil"/>
            </w:tcBorders>
            <w:shd w:val="clear" w:color="000000" w:fill="FFFFFF"/>
            <w:noWrap/>
            <w:vAlign w:val="center"/>
          </w:tcPr>
          <w:p w:rsidR="00065632" w:rsidRPr="00882979" w:rsidRDefault="00065632" w:rsidP="00DE2A67">
            <w:pPr>
              <w:spacing w:after="0"/>
              <w:rPr>
                <w:b/>
                <w:bCs/>
                <w:color w:val="000000"/>
              </w:rPr>
            </w:pPr>
            <w:r>
              <w:rPr>
                <w:b/>
                <w:bCs/>
                <w:color w:val="000000"/>
              </w:rPr>
              <w:t>CR</w:t>
            </w:r>
          </w:p>
        </w:tc>
        <w:tc>
          <w:tcPr>
            <w:tcW w:w="6820" w:type="dxa"/>
            <w:tcBorders>
              <w:top w:val="nil"/>
              <w:left w:val="nil"/>
              <w:bottom w:val="single" w:sz="8" w:space="0" w:color="92D400"/>
              <w:right w:val="nil"/>
            </w:tcBorders>
            <w:shd w:val="clear" w:color="000000" w:fill="FFFFFF"/>
            <w:noWrap/>
            <w:vAlign w:val="center"/>
          </w:tcPr>
          <w:p w:rsidR="00065632" w:rsidRPr="00882979" w:rsidRDefault="00065632" w:rsidP="00DE2A67">
            <w:pPr>
              <w:spacing w:after="0"/>
              <w:rPr>
                <w:color w:val="000000"/>
              </w:rPr>
            </w:pPr>
            <w:r>
              <w:rPr>
                <w:color w:val="000000"/>
              </w:rPr>
              <w:t>Czech Republic</w:t>
            </w:r>
          </w:p>
        </w:tc>
      </w:tr>
      <w:tr w:rsidR="00065632" w:rsidRPr="00882979">
        <w:trPr>
          <w:trHeight w:val="315"/>
        </w:trPr>
        <w:tc>
          <w:tcPr>
            <w:tcW w:w="2560" w:type="dxa"/>
            <w:tcBorders>
              <w:top w:val="nil"/>
              <w:left w:val="nil"/>
              <w:bottom w:val="single" w:sz="8" w:space="0" w:color="92D400"/>
              <w:right w:val="nil"/>
            </w:tcBorders>
            <w:shd w:val="clear" w:color="000000" w:fill="FFFFFF"/>
            <w:noWrap/>
            <w:vAlign w:val="center"/>
          </w:tcPr>
          <w:p w:rsidR="00065632" w:rsidRPr="00882979" w:rsidRDefault="00065632" w:rsidP="00DE2A67">
            <w:pPr>
              <w:spacing w:after="0"/>
              <w:rPr>
                <w:b/>
                <w:bCs/>
                <w:color w:val="000000"/>
              </w:rPr>
            </w:pPr>
            <w:r>
              <w:rPr>
                <w:b/>
                <w:bCs/>
                <w:color w:val="000000"/>
              </w:rPr>
              <w:t>CRUIF</w:t>
            </w:r>
          </w:p>
        </w:tc>
        <w:tc>
          <w:tcPr>
            <w:tcW w:w="6820" w:type="dxa"/>
            <w:tcBorders>
              <w:top w:val="nil"/>
              <w:left w:val="nil"/>
              <w:bottom w:val="single" w:sz="8" w:space="0" w:color="92D400"/>
              <w:right w:val="nil"/>
            </w:tcBorders>
            <w:shd w:val="clear" w:color="000000" w:fill="FFFFFF"/>
            <w:noWrap/>
            <w:vAlign w:val="center"/>
          </w:tcPr>
          <w:p w:rsidR="00065632" w:rsidRPr="00882979" w:rsidRDefault="00065632" w:rsidP="00DE2A67">
            <w:pPr>
              <w:spacing w:after="0"/>
              <w:rPr>
                <w:color w:val="000000"/>
              </w:rPr>
            </w:pPr>
            <w:r>
              <w:rPr>
                <w:color w:val="000000"/>
              </w:rPr>
              <w:t>Czech Development Closed-End Investment Fund</w:t>
            </w:r>
          </w:p>
        </w:tc>
      </w:tr>
      <w:tr w:rsidR="00065632" w:rsidRPr="00882979">
        <w:trPr>
          <w:trHeight w:val="315"/>
        </w:trPr>
        <w:tc>
          <w:tcPr>
            <w:tcW w:w="2560" w:type="dxa"/>
            <w:tcBorders>
              <w:top w:val="nil"/>
              <w:left w:val="nil"/>
              <w:bottom w:val="single" w:sz="8" w:space="0" w:color="92D400"/>
              <w:right w:val="nil"/>
            </w:tcBorders>
            <w:shd w:val="clear" w:color="000000" w:fill="FFFFFF"/>
            <w:noWrap/>
            <w:vAlign w:val="center"/>
          </w:tcPr>
          <w:p w:rsidR="00065632" w:rsidRPr="00882979" w:rsidRDefault="00065632" w:rsidP="00DE2A67">
            <w:pPr>
              <w:spacing w:after="0"/>
              <w:rPr>
                <w:b/>
                <w:bCs/>
                <w:color w:val="000000"/>
              </w:rPr>
            </w:pPr>
            <w:r>
              <w:rPr>
                <w:b/>
                <w:bCs/>
                <w:color w:val="000000"/>
              </w:rPr>
              <w:t>CSO</w:t>
            </w:r>
          </w:p>
        </w:tc>
        <w:tc>
          <w:tcPr>
            <w:tcW w:w="6820" w:type="dxa"/>
            <w:tcBorders>
              <w:top w:val="nil"/>
              <w:left w:val="nil"/>
              <w:bottom w:val="single" w:sz="8" w:space="0" w:color="92D400"/>
              <w:right w:val="nil"/>
            </w:tcBorders>
            <w:shd w:val="clear" w:color="000000" w:fill="FFFFFF"/>
            <w:noWrap/>
            <w:vAlign w:val="center"/>
          </w:tcPr>
          <w:p w:rsidR="00065632" w:rsidRPr="00882979" w:rsidRDefault="00065632" w:rsidP="00DE2A67">
            <w:pPr>
              <w:spacing w:after="0"/>
              <w:rPr>
                <w:color w:val="000000"/>
              </w:rPr>
            </w:pPr>
            <w:r>
              <w:rPr>
                <w:color w:val="000000"/>
              </w:rPr>
              <w:t>Czech Statistical Office</w:t>
            </w:r>
          </w:p>
        </w:tc>
      </w:tr>
      <w:tr w:rsidR="00065632" w:rsidRPr="00882979">
        <w:trPr>
          <w:trHeight w:val="315"/>
        </w:trPr>
        <w:tc>
          <w:tcPr>
            <w:tcW w:w="2560" w:type="dxa"/>
            <w:tcBorders>
              <w:top w:val="nil"/>
              <w:left w:val="nil"/>
              <w:bottom w:val="single" w:sz="8" w:space="0" w:color="92D400"/>
              <w:right w:val="nil"/>
            </w:tcBorders>
            <w:shd w:val="clear" w:color="000000" w:fill="FFFFFF"/>
            <w:noWrap/>
            <w:vAlign w:val="center"/>
          </w:tcPr>
          <w:p w:rsidR="00065632" w:rsidRPr="00882979" w:rsidRDefault="00065632" w:rsidP="00DE2A67">
            <w:pPr>
              <w:spacing w:after="0"/>
              <w:rPr>
                <w:b/>
                <w:bCs/>
                <w:color w:val="000000"/>
              </w:rPr>
            </w:pPr>
            <w:r>
              <w:rPr>
                <w:b/>
                <w:bCs/>
                <w:color w:val="000000"/>
              </w:rPr>
              <w:t>Deloitte</w:t>
            </w:r>
          </w:p>
        </w:tc>
        <w:tc>
          <w:tcPr>
            <w:tcW w:w="6820" w:type="dxa"/>
            <w:tcBorders>
              <w:top w:val="nil"/>
              <w:left w:val="nil"/>
              <w:bottom w:val="single" w:sz="8" w:space="0" w:color="92D400"/>
              <w:right w:val="nil"/>
            </w:tcBorders>
            <w:shd w:val="clear" w:color="000000" w:fill="FFFFFF"/>
            <w:noWrap/>
            <w:vAlign w:val="center"/>
          </w:tcPr>
          <w:p w:rsidR="00065632" w:rsidRPr="00882979" w:rsidRDefault="00065632" w:rsidP="00DE2A67">
            <w:pPr>
              <w:spacing w:after="0"/>
              <w:rPr>
                <w:color w:val="000000"/>
              </w:rPr>
            </w:pPr>
            <w:r>
              <w:rPr>
                <w:color w:val="000000"/>
              </w:rPr>
              <w:t>Deloitte Advisory, s. r. o., also referred to as the Contractor</w:t>
            </w:r>
          </w:p>
        </w:tc>
      </w:tr>
      <w:tr w:rsidR="00065632" w:rsidRPr="00882979">
        <w:trPr>
          <w:trHeight w:val="315"/>
        </w:trPr>
        <w:tc>
          <w:tcPr>
            <w:tcW w:w="2560" w:type="dxa"/>
            <w:tcBorders>
              <w:top w:val="nil"/>
              <w:left w:val="nil"/>
              <w:bottom w:val="single" w:sz="8" w:space="0" w:color="92D400"/>
              <w:right w:val="nil"/>
            </w:tcBorders>
            <w:shd w:val="clear" w:color="000000" w:fill="FFFFFF"/>
            <w:noWrap/>
            <w:vAlign w:val="center"/>
          </w:tcPr>
          <w:p w:rsidR="00065632" w:rsidRPr="00882979" w:rsidRDefault="00065632" w:rsidP="00DE2A67">
            <w:pPr>
              <w:spacing w:after="0"/>
              <w:rPr>
                <w:b/>
                <w:bCs/>
                <w:color w:val="000000"/>
              </w:rPr>
            </w:pPr>
            <w:r>
              <w:rPr>
                <w:b/>
                <w:bCs/>
                <w:color w:val="000000"/>
              </w:rPr>
              <w:t>EEAG</w:t>
            </w:r>
          </w:p>
        </w:tc>
        <w:tc>
          <w:tcPr>
            <w:tcW w:w="6820" w:type="dxa"/>
            <w:tcBorders>
              <w:top w:val="nil"/>
              <w:left w:val="nil"/>
              <w:bottom w:val="single" w:sz="8" w:space="0" w:color="92D400"/>
              <w:right w:val="nil"/>
            </w:tcBorders>
            <w:shd w:val="clear" w:color="000000" w:fill="FFFFFF"/>
            <w:noWrap/>
            <w:vAlign w:val="center"/>
          </w:tcPr>
          <w:p w:rsidR="00065632" w:rsidRPr="00882979" w:rsidRDefault="00065632" w:rsidP="00DE2A67">
            <w:pPr>
              <w:spacing w:after="0"/>
              <w:rPr>
                <w:color w:val="000000"/>
              </w:rPr>
            </w:pPr>
            <w:r>
              <w:rPr>
                <w:color w:val="000000"/>
              </w:rPr>
              <w:t>The Environmental and Energy State Aid Guidelines</w:t>
            </w:r>
          </w:p>
        </w:tc>
      </w:tr>
      <w:tr w:rsidR="00065632" w:rsidRPr="00882979">
        <w:trPr>
          <w:trHeight w:val="315"/>
        </w:trPr>
        <w:tc>
          <w:tcPr>
            <w:tcW w:w="2560" w:type="dxa"/>
            <w:tcBorders>
              <w:top w:val="nil"/>
              <w:left w:val="nil"/>
              <w:bottom w:val="single" w:sz="8" w:space="0" w:color="92D400"/>
              <w:right w:val="nil"/>
            </w:tcBorders>
            <w:shd w:val="clear" w:color="000000" w:fill="FFFFFF"/>
            <w:noWrap/>
            <w:vAlign w:val="center"/>
          </w:tcPr>
          <w:p w:rsidR="00065632" w:rsidRPr="00882979" w:rsidRDefault="00065632" w:rsidP="00DE2A67">
            <w:pPr>
              <w:spacing w:after="0"/>
              <w:rPr>
                <w:b/>
                <w:bCs/>
                <w:color w:val="000000"/>
              </w:rPr>
            </w:pPr>
            <w:r>
              <w:rPr>
                <w:b/>
                <w:bCs/>
                <w:color w:val="000000"/>
              </w:rPr>
              <w:t>EEUD</w:t>
            </w:r>
          </w:p>
        </w:tc>
        <w:tc>
          <w:tcPr>
            <w:tcW w:w="6820" w:type="dxa"/>
            <w:tcBorders>
              <w:top w:val="nil"/>
              <w:left w:val="nil"/>
              <w:bottom w:val="single" w:sz="8" w:space="0" w:color="92D400"/>
              <w:right w:val="nil"/>
            </w:tcBorders>
            <w:shd w:val="clear" w:color="000000" w:fill="FFFFFF"/>
            <w:noWrap/>
            <w:vAlign w:val="center"/>
          </w:tcPr>
          <w:p w:rsidR="00065632" w:rsidRPr="00882979" w:rsidRDefault="00065632" w:rsidP="00DE2A67">
            <w:pPr>
              <w:spacing w:after="0"/>
              <w:rPr>
                <w:color w:val="000000"/>
              </w:rPr>
            </w:pPr>
            <w:r>
              <w:rPr>
                <w:color w:val="000000"/>
              </w:rPr>
              <w:t>Energy Efficiency Urban Development Fund</w:t>
            </w:r>
          </w:p>
        </w:tc>
      </w:tr>
      <w:tr w:rsidR="00065632" w:rsidRPr="00882979">
        <w:trPr>
          <w:trHeight w:val="315"/>
        </w:trPr>
        <w:tc>
          <w:tcPr>
            <w:tcW w:w="2560" w:type="dxa"/>
            <w:tcBorders>
              <w:top w:val="nil"/>
              <w:left w:val="nil"/>
              <w:bottom w:val="single" w:sz="8" w:space="0" w:color="92D400"/>
              <w:right w:val="nil"/>
            </w:tcBorders>
            <w:shd w:val="clear" w:color="000000" w:fill="FFFFFF"/>
            <w:noWrap/>
            <w:vAlign w:val="center"/>
          </w:tcPr>
          <w:p w:rsidR="00065632" w:rsidRPr="00882979" w:rsidRDefault="00065632" w:rsidP="00DE2A67">
            <w:pPr>
              <w:spacing w:after="0"/>
              <w:rPr>
                <w:b/>
                <w:bCs/>
                <w:color w:val="000000"/>
              </w:rPr>
            </w:pPr>
            <w:r>
              <w:rPr>
                <w:b/>
                <w:bCs/>
                <w:color w:val="000000"/>
              </w:rPr>
              <w:t>EIB</w:t>
            </w:r>
          </w:p>
        </w:tc>
        <w:tc>
          <w:tcPr>
            <w:tcW w:w="6820" w:type="dxa"/>
            <w:tcBorders>
              <w:top w:val="nil"/>
              <w:left w:val="nil"/>
              <w:bottom w:val="single" w:sz="8" w:space="0" w:color="92D400"/>
              <w:right w:val="nil"/>
            </w:tcBorders>
            <w:shd w:val="clear" w:color="000000" w:fill="FFFFFF"/>
            <w:noWrap/>
            <w:vAlign w:val="center"/>
          </w:tcPr>
          <w:p w:rsidR="00065632" w:rsidRPr="00882979" w:rsidRDefault="00065632" w:rsidP="00DE2A67">
            <w:pPr>
              <w:spacing w:after="0"/>
              <w:rPr>
                <w:color w:val="000000"/>
              </w:rPr>
            </w:pPr>
            <w:r>
              <w:rPr>
                <w:color w:val="000000"/>
              </w:rPr>
              <w:t>European Investment Bank</w:t>
            </w:r>
          </w:p>
        </w:tc>
      </w:tr>
      <w:tr w:rsidR="00065632" w:rsidRPr="00882979">
        <w:trPr>
          <w:trHeight w:val="315"/>
        </w:trPr>
        <w:tc>
          <w:tcPr>
            <w:tcW w:w="2560" w:type="dxa"/>
            <w:tcBorders>
              <w:top w:val="nil"/>
              <w:left w:val="nil"/>
              <w:bottom w:val="single" w:sz="8" w:space="0" w:color="92D400"/>
              <w:right w:val="nil"/>
            </w:tcBorders>
            <w:shd w:val="clear" w:color="000000" w:fill="FFFFFF"/>
            <w:noWrap/>
            <w:vAlign w:val="center"/>
          </w:tcPr>
          <w:p w:rsidR="00065632" w:rsidRPr="00882979" w:rsidRDefault="00065632" w:rsidP="00DE2A67">
            <w:pPr>
              <w:spacing w:after="0"/>
              <w:rPr>
                <w:b/>
                <w:bCs/>
                <w:color w:val="000000"/>
              </w:rPr>
            </w:pPr>
            <w:r>
              <w:rPr>
                <w:b/>
                <w:bCs/>
                <w:color w:val="000000"/>
              </w:rPr>
              <w:t>EIF</w:t>
            </w:r>
          </w:p>
        </w:tc>
        <w:tc>
          <w:tcPr>
            <w:tcW w:w="6820" w:type="dxa"/>
            <w:tcBorders>
              <w:top w:val="nil"/>
              <w:left w:val="nil"/>
              <w:bottom w:val="single" w:sz="8" w:space="0" w:color="92D400"/>
              <w:right w:val="nil"/>
            </w:tcBorders>
            <w:shd w:val="clear" w:color="000000" w:fill="FFFFFF"/>
            <w:noWrap/>
            <w:vAlign w:val="center"/>
          </w:tcPr>
          <w:p w:rsidR="00065632" w:rsidRPr="00882979" w:rsidRDefault="00065632" w:rsidP="00DE2A67">
            <w:pPr>
              <w:spacing w:after="0"/>
              <w:rPr>
                <w:color w:val="000000"/>
              </w:rPr>
            </w:pPr>
            <w:r>
              <w:rPr>
                <w:color w:val="000000"/>
              </w:rPr>
              <w:t>European Investment Fund</w:t>
            </w:r>
          </w:p>
        </w:tc>
      </w:tr>
      <w:tr w:rsidR="00065632" w:rsidRPr="00882979">
        <w:trPr>
          <w:trHeight w:val="315"/>
        </w:trPr>
        <w:tc>
          <w:tcPr>
            <w:tcW w:w="2560" w:type="dxa"/>
            <w:tcBorders>
              <w:top w:val="nil"/>
              <w:left w:val="nil"/>
              <w:bottom w:val="single" w:sz="8" w:space="0" w:color="92D400"/>
              <w:right w:val="nil"/>
            </w:tcBorders>
            <w:shd w:val="clear" w:color="000000" w:fill="FFFFFF"/>
            <w:noWrap/>
            <w:vAlign w:val="center"/>
          </w:tcPr>
          <w:p w:rsidR="00065632" w:rsidRPr="00882979" w:rsidRDefault="00065632" w:rsidP="00DE2A67">
            <w:pPr>
              <w:spacing w:after="0"/>
              <w:rPr>
                <w:b/>
                <w:bCs/>
                <w:color w:val="000000"/>
              </w:rPr>
            </w:pPr>
            <w:r>
              <w:rPr>
                <w:b/>
                <w:bCs/>
                <w:color w:val="000000"/>
              </w:rPr>
              <w:t>EC</w:t>
            </w:r>
          </w:p>
        </w:tc>
        <w:tc>
          <w:tcPr>
            <w:tcW w:w="6820" w:type="dxa"/>
            <w:tcBorders>
              <w:top w:val="nil"/>
              <w:left w:val="nil"/>
              <w:bottom w:val="single" w:sz="8" w:space="0" w:color="92D400"/>
              <w:right w:val="nil"/>
            </w:tcBorders>
            <w:shd w:val="clear" w:color="000000" w:fill="FFFFFF"/>
            <w:noWrap/>
            <w:vAlign w:val="center"/>
          </w:tcPr>
          <w:p w:rsidR="00065632" w:rsidRPr="00882979" w:rsidRDefault="00065632" w:rsidP="00DE2A67">
            <w:pPr>
              <w:spacing w:after="0"/>
              <w:rPr>
                <w:color w:val="000000"/>
              </w:rPr>
            </w:pPr>
            <w:r>
              <w:rPr>
                <w:color w:val="000000"/>
              </w:rPr>
              <w:t>European Commission</w:t>
            </w:r>
          </w:p>
        </w:tc>
      </w:tr>
      <w:tr w:rsidR="00065632" w:rsidRPr="00882979">
        <w:trPr>
          <w:trHeight w:val="315"/>
        </w:trPr>
        <w:tc>
          <w:tcPr>
            <w:tcW w:w="2560" w:type="dxa"/>
            <w:tcBorders>
              <w:top w:val="nil"/>
              <w:left w:val="nil"/>
              <w:bottom w:val="single" w:sz="8" w:space="0" w:color="92D400"/>
              <w:right w:val="nil"/>
            </w:tcBorders>
            <w:shd w:val="clear" w:color="000000" w:fill="FFFFFF"/>
            <w:noWrap/>
            <w:vAlign w:val="center"/>
          </w:tcPr>
          <w:p w:rsidR="00065632" w:rsidRPr="00882979" w:rsidRDefault="00065632" w:rsidP="00DE2A67">
            <w:pPr>
              <w:spacing w:after="0"/>
              <w:rPr>
                <w:b/>
                <w:bCs/>
                <w:color w:val="000000"/>
              </w:rPr>
            </w:pPr>
            <w:proofErr w:type="spellStart"/>
            <w:r>
              <w:rPr>
                <w:b/>
                <w:bCs/>
                <w:color w:val="000000"/>
              </w:rPr>
              <w:t>EnEV</w:t>
            </w:r>
            <w:proofErr w:type="spellEnd"/>
          </w:p>
        </w:tc>
        <w:tc>
          <w:tcPr>
            <w:tcW w:w="6820" w:type="dxa"/>
            <w:tcBorders>
              <w:top w:val="nil"/>
              <w:left w:val="nil"/>
              <w:bottom w:val="single" w:sz="8" w:space="0" w:color="92D400"/>
              <w:right w:val="nil"/>
            </w:tcBorders>
            <w:shd w:val="clear" w:color="000000" w:fill="FFFFFF"/>
            <w:noWrap/>
            <w:vAlign w:val="center"/>
          </w:tcPr>
          <w:p w:rsidR="00065632" w:rsidRPr="00882979" w:rsidRDefault="00065632" w:rsidP="00DE2A67">
            <w:pPr>
              <w:spacing w:after="0"/>
              <w:rPr>
                <w:color w:val="000000"/>
              </w:rPr>
            </w:pPr>
            <w:proofErr w:type="spellStart"/>
            <w:r>
              <w:rPr>
                <w:color w:val="000000"/>
              </w:rPr>
              <w:t>Energieeinsparverordnung</w:t>
            </w:r>
            <w:proofErr w:type="spellEnd"/>
          </w:p>
        </w:tc>
      </w:tr>
      <w:tr w:rsidR="00065632" w:rsidRPr="00882979">
        <w:trPr>
          <w:trHeight w:val="315"/>
        </w:trPr>
        <w:tc>
          <w:tcPr>
            <w:tcW w:w="2560" w:type="dxa"/>
            <w:tcBorders>
              <w:top w:val="nil"/>
              <w:left w:val="nil"/>
              <w:bottom w:val="single" w:sz="8" w:space="0" w:color="92D400"/>
              <w:right w:val="nil"/>
            </w:tcBorders>
            <w:shd w:val="clear" w:color="000000" w:fill="FFFFFF"/>
            <w:noWrap/>
            <w:vAlign w:val="center"/>
          </w:tcPr>
          <w:p w:rsidR="00065632" w:rsidRPr="00882979" w:rsidRDefault="00065632" w:rsidP="00DE2A67">
            <w:pPr>
              <w:spacing w:after="0"/>
              <w:rPr>
                <w:b/>
                <w:bCs/>
                <w:color w:val="000000"/>
              </w:rPr>
            </w:pPr>
            <w:r>
              <w:rPr>
                <w:b/>
                <w:bCs/>
                <w:color w:val="000000"/>
              </w:rPr>
              <w:t>EPC</w:t>
            </w:r>
          </w:p>
        </w:tc>
        <w:tc>
          <w:tcPr>
            <w:tcW w:w="6820" w:type="dxa"/>
            <w:tcBorders>
              <w:top w:val="nil"/>
              <w:left w:val="nil"/>
              <w:bottom w:val="single" w:sz="8" w:space="0" w:color="92D400"/>
              <w:right w:val="nil"/>
            </w:tcBorders>
            <w:shd w:val="clear" w:color="000000" w:fill="FFFFFF"/>
            <w:noWrap/>
            <w:vAlign w:val="center"/>
          </w:tcPr>
          <w:p w:rsidR="00065632" w:rsidRPr="00882979" w:rsidRDefault="00065632" w:rsidP="00DE2A67">
            <w:pPr>
              <w:spacing w:after="0"/>
              <w:rPr>
                <w:color w:val="000000"/>
              </w:rPr>
            </w:pPr>
            <w:r>
              <w:rPr>
                <w:color w:val="000000"/>
              </w:rPr>
              <w:t>Energy Performance Contracting</w:t>
            </w:r>
          </w:p>
        </w:tc>
      </w:tr>
      <w:tr w:rsidR="00065632" w:rsidRPr="00882979">
        <w:trPr>
          <w:trHeight w:val="269"/>
        </w:trPr>
        <w:tc>
          <w:tcPr>
            <w:tcW w:w="2560" w:type="dxa"/>
            <w:tcBorders>
              <w:top w:val="nil"/>
              <w:left w:val="nil"/>
              <w:bottom w:val="single" w:sz="8" w:space="0" w:color="92D400"/>
              <w:right w:val="nil"/>
            </w:tcBorders>
            <w:shd w:val="clear" w:color="000000" w:fill="FFFFFF"/>
            <w:noWrap/>
            <w:vAlign w:val="center"/>
          </w:tcPr>
          <w:p w:rsidR="00065632" w:rsidRPr="00882979" w:rsidRDefault="00065632" w:rsidP="00DE2A67">
            <w:pPr>
              <w:spacing w:after="0"/>
              <w:rPr>
                <w:b/>
                <w:bCs/>
                <w:color w:val="000000"/>
              </w:rPr>
            </w:pPr>
            <w:r>
              <w:rPr>
                <w:b/>
                <w:bCs/>
                <w:color w:val="000000"/>
              </w:rPr>
              <w:t>ESCO</w:t>
            </w:r>
          </w:p>
        </w:tc>
        <w:tc>
          <w:tcPr>
            <w:tcW w:w="6820" w:type="dxa"/>
            <w:tcBorders>
              <w:top w:val="nil"/>
              <w:left w:val="nil"/>
              <w:bottom w:val="single" w:sz="8" w:space="0" w:color="92D400"/>
              <w:right w:val="nil"/>
            </w:tcBorders>
            <w:shd w:val="clear" w:color="000000" w:fill="FFFFFF"/>
            <w:noWrap/>
            <w:vAlign w:val="center"/>
          </w:tcPr>
          <w:p w:rsidR="00065632" w:rsidRPr="00882979" w:rsidRDefault="00065632" w:rsidP="00F45A21">
            <w:pPr>
              <w:spacing w:after="0"/>
              <w:rPr>
                <w:color w:val="000000"/>
              </w:rPr>
            </w:pPr>
            <w:r>
              <w:rPr>
                <w:color w:val="000000"/>
              </w:rPr>
              <w:t>Energy service company – company providing energy services</w:t>
            </w:r>
          </w:p>
        </w:tc>
      </w:tr>
      <w:tr w:rsidR="00065632" w:rsidRPr="00882979">
        <w:trPr>
          <w:trHeight w:val="315"/>
        </w:trPr>
        <w:tc>
          <w:tcPr>
            <w:tcW w:w="2560" w:type="dxa"/>
            <w:tcBorders>
              <w:top w:val="nil"/>
              <w:left w:val="nil"/>
              <w:bottom w:val="single" w:sz="8" w:space="0" w:color="92D400"/>
              <w:right w:val="nil"/>
            </w:tcBorders>
            <w:shd w:val="clear" w:color="000000" w:fill="FFFFFF"/>
            <w:noWrap/>
            <w:vAlign w:val="center"/>
          </w:tcPr>
          <w:p w:rsidR="00065632" w:rsidRPr="00882979" w:rsidRDefault="00065632" w:rsidP="00DE2A67">
            <w:pPr>
              <w:spacing w:after="0"/>
              <w:jc w:val="left"/>
              <w:rPr>
                <w:b/>
                <w:bCs/>
                <w:color w:val="000000"/>
              </w:rPr>
            </w:pPr>
            <w:r>
              <w:rPr>
                <w:b/>
                <w:bCs/>
                <w:color w:val="000000"/>
              </w:rPr>
              <w:t>ESIF</w:t>
            </w:r>
          </w:p>
        </w:tc>
        <w:tc>
          <w:tcPr>
            <w:tcW w:w="6820" w:type="dxa"/>
            <w:tcBorders>
              <w:top w:val="nil"/>
              <w:left w:val="nil"/>
              <w:bottom w:val="single" w:sz="8" w:space="0" w:color="92D400"/>
              <w:right w:val="nil"/>
            </w:tcBorders>
            <w:shd w:val="clear" w:color="000000" w:fill="FFFFFF"/>
            <w:noWrap/>
            <w:vAlign w:val="center"/>
          </w:tcPr>
          <w:p w:rsidR="00065632" w:rsidRPr="00882979" w:rsidRDefault="00065632" w:rsidP="00DE2A67">
            <w:pPr>
              <w:spacing w:after="0"/>
              <w:rPr>
                <w:color w:val="000000"/>
              </w:rPr>
            </w:pPr>
            <w:r>
              <w:rPr>
                <w:color w:val="000000"/>
              </w:rPr>
              <w:t>European Structural and Investment Funds</w:t>
            </w:r>
          </w:p>
        </w:tc>
      </w:tr>
      <w:tr w:rsidR="00065632" w:rsidRPr="00882979">
        <w:trPr>
          <w:trHeight w:val="315"/>
        </w:trPr>
        <w:tc>
          <w:tcPr>
            <w:tcW w:w="2560" w:type="dxa"/>
            <w:tcBorders>
              <w:top w:val="nil"/>
              <w:left w:val="nil"/>
              <w:bottom w:val="single" w:sz="8" w:space="0" w:color="92D400"/>
              <w:right w:val="nil"/>
            </w:tcBorders>
            <w:shd w:val="clear" w:color="000000" w:fill="FFFFFF"/>
            <w:noWrap/>
            <w:vAlign w:val="center"/>
          </w:tcPr>
          <w:p w:rsidR="00065632" w:rsidRPr="00882979" w:rsidRDefault="00065632" w:rsidP="00DE2A67">
            <w:pPr>
              <w:spacing w:after="0"/>
              <w:rPr>
                <w:b/>
                <w:bCs/>
                <w:color w:val="000000"/>
              </w:rPr>
            </w:pPr>
            <w:r>
              <w:rPr>
                <w:b/>
                <w:bCs/>
                <w:color w:val="000000"/>
              </w:rPr>
              <w:t>EU</w:t>
            </w:r>
          </w:p>
        </w:tc>
        <w:tc>
          <w:tcPr>
            <w:tcW w:w="6820" w:type="dxa"/>
            <w:tcBorders>
              <w:top w:val="nil"/>
              <w:left w:val="nil"/>
              <w:bottom w:val="single" w:sz="8" w:space="0" w:color="92D400"/>
              <w:right w:val="nil"/>
            </w:tcBorders>
            <w:shd w:val="clear" w:color="000000" w:fill="FFFFFF"/>
            <w:noWrap/>
            <w:vAlign w:val="center"/>
          </w:tcPr>
          <w:p w:rsidR="00065632" w:rsidRPr="00882979" w:rsidRDefault="00065632" w:rsidP="00DE2A67">
            <w:pPr>
              <w:spacing w:after="0"/>
              <w:rPr>
                <w:color w:val="000000"/>
              </w:rPr>
            </w:pPr>
            <w:r>
              <w:rPr>
                <w:color w:val="000000"/>
              </w:rPr>
              <w:t>European Union</w:t>
            </w:r>
          </w:p>
        </w:tc>
      </w:tr>
      <w:tr w:rsidR="00065632" w:rsidRPr="00882979">
        <w:trPr>
          <w:trHeight w:val="315"/>
        </w:trPr>
        <w:tc>
          <w:tcPr>
            <w:tcW w:w="2560" w:type="dxa"/>
            <w:tcBorders>
              <w:top w:val="nil"/>
              <w:left w:val="nil"/>
              <w:bottom w:val="single" w:sz="8" w:space="0" w:color="92D400"/>
              <w:right w:val="nil"/>
            </w:tcBorders>
            <w:shd w:val="clear" w:color="000000" w:fill="FFFFFF"/>
            <w:noWrap/>
            <w:vAlign w:val="center"/>
          </w:tcPr>
          <w:p w:rsidR="00065632" w:rsidRPr="00882979" w:rsidRDefault="00065632" w:rsidP="00DE2A67">
            <w:pPr>
              <w:spacing w:after="0"/>
              <w:rPr>
                <w:b/>
                <w:bCs/>
                <w:color w:val="000000"/>
              </w:rPr>
            </w:pPr>
            <w:r>
              <w:rPr>
                <w:b/>
                <w:bCs/>
                <w:color w:val="000000"/>
              </w:rPr>
              <w:t>FF</w:t>
            </w:r>
          </w:p>
        </w:tc>
        <w:tc>
          <w:tcPr>
            <w:tcW w:w="6820" w:type="dxa"/>
            <w:tcBorders>
              <w:top w:val="nil"/>
              <w:left w:val="nil"/>
              <w:bottom w:val="single" w:sz="8" w:space="0" w:color="92D400"/>
              <w:right w:val="nil"/>
            </w:tcBorders>
            <w:shd w:val="clear" w:color="000000" w:fill="FFFFFF"/>
            <w:noWrap/>
            <w:vAlign w:val="center"/>
          </w:tcPr>
          <w:p w:rsidR="00065632" w:rsidRPr="00882979" w:rsidRDefault="00065632" w:rsidP="00DE2A67">
            <w:pPr>
              <w:spacing w:after="0"/>
              <w:rPr>
                <w:color w:val="000000"/>
              </w:rPr>
            </w:pPr>
            <w:r>
              <w:rPr>
                <w:color w:val="000000"/>
              </w:rPr>
              <w:t>Fund of Funds</w:t>
            </w:r>
          </w:p>
        </w:tc>
      </w:tr>
      <w:tr w:rsidR="00065632" w:rsidRPr="00882979">
        <w:trPr>
          <w:trHeight w:val="259"/>
        </w:trPr>
        <w:tc>
          <w:tcPr>
            <w:tcW w:w="2560" w:type="dxa"/>
            <w:tcBorders>
              <w:top w:val="nil"/>
              <w:left w:val="nil"/>
              <w:bottom w:val="single" w:sz="8" w:space="0" w:color="92D400"/>
              <w:right w:val="nil"/>
            </w:tcBorders>
            <w:shd w:val="clear" w:color="000000" w:fill="FFFFFF"/>
            <w:noWrap/>
            <w:vAlign w:val="center"/>
          </w:tcPr>
          <w:p w:rsidR="00065632" w:rsidRPr="00882979" w:rsidRDefault="00065632" w:rsidP="00DE2A67">
            <w:pPr>
              <w:spacing w:after="0"/>
              <w:rPr>
                <w:b/>
                <w:bCs/>
                <w:color w:val="000000"/>
              </w:rPr>
            </w:pPr>
            <w:r>
              <w:rPr>
                <w:b/>
                <w:bCs/>
                <w:color w:val="000000"/>
              </w:rPr>
              <w:t>GBER</w:t>
            </w:r>
          </w:p>
        </w:tc>
        <w:tc>
          <w:tcPr>
            <w:tcW w:w="6820" w:type="dxa"/>
            <w:tcBorders>
              <w:top w:val="nil"/>
              <w:left w:val="nil"/>
              <w:bottom w:val="single" w:sz="8" w:space="0" w:color="92D400"/>
              <w:right w:val="nil"/>
            </w:tcBorders>
            <w:shd w:val="clear" w:color="000000" w:fill="FFFFFF"/>
            <w:noWrap/>
            <w:vAlign w:val="center"/>
          </w:tcPr>
          <w:p w:rsidR="00065632" w:rsidRPr="00882979" w:rsidRDefault="00065632" w:rsidP="00DE2A67">
            <w:pPr>
              <w:spacing w:after="0"/>
              <w:rPr>
                <w:color w:val="000000"/>
              </w:rPr>
            </w:pPr>
            <w:r>
              <w:rPr>
                <w:color w:val="000000"/>
              </w:rPr>
              <w:t>General Block Exemption Regulation</w:t>
            </w:r>
          </w:p>
        </w:tc>
      </w:tr>
      <w:tr w:rsidR="00065632" w:rsidRPr="00882979">
        <w:trPr>
          <w:trHeight w:val="315"/>
        </w:trPr>
        <w:tc>
          <w:tcPr>
            <w:tcW w:w="2560" w:type="dxa"/>
            <w:tcBorders>
              <w:top w:val="nil"/>
              <w:left w:val="nil"/>
              <w:bottom w:val="single" w:sz="8" w:space="0" w:color="92D400"/>
              <w:right w:val="nil"/>
            </w:tcBorders>
            <w:shd w:val="clear" w:color="000000" w:fill="FFFFFF"/>
            <w:noWrap/>
            <w:vAlign w:val="center"/>
          </w:tcPr>
          <w:p w:rsidR="00065632" w:rsidRPr="00882979" w:rsidRDefault="00065632" w:rsidP="00DE2A67">
            <w:pPr>
              <w:spacing w:after="0"/>
              <w:rPr>
                <w:b/>
                <w:bCs/>
                <w:color w:val="000000"/>
              </w:rPr>
            </w:pPr>
            <w:r>
              <w:rPr>
                <w:b/>
                <w:bCs/>
                <w:color w:val="000000"/>
              </w:rPr>
              <w:t>GGE</w:t>
            </w:r>
          </w:p>
        </w:tc>
        <w:tc>
          <w:tcPr>
            <w:tcW w:w="6820" w:type="dxa"/>
            <w:tcBorders>
              <w:top w:val="nil"/>
              <w:left w:val="nil"/>
              <w:bottom w:val="single" w:sz="8" w:space="0" w:color="92D400"/>
              <w:right w:val="nil"/>
            </w:tcBorders>
            <w:shd w:val="clear" w:color="000000" w:fill="FFFFFF"/>
            <w:noWrap/>
            <w:vAlign w:val="center"/>
          </w:tcPr>
          <w:p w:rsidR="00065632" w:rsidRPr="00882979" w:rsidRDefault="00065632" w:rsidP="00DE2A67">
            <w:pPr>
              <w:spacing w:after="0"/>
              <w:rPr>
                <w:color w:val="000000"/>
              </w:rPr>
            </w:pPr>
            <w:r>
              <w:rPr>
                <w:color w:val="000000"/>
              </w:rPr>
              <w:t>Gross Grant Equivalent</w:t>
            </w:r>
          </w:p>
        </w:tc>
      </w:tr>
      <w:tr w:rsidR="00065632" w:rsidRPr="00882979">
        <w:trPr>
          <w:trHeight w:val="525"/>
        </w:trPr>
        <w:tc>
          <w:tcPr>
            <w:tcW w:w="2560" w:type="dxa"/>
            <w:tcBorders>
              <w:top w:val="nil"/>
              <w:left w:val="nil"/>
              <w:bottom w:val="single" w:sz="8" w:space="0" w:color="92D400"/>
              <w:right w:val="nil"/>
            </w:tcBorders>
            <w:shd w:val="clear" w:color="000000" w:fill="FFFFFF"/>
            <w:noWrap/>
            <w:vAlign w:val="center"/>
          </w:tcPr>
          <w:p w:rsidR="00065632" w:rsidRPr="00882979" w:rsidRDefault="00065632" w:rsidP="00DE2A67">
            <w:pPr>
              <w:spacing w:after="0"/>
              <w:rPr>
                <w:b/>
                <w:bCs/>
                <w:color w:val="000000"/>
              </w:rPr>
            </w:pPr>
            <w:r>
              <w:rPr>
                <w:b/>
                <w:bCs/>
                <w:color w:val="000000"/>
              </w:rPr>
              <w:t>IFI</w:t>
            </w:r>
          </w:p>
        </w:tc>
        <w:tc>
          <w:tcPr>
            <w:tcW w:w="6820" w:type="dxa"/>
            <w:tcBorders>
              <w:top w:val="nil"/>
              <w:left w:val="nil"/>
              <w:bottom w:val="single" w:sz="8" w:space="0" w:color="92D400"/>
              <w:right w:val="nil"/>
            </w:tcBorders>
            <w:shd w:val="clear" w:color="000000" w:fill="FFFFFF"/>
            <w:noWrap/>
            <w:vAlign w:val="center"/>
          </w:tcPr>
          <w:p w:rsidR="00065632" w:rsidRPr="00882979" w:rsidRDefault="00065632" w:rsidP="00DE2A67">
            <w:pPr>
              <w:spacing w:after="0"/>
              <w:rPr>
                <w:color w:val="000000"/>
              </w:rPr>
            </w:pPr>
            <w:r>
              <w:rPr>
                <w:color w:val="000000"/>
              </w:rPr>
              <w:t>Innovative financial instruments, financial instruments used in the programming period</w:t>
            </w:r>
            <w:r>
              <w:rPr>
                <w:color w:val="000000"/>
              </w:rPr>
              <w:br/>
              <w:t>2014–2020</w:t>
            </w:r>
          </w:p>
        </w:tc>
      </w:tr>
      <w:tr w:rsidR="00065632" w:rsidRPr="00882979">
        <w:trPr>
          <w:trHeight w:val="315"/>
        </w:trPr>
        <w:tc>
          <w:tcPr>
            <w:tcW w:w="2560" w:type="dxa"/>
            <w:tcBorders>
              <w:top w:val="nil"/>
              <w:left w:val="nil"/>
              <w:bottom w:val="single" w:sz="8" w:space="0" w:color="92D400"/>
              <w:right w:val="nil"/>
            </w:tcBorders>
            <w:shd w:val="clear" w:color="000000" w:fill="FFFFFF"/>
            <w:noWrap/>
            <w:vAlign w:val="center"/>
          </w:tcPr>
          <w:p w:rsidR="00065632" w:rsidRPr="00882979" w:rsidRDefault="00065632" w:rsidP="00DE2A67">
            <w:pPr>
              <w:spacing w:after="0"/>
              <w:rPr>
                <w:b/>
                <w:bCs/>
                <w:color w:val="000000"/>
              </w:rPr>
            </w:pPr>
            <w:r>
              <w:rPr>
                <w:b/>
                <w:bCs/>
                <w:color w:val="000000"/>
              </w:rPr>
              <w:t>IIP</w:t>
            </w:r>
          </w:p>
        </w:tc>
        <w:tc>
          <w:tcPr>
            <w:tcW w:w="6820" w:type="dxa"/>
            <w:tcBorders>
              <w:top w:val="nil"/>
              <w:left w:val="nil"/>
              <w:bottom w:val="single" w:sz="8" w:space="0" w:color="92D400"/>
              <w:right w:val="nil"/>
            </w:tcBorders>
            <w:shd w:val="clear" w:color="000000" w:fill="FFFFFF"/>
            <w:noWrap/>
            <w:vAlign w:val="center"/>
          </w:tcPr>
          <w:p w:rsidR="00065632" w:rsidRPr="00882979" w:rsidRDefault="00065632" w:rsidP="00DE2A67">
            <w:pPr>
              <w:spacing w:after="0"/>
              <w:rPr>
                <w:color w:val="000000"/>
              </w:rPr>
            </w:pPr>
            <w:r>
              <w:rPr>
                <w:color w:val="000000"/>
              </w:rPr>
              <w:t>Infrastructure Investment Programme</w:t>
            </w:r>
          </w:p>
        </w:tc>
      </w:tr>
      <w:tr w:rsidR="00065632" w:rsidRPr="00882979">
        <w:trPr>
          <w:trHeight w:val="315"/>
        </w:trPr>
        <w:tc>
          <w:tcPr>
            <w:tcW w:w="2560" w:type="dxa"/>
            <w:tcBorders>
              <w:top w:val="nil"/>
              <w:left w:val="nil"/>
              <w:bottom w:val="single" w:sz="8" w:space="0" w:color="92D400"/>
              <w:right w:val="nil"/>
            </w:tcBorders>
            <w:shd w:val="clear" w:color="000000" w:fill="FFFFFF"/>
            <w:noWrap/>
            <w:vAlign w:val="center"/>
          </w:tcPr>
          <w:p w:rsidR="00065632" w:rsidRPr="00882979" w:rsidRDefault="00065632" w:rsidP="00DE2A67">
            <w:pPr>
              <w:spacing w:after="0"/>
              <w:rPr>
                <w:b/>
                <w:bCs/>
                <w:color w:val="000000"/>
              </w:rPr>
            </w:pPr>
            <w:r>
              <w:rPr>
                <w:b/>
                <w:bCs/>
                <w:color w:val="000000"/>
              </w:rPr>
              <w:t>IROP</w:t>
            </w:r>
          </w:p>
        </w:tc>
        <w:tc>
          <w:tcPr>
            <w:tcW w:w="6820" w:type="dxa"/>
            <w:tcBorders>
              <w:top w:val="nil"/>
              <w:left w:val="nil"/>
              <w:bottom w:val="single" w:sz="8" w:space="0" w:color="92D400"/>
              <w:right w:val="nil"/>
            </w:tcBorders>
            <w:shd w:val="clear" w:color="000000" w:fill="FFFFFF"/>
            <w:noWrap/>
            <w:vAlign w:val="center"/>
          </w:tcPr>
          <w:p w:rsidR="00065632" w:rsidRPr="00882979" w:rsidRDefault="00065632" w:rsidP="00DE2A67">
            <w:pPr>
              <w:spacing w:after="0"/>
              <w:rPr>
                <w:color w:val="000000"/>
              </w:rPr>
            </w:pPr>
            <w:r>
              <w:rPr>
                <w:color w:val="000000"/>
              </w:rPr>
              <w:t>Integrated Regional Operational Programme</w:t>
            </w:r>
          </w:p>
        </w:tc>
      </w:tr>
      <w:tr w:rsidR="00065632" w:rsidRPr="00882979">
        <w:trPr>
          <w:trHeight w:val="315"/>
        </w:trPr>
        <w:tc>
          <w:tcPr>
            <w:tcW w:w="2560" w:type="dxa"/>
            <w:tcBorders>
              <w:top w:val="nil"/>
              <w:left w:val="nil"/>
              <w:bottom w:val="single" w:sz="8" w:space="0" w:color="92D400"/>
              <w:right w:val="nil"/>
            </w:tcBorders>
            <w:shd w:val="clear" w:color="000000" w:fill="FFFFFF"/>
            <w:noWrap/>
            <w:vAlign w:val="center"/>
          </w:tcPr>
          <w:p w:rsidR="00065632" w:rsidRPr="00882979" w:rsidRDefault="00065632" w:rsidP="00DE2A67">
            <w:pPr>
              <w:spacing w:after="0"/>
              <w:rPr>
                <w:b/>
                <w:bCs/>
                <w:color w:val="000000"/>
              </w:rPr>
            </w:pPr>
            <w:r>
              <w:rPr>
                <w:b/>
                <w:bCs/>
                <w:color w:val="000000"/>
              </w:rPr>
              <w:t>JESSICA</w:t>
            </w:r>
          </w:p>
        </w:tc>
        <w:tc>
          <w:tcPr>
            <w:tcW w:w="6820" w:type="dxa"/>
            <w:tcBorders>
              <w:top w:val="nil"/>
              <w:left w:val="nil"/>
              <w:bottom w:val="single" w:sz="8" w:space="0" w:color="92D400"/>
              <w:right w:val="nil"/>
            </w:tcBorders>
            <w:shd w:val="clear" w:color="000000" w:fill="FFFFFF"/>
            <w:noWrap/>
            <w:vAlign w:val="center"/>
          </w:tcPr>
          <w:p w:rsidR="00065632" w:rsidRPr="00882979" w:rsidRDefault="00065632" w:rsidP="00DE2A67">
            <w:pPr>
              <w:spacing w:after="0"/>
              <w:rPr>
                <w:color w:val="000000"/>
              </w:rPr>
            </w:pPr>
            <w:r>
              <w:rPr>
                <w:color w:val="000000"/>
              </w:rPr>
              <w:t>Joint European Support for Sustainable Investment in City Areas</w:t>
            </w:r>
          </w:p>
        </w:tc>
      </w:tr>
      <w:tr w:rsidR="00065632" w:rsidRPr="00882979">
        <w:trPr>
          <w:trHeight w:val="315"/>
        </w:trPr>
        <w:tc>
          <w:tcPr>
            <w:tcW w:w="2560" w:type="dxa"/>
            <w:tcBorders>
              <w:top w:val="nil"/>
              <w:left w:val="nil"/>
              <w:bottom w:val="single" w:sz="8" w:space="0" w:color="92D400"/>
              <w:right w:val="nil"/>
            </w:tcBorders>
            <w:shd w:val="clear" w:color="000000" w:fill="FFFFFF"/>
            <w:noWrap/>
            <w:vAlign w:val="center"/>
          </w:tcPr>
          <w:p w:rsidR="00065632" w:rsidRPr="00882979" w:rsidRDefault="00065632" w:rsidP="00DE2A67">
            <w:pPr>
              <w:spacing w:after="0"/>
              <w:rPr>
                <w:b/>
                <w:bCs/>
                <w:color w:val="000000"/>
              </w:rPr>
            </w:pPr>
            <w:proofErr w:type="spellStart"/>
            <w:r>
              <w:rPr>
                <w:b/>
                <w:bCs/>
                <w:color w:val="000000"/>
              </w:rPr>
              <w:t>KfW</w:t>
            </w:r>
            <w:proofErr w:type="spellEnd"/>
          </w:p>
        </w:tc>
        <w:tc>
          <w:tcPr>
            <w:tcW w:w="6820" w:type="dxa"/>
            <w:tcBorders>
              <w:top w:val="nil"/>
              <w:left w:val="nil"/>
              <w:bottom w:val="single" w:sz="8" w:space="0" w:color="92D400"/>
              <w:right w:val="nil"/>
            </w:tcBorders>
            <w:shd w:val="clear" w:color="000000" w:fill="FFFFFF"/>
            <w:noWrap/>
            <w:vAlign w:val="center"/>
          </w:tcPr>
          <w:p w:rsidR="00065632" w:rsidRPr="00882979" w:rsidRDefault="00065632" w:rsidP="00DE2A67">
            <w:pPr>
              <w:spacing w:after="0"/>
              <w:rPr>
                <w:color w:val="000000"/>
              </w:rPr>
            </w:pPr>
            <w:proofErr w:type="spellStart"/>
            <w:r>
              <w:rPr>
                <w:color w:val="000000"/>
              </w:rPr>
              <w:t>Kreditanstalt</w:t>
            </w:r>
            <w:proofErr w:type="spellEnd"/>
            <w:r>
              <w:rPr>
                <w:color w:val="000000"/>
              </w:rPr>
              <w:t xml:space="preserve"> </w:t>
            </w:r>
            <w:proofErr w:type="spellStart"/>
            <w:r>
              <w:rPr>
                <w:color w:val="000000"/>
              </w:rPr>
              <w:t>für</w:t>
            </w:r>
            <w:proofErr w:type="spellEnd"/>
            <w:r>
              <w:rPr>
                <w:color w:val="000000"/>
              </w:rPr>
              <w:t xml:space="preserve"> </w:t>
            </w:r>
            <w:proofErr w:type="spellStart"/>
            <w:r>
              <w:rPr>
                <w:color w:val="000000"/>
              </w:rPr>
              <w:t>Wiederaufbau</w:t>
            </w:r>
            <w:proofErr w:type="spellEnd"/>
            <w:r>
              <w:rPr>
                <w:color w:val="000000"/>
              </w:rPr>
              <w:t xml:space="preserve"> </w:t>
            </w:r>
            <w:proofErr w:type="spellStart"/>
            <w:r>
              <w:rPr>
                <w:color w:val="000000"/>
              </w:rPr>
              <w:t>Bankengruppe</w:t>
            </w:r>
            <w:proofErr w:type="spellEnd"/>
          </w:p>
        </w:tc>
      </w:tr>
      <w:tr w:rsidR="00065632" w:rsidRPr="00882979">
        <w:trPr>
          <w:trHeight w:val="315"/>
        </w:trPr>
        <w:tc>
          <w:tcPr>
            <w:tcW w:w="2560" w:type="dxa"/>
            <w:tcBorders>
              <w:top w:val="nil"/>
              <w:left w:val="nil"/>
              <w:bottom w:val="single" w:sz="8" w:space="0" w:color="92D400"/>
              <w:right w:val="nil"/>
            </w:tcBorders>
            <w:shd w:val="clear" w:color="000000" w:fill="FFFFFF"/>
            <w:noWrap/>
            <w:vAlign w:val="center"/>
          </w:tcPr>
          <w:p w:rsidR="00065632" w:rsidRPr="00882979" w:rsidRDefault="00065632" w:rsidP="00DE2A67">
            <w:pPr>
              <w:spacing w:after="0"/>
              <w:rPr>
                <w:b/>
                <w:bCs/>
                <w:color w:val="000000"/>
              </w:rPr>
            </w:pPr>
            <w:r>
              <w:rPr>
                <w:b/>
                <w:bCs/>
                <w:color w:val="000000"/>
              </w:rPr>
              <w:t>LDA</w:t>
            </w:r>
          </w:p>
        </w:tc>
        <w:tc>
          <w:tcPr>
            <w:tcW w:w="6820" w:type="dxa"/>
            <w:tcBorders>
              <w:top w:val="nil"/>
              <w:left w:val="nil"/>
              <w:bottom w:val="single" w:sz="8" w:space="0" w:color="92D400"/>
              <w:right w:val="nil"/>
            </w:tcBorders>
            <w:shd w:val="clear" w:color="000000" w:fill="FFFFFF"/>
            <w:noWrap/>
            <w:vAlign w:val="center"/>
          </w:tcPr>
          <w:p w:rsidR="00065632" w:rsidRPr="00882979" w:rsidRDefault="00065632" w:rsidP="00DE2A67">
            <w:pPr>
              <w:spacing w:after="0"/>
              <w:rPr>
                <w:color w:val="000000"/>
              </w:rPr>
            </w:pPr>
            <w:r>
              <w:rPr>
                <w:color w:val="000000"/>
              </w:rPr>
              <w:t>London Development Agency</w:t>
            </w:r>
          </w:p>
        </w:tc>
      </w:tr>
      <w:tr w:rsidR="00065632" w:rsidRPr="00882979">
        <w:trPr>
          <w:trHeight w:val="315"/>
        </w:trPr>
        <w:tc>
          <w:tcPr>
            <w:tcW w:w="2560" w:type="dxa"/>
            <w:tcBorders>
              <w:top w:val="nil"/>
              <w:left w:val="nil"/>
              <w:bottom w:val="single" w:sz="8" w:space="0" w:color="92D400"/>
              <w:right w:val="nil"/>
            </w:tcBorders>
            <w:shd w:val="clear" w:color="000000" w:fill="FFFFFF"/>
            <w:noWrap/>
            <w:vAlign w:val="center"/>
          </w:tcPr>
          <w:p w:rsidR="00065632" w:rsidRPr="00882979" w:rsidRDefault="00065632" w:rsidP="00DE2A67">
            <w:pPr>
              <w:spacing w:after="0"/>
              <w:rPr>
                <w:b/>
                <w:bCs/>
                <w:color w:val="000000"/>
              </w:rPr>
            </w:pPr>
            <w:r>
              <w:rPr>
                <w:b/>
                <w:bCs/>
                <w:color w:val="000000"/>
              </w:rPr>
              <w:t>LGF</w:t>
            </w:r>
          </w:p>
        </w:tc>
        <w:tc>
          <w:tcPr>
            <w:tcW w:w="6820" w:type="dxa"/>
            <w:tcBorders>
              <w:top w:val="nil"/>
              <w:left w:val="nil"/>
              <w:bottom w:val="single" w:sz="8" w:space="0" w:color="92D400"/>
              <w:right w:val="nil"/>
            </w:tcBorders>
            <w:shd w:val="clear" w:color="000000" w:fill="FFFFFF"/>
            <w:noWrap/>
            <w:vAlign w:val="center"/>
          </w:tcPr>
          <w:p w:rsidR="00065632" w:rsidRPr="00882979" w:rsidRDefault="00065632" w:rsidP="00DE2A67">
            <w:pPr>
              <w:spacing w:after="0"/>
              <w:rPr>
                <w:color w:val="000000"/>
              </w:rPr>
            </w:pPr>
            <w:r>
              <w:rPr>
                <w:color w:val="000000"/>
              </w:rPr>
              <w:t>London Green Fund</w:t>
            </w:r>
          </w:p>
        </w:tc>
      </w:tr>
      <w:tr w:rsidR="00065632" w:rsidRPr="00882979">
        <w:trPr>
          <w:trHeight w:val="315"/>
        </w:trPr>
        <w:tc>
          <w:tcPr>
            <w:tcW w:w="2560" w:type="dxa"/>
            <w:tcBorders>
              <w:top w:val="nil"/>
              <w:left w:val="nil"/>
              <w:bottom w:val="single" w:sz="8" w:space="0" w:color="92D400"/>
              <w:right w:val="nil"/>
            </w:tcBorders>
            <w:shd w:val="clear" w:color="000000" w:fill="FFFFFF"/>
            <w:noWrap/>
            <w:vAlign w:val="center"/>
          </w:tcPr>
          <w:p w:rsidR="00065632" w:rsidRPr="00882979" w:rsidRDefault="00065632" w:rsidP="00DE2A67">
            <w:pPr>
              <w:spacing w:after="0"/>
              <w:rPr>
                <w:b/>
                <w:bCs/>
                <w:color w:val="000000"/>
              </w:rPr>
            </w:pPr>
            <w:r>
              <w:rPr>
                <w:b/>
                <w:bCs/>
                <w:color w:val="000000"/>
              </w:rPr>
              <w:t>LWARB</w:t>
            </w:r>
          </w:p>
        </w:tc>
        <w:tc>
          <w:tcPr>
            <w:tcW w:w="6820" w:type="dxa"/>
            <w:tcBorders>
              <w:top w:val="nil"/>
              <w:left w:val="nil"/>
              <w:bottom w:val="single" w:sz="8" w:space="0" w:color="92D400"/>
              <w:right w:val="nil"/>
            </w:tcBorders>
            <w:shd w:val="clear" w:color="000000" w:fill="FFFFFF"/>
            <w:noWrap/>
            <w:vAlign w:val="center"/>
          </w:tcPr>
          <w:p w:rsidR="00065632" w:rsidRPr="00882979" w:rsidRDefault="00065632" w:rsidP="00DE2A67">
            <w:pPr>
              <w:spacing w:after="0"/>
              <w:rPr>
                <w:color w:val="000000"/>
              </w:rPr>
            </w:pPr>
            <w:r>
              <w:rPr>
                <w:color w:val="000000"/>
              </w:rPr>
              <w:t>London Waste and Recycling Board</w:t>
            </w:r>
          </w:p>
        </w:tc>
      </w:tr>
      <w:tr w:rsidR="00065632" w:rsidRPr="00882979">
        <w:trPr>
          <w:trHeight w:val="315"/>
        </w:trPr>
        <w:tc>
          <w:tcPr>
            <w:tcW w:w="2560" w:type="dxa"/>
            <w:tcBorders>
              <w:top w:val="nil"/>
              <w:left w:val="nil"/>
              <w:bottom w:val="single" w:sz="8" w:space="0" w:color="92D400"/>
              <w:right w:val="nil"/>
            </w:tcBorders>
            <w:shd w:val="clear" w:color="000000" w:fill="FFFFFF"/>
            <w:noWrap/>
            <w:vAlign w:val="center"/>
          </w:tcPr>
          <w:p w:rsidR="00065632" w:rsidRPr="00882979" w:rsidRDefault="00065632" w:rsidP="00DE2A67">
            <w:pPr>
              <w:spacing w:after="0"/>
              <w:rPr>
                <w:b/>
                <w:bCs/>
                <w:color w:val="000000"/>
              </w:rPr>
            </w:pPr>
            <w:proofErr w:type="spellStart"/>
            <w:r>
              <w:rPr>
                <w:b/>
                <w:bCs/>
                <w:color w:val="000000"/>
              </w:rPr>
              <w:t>MoRD</w:t>
            </w:r>
            <w:proofErr w:type="spellEnd"/>
            <w:r>
              <w:rPr>
                <w:b/>
                <w:bCs/>
                <w:color w:val="000000"/>
              </w:rPr>
              <w:t xml:space="preserve"> (</w:t>
            </w:r>
            <w:proofErr w:type="spellStart"/>
            <w:r>
              <w:rPr>
                <w:b/>
                <w:bCs/>
                <w:color w:val="000000"/>
              </w:rPr>
              <w:t>MoRD</w:t>
            </w:r>
            <w:proofErr w:type="spellEnd"/>
            <w:r>
              <w:rPr>
                <w:b/>
                <w:bCs/>
                <w:color w:val="000000"/>
              </w:rPr>
              <w:t>-NCA)</w:t>
            </w:r>
          </w:p>
        </w:tc>
        <w:tc>
          <w:tcPr>
            <w:tcW w:w="6820" w:type="dxa"/>
            <w:tcBorders>
              <w:top w:val="nil"/>
              <w:left w:val="nil"/>
              <w:bottom w:val="single" w:sz="8" w:space="0" w:color="92D400"/>
              <w:right w:val="nil"/>
            </w:tcBorders>
            <w:shd w:val="clear" w:color="000000" w:fill="FFFFFF"/>
            <w:noWrap/>
            <w:vAlign w:val="center"/>
          </w:tcPr>
          <w:p w:rsidR="00065632" w:rsidRPr="00882979" w:rsidRDefault="00065632" w:rsidP="00DE2A67">
            <w:pPr>
              <w:spacing w:after="0"/>
              <w:rPr>
                <w:color w:val="000000"/>
              </w:rPr>
            </w:pPr>
            <w:r>
              <w:rPr>
                <w:color w:val="000000"/>
              </w:rPr>
              <w:t>Ministry Of Regional Development – (</w:t>
            </w:r>
            <w:proofErr w:type="spellStart"/>
            <w:r>
              <w:rPr>
                <w:color w:val="000000"/>
              </w:rPr>
              <w:t>MoRD</w:t>
            </w:r>
            <w:proofErr w:type="spellEnd"/>
            <w:r>
              <w:rPr>
                <w:color w:val="000000"/>
              </w:rPr>
              <w:t>-National Co-ordination Authority)</w:t>
            </w:r>
          </w:p>
        </w:tc>
      </w:tr>
      <w:tr w:rsidR="00065632" w:rsidRPr="00882979">
        <w:trPr>
          <w:trHeight w:val="315"/>
        </w:trPr>
        <w:tc>
          <w:tcPr>
            <w:tcW w:w="2560" w:type="dxa"/>
            <w:tcBorders>
              <w:top w:val="nil"/>
              <w:left w:val="nil"/>
              <w:bottom w:val="single" w:sz="8" w:space="0" w:color="92D400"/>
              <w:right w:val="nil"/>
            </w:tcBorders>
            <w:shd w:val="clear" w:color="000000" w:fill="FFFFFF"/>
            <w:noWrap/>
            <w:vAlign w:val="center"/>
          </w:tcPr>
          <w:p w:rsidR="00065632" w:rsidRPr="00882979" w:rsidRDefault="00065632" w:rsidP="00DE2A67">
            <w:pPr>
              <w:spacing w:after="0"/>
              <w:rPr>
                <w:b/>
                <w:bCs/>
                <w:color w:val="000000"/>
              </w:rPr>
            </w:pPr>
            <w:r>
              <w:rPr>
                <w:b/>
                <w:bCs/>
                <w:color w:val="000000"/>
              </w:rPr>
              <w:t>MIT</w:t>
            </w:r>
          </w:p>
        </w:tc>
        <w:tc>
          <w:tcPr>
            <w:tcW w:w="6820" w:type="dxa"/>
            <w:tcBorders>
              <w:top w:val="nil"/>
              <w:left w:val="nil"/>
              <w:bottom w:val="single" w:sz="8" w:space="0" w:color="92D400"/>
              <w:right w:val="nil"/>
            </w:tcBorders>
            <w:shd w:val="clear" w:color="000000" w:fill="FFFFFF"/>
            <w:noWrap/>
            <w:vAlign w:val="center"/>
          </w:tcPr>
          <w:p w:rsidR="00065632" w:rsidRPr="00882979" w:rsidRDefault="00065632" w:rsidP="00DE2A67">
            <w:pPr>
              <w:spacing w:after="0"/>
              <w:rPr>
                <w:color w:val="000000"/>
              </w:rPr>
            </w:pPr>
            <w:r>
              <w:rPr>
                <w:color w:val="000000"/>
              </w:rPr>
              <w:t>Ministry of Industry and Trade</w:t>
            </w:r>
          </w:p>
        </w:tc>
      </w:tr>
      <w:tr w:rsidR="00065632" w:rsidRPr="00882979">
        <w:trPr>
          <w:trHeight w:val="315"/>
        </w:trPr>
        <w:tc>
          <w:tcPr>
            <w:tcW w:w="2560" w:type="dxa"/>
            <w:tcBorders>
              <w:top w:val="nil"/>
              <w:left w:val="nil"/>
              <w:bottom w:val="single" w:sz="8" w:space="0" w:color="92D400"/>
              <w:right w:val="nil"/>
            </w:tcBorders>
            <w:shd w:val="clear" w:color="000000" w:fill="FFFFFF"/>
            <w:noWrap/>
            <w:vAlign w:val="center"/>
          </w:tcPr>
          <w:p w:rsidR="00065632" w:rsidRPr="00882979" w:rsidRDefault="00065632" w:rsidP="00DE2A67">
            <w:pPr>
              <w:spacing w:after="0"/>
              <w:rPr>
                <w:b/>
                <w:bCs/>
                <w:color w:val="000000"/>
              </w:rPr>
            </w:pPr>
            <w:r>
              <w:rPr>
                <w:b/>
                <w:bCs/>
                <w:color w:val="000000"/>
              </w:rPr>
              <w:t>SME</w:t>
            </w:r>
          </w:p>
        </w:tc>
        <w:tc>
          <w:tcPr>
            <w:tcW w:w="6820" w:type="dxa"/>
            <w:tcBorders>
              <w:top w:val="nil"/>
              <w:left w:val="nil"/>
              <w:bottom w:val="single" w:sz="8" w:space="0" w:color="92D400"/>
              <w:right w:val="nil"/>
            </w:tcBorders>
            <w:shd w:val="clear" w:color="000000" w:fill="FFFFFF"/>
            <w:noWrap/>
            <w:vAlign w:val="center"/>
          </w:tcPr>
          <w:p w:rsidR="00065632" w:rsidRPr="00882979" w:rsidRDefault="00065632" w:rsidP="00DE2A67">
            <w:pPr>
              <w:spacing w:after="0"/>
              <w:rPr>
                <w:color w:val="000000"/>
              </w:rPr>
            </w:pPr>
            <w:r>
              <w:rPr>
                <w:color w:val="000000"/>
              </w:rPr>
              <w:t>Small and Medium Sized Enterprise </w:t>
            </w:r>
          </w:p>
        </w:tc>
      </w:tr>
      <w:tr w:rsidR="00065632" w:rsidRPr="00882979">
        <w:trPr>
          <w:trHeight w:val="315"/>
        </w:trPr>
        <w:tc>
          <w:tcPr>
            <w:tcW w:w="2560" w:type="dxa"/>
            <w:tcBorders>
              <w:top w:val="nil"/>
              <w:left w:val="nil"/>
              <w:bottom w:val="single" w:sz="8" w:space="0" w:color="92D400"/>
              <w:right w:val="nil"/>
            </w:tcBorders>
            <w:shd w:val="clear" w:color="000000" w:fill="FFFFFF"/>
            <w:noWrap/>
            <w:vAlign w:val="center"/>
          </w:tcPr>
          <w:p w:rsidR="00065632" w:rsidRPr="00882979" w:rsidRDefault="00065632" w:rsidP="00DE2A67">
            <w:pPr>
              <w:spacing w:after="0"/>
              <w:rPr>
                <w:b/>
                <w:bCs/>
                <w:color w:val="000000"/>
              </w:rPr>
            </w:pPr>
            <w:proofErr w:type="spellStart"/>
            <w:r>
              <w:rPr>
                <w:b/>
                <w:bCs/>
                <w:color w:val="000000"/>
              </w:rPr>
              <w:t>NFOSiGW</w:t>
            </w:r>
            <w:proofErr w:type="spellEnd"/>
          </w:p>
        </w:tc>
        <w:tc>
          <w:tcPr>
            <w:tcW w:w="6820" w:type="dxa"/>
            <w:tcBorders>
              <w:top w:val="nil"/>
              <w:left w:val="nil"/>
              <w:bottom w:val="single" w:sz="8" w:space="0" w:color="92D400"/>
              <w:right w:val="nil"/>
            </w:tcBorders>
            <w:shd w:val="clear" w:color="000000" w:fill="FFFFFF"/>
            <w:noWrap/>
            <w:vAlign w:val="center"/>
          </w:tcPr>
          <w:p w:rsidR="00065632" w:rsidRPr="00882979" w:rsidRDefault="00065632" w:rsidP="00DE2A67">
            <w:pPr>
              <w:spacing w:after="0"/>
              <w:rPr>
                <w:color w:val="000000"/>
              </w:rPr>
            </w:pPr>
            <w:proofErr w:type="spellStart"/>
            <w:r>
              <w:rPr>
                <w:color w:val="000000"/>
              </w:rPr>
              <w:t>Narodowy</w:t>
            </w:r>
            <w:proofErr w:type="spellEnd"/>
            <w:r>
              <w:rPr>
                <w:color w:val="000000"/>
              </w:rPr>
              <w:t xml:space="preserve"> </w:t>
            </w:r>
            <w:proofErr w:type="spellStart"/>
            <w:r>
              <w:rPr>
                <w:color w:val="000000"/>
              </w:rPr>
              <w:t>Fundusz</w:t>
            </w:r>
            <w:proofErr w:type="spellEnd"/>
            <w:r>
              <w:rPr>
                <w:color w:val="000000"/>
              </w:rPr>
              <w:t xml:space="preserve"> </w:t>
            </w:r>
            <w:proofErr w:type="spellStart"/>
            <w:r>
              <w:rPr>
                <w:color w:val="000000"/>
              </w:rPr>
              <w:t>Ochrony</w:t>
            </w:r>
            <w:proofErr w:type="spellEnd"/>
            <w:r>
              <w:rPr>
                <w:color w:val="000000"/>
              </w:rPr>
              <w:t xml:space="preserve"> </w:t>
            </w:r>
            <w:proofErr w:type="spellStart"/>
            <w:r>
              <w:rPr>
                <w:color w:val="000000"/>
              </w:rPr>
              <w:t>Środowiska</w:t>
            </w:r>
            <w:proofErr w:type="spellEnd"/>
            <w:r>
              <w:rPr>
                <w:color w:val="000000"/>
              </w:rPr>
              <w:t xml:space="preserve"> </w:t>
            </w:r>
            <w:proofErr w:type="spellStart"/>
            <w:r>
              <w:rPr>
                <w:color w:val="000000"/>
              </w:rPr>
              <w:t>i</w:t>
            </w:r>
            <w:proofErr w:type="spellEnd"/>
            <w:r>
              <w:rPr>
                <w:color w:val="000000"/>
              </w:rPr>
              <w:t xml:space="preserve"> </w:t>
            </w:r>
            <w:proofErr w:type="spellStart"/>
            <w:r>
              <w:rPr>
                <w:color w:val="000000"/>
              </w:rPr>
              <w:t>Gospodarki</w:t>
            </w:r>
            <w:proofErr w:type="spellEnd"/>
            <w:r>
              <w:rPr>
                <w:color w:val="000000"/>
              </w:rPr>
              <w:t xml:space="preserve"> </w:t>
            </w:r>
            <w:proofErr w:type="spellStart"/>
            <w:r>
              <w:rPr>
                <w:color w:val="000000"/>
              </w:rPr>
              <w:t>Wodnej</w:t>
            </w:r>
            <w:proofErr w:type="spellEnd"/>
          </w:p>
        </w:tc>
      </w:tr>
      <w:tr w:rsidR="00065632" w:rsidRPr="00882979">
        <w:trPr>
          <w:trHeight w:val="315"/>
        </w:trPr>
        <w:tc>
          <w:tcPr>
            <w:tcW w:w="2560" w:type="dxa"/>
            <w:tcBorders>
              <w:top w:val="nil"/>
              <w:left w:val="nil"/>
              <w:bottom w:val="single" w:sz="8" w:space="0" w:color="92D400"/>
              <w:right w:val="nil"/>
            </w:tcBorders>
            <w:shd w:val="clear" w:color="000000" w:fill="FFFFFF"/>
            <w:noWrap/>
            <w:vAlign w:val="center"/>
          </w:tcPr>
          <w:p w:rsidR="00065632" w:rsidRPr="00882979" w:rsidRDefault="00065632" w:rsidP="00DE2A67">
            <w:pPr>
              <w:spacing w:after="0"/>
              <w:rPr>
                <w:b/>
                <w:bCs/>
                <w:color w:val="000000"/>
              </w:rPr>
            </w:pPr>
            <w:r>
              <w:rPr>
                <w:b/>
                <w:bCs/>
                <w:color w:val="000000"/>
              </w:rPr>
              <w:t>NGO</w:t>
            </w:r>
          </w:p>
        </w:tc>
        <w:tc>
          <w:tcPr>
            <w:tcW w:w="6820" w:type="dxa"/>
            <w:tcBorders>
              <w:top w:val="nil"/>
              <w:left w:val="nil"/>
              <w:bottom w:val="single" w:sz="8" w:space="0" w:color="92D400"/>
              <w:right w:val="nil"/>
            </w:tcBorders>
            <w:shd w:val="clear" w:color="000000" w:fill="FFFFFF"/>
            <w:noWrap/>
            <w:vAlign w:val="center"/>
          </w:tcPr>
          <w:p w:rsidR="00065632" w:rsidRPr="00882979" w:rsidRDefault="00065632" w:rsidP="00DE2A67">
            <w:pPr>
              <w:spacing w:after="0"/>
              <w:rPr>
                <w:color w:val="000000"/>
              </w:rPr>
            </w:pPr>
            <w:r>
              <w:rPr>
                <w:color w:val="000000"/>
              </w:rPr>
              <w:t>Non-governmental non-profit organisation</w:t>
            </w:r>
          </w:p>
        </w:tc>
      </w:tr>
      <w:tr w:rsidR="00065632" w:rsidRPr="00882979">
        <w:trPr>
          <w:trHeight w:val="315"/>
        </w:trPr>
        <w:tc>
          <w:tcPr>
            <w:tcW w:w="2560" w:type="dxa"/>
            <w:tcBorders>
              <w:top w:val="nil"/>
              <w:left w:val="nil"/>
              <w:bottom w:val="single" w:sz="8" w:space="0" w:color="92D400"/>
              <w:right w:val="nil"/>
            </w:tcBorders>
            <w:shd w:val="clear" w:color="000000" w:fill="FFFFFF"/>
            <w:noWrap/>
            <w:vAlign w:val="center"/>
          </w:tcPr>
          <w:p w:rsidR="00065632" w:rsidRPr="00882979" w:rsidRDefault="00065632" w:rsidP="00DE2A67">
            <w:pPr>
              <w:spacing w:after="0"/>
              <w:rPr>
                <w:b/>
                <w:bCs/>
                <w:color w:val="000000"/>
              </w:rPr>
            </w:pPr>
            <w:r>
              <w:rPr>
                <w:b/>
                <w:bCs/>
                <w:color w:val="000000"/>
              </w:rPr>
              <w:t>New programming period</w:t>
            </w:r>
          </w:p>
        </w:tc>
        <w:tc>
          <w:tcPr>
            <w:tcW w:w="6820" w:type="dxa"/>
            <w:tcBorders>
              <w:top w:val="nil"/>
              <w:left w:val="nil"/>
              <w:bottom w:val="single" w:sz="8" w:space="0" w:color="92D400"/>
              <w:right w:val="nil"/>
            </w:tcBorders>
            <w:shd w:val="clear" w:color="000000" w:fill="FFFFFF"/>
            <w:noWrap/>
            <w:vAlign w:val="center"/>
          </w:tcPr>
          <w:p w:rsidR="00065632" w:rsidRPr="00882979" w:rsidRDefault="00065632" w:rsidP="00DE2A67">
            <w:pPr>
              <w:spacing w:after="0"/>
              <w:rPr>
                <w:color w:val="000000"/>
              </w:rPr>
            </w:pPr>
            <w:r>
              <w:rPr>
                <w:color w:val="000000"/>
              </w:rPr>
              <w:t>Programming period 2014–2020</w:t>
            </w:r>
          </w:p>
        </w:tc>
      </w:tr>
      <w:tr w:rsidR="00065632" w:rsidRPr="00882979">
        <w:trPr>
          <w:trHeight w:val="315"/>
        </w:trPr>
        <w:tc>
          <w:tcPr>
            <w:tcW w:w="2560" w:type="dxa"/>
            <w:tcBorders>
              <w:top w:val="nil"/>
              <w:left w:val="nil"/>
              <w:bottom w:val="single" w:sz="8" w:space="0" w:color="92D400"/>
              <w:right w:val="nil"/>
            </w:tcBorders>
            <w:shd w:val="clear" w:color="000000" w:fill="FFFFFF"/>
            <w:noWrap/>
            <w:vAlign w:val="center"/>
          </w:tcPr>
          <w:p w:rsidR="00065632" w:rsidRPr="00882979" w:rsidRDefault="00065632" w:rsidP="00DE2A67">
            <w:pPr>
              <w:spacing w:after="0"/>
              <w:rPr>
                <w:b/>
                <w:bCs/>
                <w:color w:val="000000"/>
              </w:rPr>
            </w:pPr>
            <w:r>
              <w:rPr>
                <w:b/>
                <w:bCs/>
                <w:color w:val="000000"/>
              </w:rPr>
              <w:t>NGS</w:t>
            </w:r>
          </w:p>
        </w:tc>
        <w:tc>
          <w:tcPr>
            <w:tcW w:w="6820" w:type="dxa"/>
            <w:tcBorders>
              <w:top w:val="nil"/>
              <w:left w:val="nil"/>
              <w:bottom w:val="single" w:sz="8" w:space="0" w:color="92D400"/>
              <w:right w:val="nil"/>
            </w:tcBorders>
            <w:shd w:val="clear" w:color="000000" w:fill="FFFFFF"/>
            <w:noWrap/>
            <w:vAlign w:val="center"/>
          </w:tcPr>
          <w:p w:rsidR="00065632" w:rsidRPr="00882979" w:rsidRDefault="00065632" w:rsidP="00DE2A67">
            <w:pPr>
              <w:spacing w:after="0"/>
              <w:rPr>
                <w:color w:val="000000"/>
              </w:rPr>
            </w:pPr>
            <w:r>
              <w:rPr>
                <w:color w:val="000000"/>
              </w:rPr>
              <w:t>New Green Savings</w:t>
            </w:r>
          </w:p>
        </w:tc>
      </w:tr>
      <w:tr w:rsidR="00065632" w:rsidRPr="00882979">
        <w:trPr>
          <w:trHeight w:val="315"/>
        </w:trPr>
        <w:tc>
          <w:tcPr>
            <w:tcW w:w="2560" w:type="dxa"/>
            <w:tcBorders>
              <w:top w:val="nil"/>
              <w:left w:val="nil"/>
              <w:bottom w:val="single" w:sz="8" w:space="0" w:color="92D400"/>
              <w:right w:val="nil"/>
            </w:tcBorders>
            <w:shd w:val="clear" w:color="000000" w:fill="FFFFFF"/>
            <w:noWrap/>
            <w:vAlign w:val="center"/>
          </w:tcPr>
          <w:p w:rsidR="00065632" w:rsidRPr="00882979" w:rsidRDefault="00065632" w:rsidP="00DE2A67">
            <w:pPr>
              <w:spacing w:after="0"/>
              <w:rPr>
                <w:b/>
                <w:bCs/>
                <w:color w:val="000000"/>
              </w:rPr>
            </w:pPr>
            <w:r>
              <w:rPr>
                <w:b/>
                <w:bCs/>
                <w:color w:val="000000"/>
              </w:rPr>
              <w:t>OP EI</w:t>
            </w:r>
          </w:p>
        </w:tc>
        <w:tc>
          <w:tcPr>
            <w:tcW w:w="6820" w:type="dxa"/>
            <w:tcBorders>
              <w:top w:val="nil"/>
              <w:left w:val="nil"/>
              <w:bottom w:val="single" w:sz="8" w:space="0" w:color="92D400"/>
              <w:right w:val="nil"/>
            </w:tcBorders>
            <w:shd w:val="clear" w:color="000000" w:fill="FFFFFF"/>
            <w:noWrap/>
            <w:vAlign w:val="center"/>
          </w:tcPr>
          <w:p w:rsidR="00065632" w:rsidRPr="00882979" w:rsidRDefault="00065632" w:rsidP="00DE2A67">
            <w:pPr>
              <w:spacing w:after="0"/>
              <w:rPr>
                <w:color w:val="000000"/>
              </w:rPr>
            </w:pPr>
            <w:r>
              <w:rPr>
                <w:color w:val="000000"/>
              </w:rPr>
              <w:t>Operational Programme Enterprise and Innovation</w:t>
            </w:r>
          </w:p>
        </w:tc>
      </w:tr>
      <w:tr w:rsidR="00065632" w:rsidRPr="00882979">
        <w:trPr>
          <w:trHeight w:val="315"/>
        </w:trPr>
        <w:tc>
          <w:tcPr>
            <w:tcW w:w="2560" w:type="dxa"/>
            <w:tcBorders>
              <w:top w:val="nil"/>
              <w:left w:val="nil"/>
              <w:bottom w:val="single" w:sz="8" w:space="0" w:color="92D400"/>
              <w:right w:val="nil"/>
            </w:tcBorders>
            <w:shd w:val="clear" w:color="000000" w:fill="FFFFFF"/>
            <w:noWrap/>
            <w:vAlign w:val="center"/>
          </w:tcPr>
          <w:p w:rsidR="00065632" w:rsidRPr="00882979" w:rsidRDefault="00065632" w:rsidP="00DE2A67">
            <w:pPr>
              <w:spacing w:after="0"/>
              <w:rPr>
                <w:b/>
                <w:bCs/>
                <w:color w:val="000000"/>
              </w:rPr>
            </w:pPr>
            <w:r>
              <w:rPr>
                <w:b/>
                <w:bCs/>
                <w:color w:val="000000"/>
              </w:rPr>
              <w:t>OP EIC</w:t>
            </w:r>
          </w:p>
        </w:tc>
        <w:tc>
          <w:tcPr>
            <w:tcW w:w="6820" w:type="dxa"/>
            <w:tcBorders>
              <w:top w:val="nil"/>
              <w:left w:val="nil"/>
              <w:bottom w:val="single" w:sz="8" w:space="0" w:color="92D400"/>
              <w:right w:val="nil"/>
            </w:tcBorders>
            <w:shd w:val="clear" w:color="000000" w:fill="FFFFFF"/>
            <w:noWrap/>
            <w:vAlign w:val="center"/>
          </w:tcPr>
          <w:p w:rsidR="00065632" w:rsidRPr="00882979" w:rsidRDefault="00065632" w:rsidP="00DE2A67">
            <w:pPr>
              <w:spacing w:after="0"/>
              <w:rPr>
                <w:color w:val="000000"/>
              </w:rPr>
            </w:pPr>
            <w:r>
              <w:rPr>
                <w:color w:val="000000"/>
              </w:rPr>
              <w:t>Operational Programme Enterprise and Innovation for Competitiveness</w:t>
            </w:r>
          </w:p>
        </w:tc>
      </w:tr>
      <w:tr w:rsidR="00065632" w:rsidRPr="00882979">
        <w:trPr>
          <w:trHeight w:val="315"/>
        </w:trPr>
        <w:tc>
          <w:tcPr>
            <w:tcW w:w="2560" w:type="dxa"/>
            <w:tcBorders>
              <w:top w:val="nil"/>
              <w:left w:val="nil"/>
              <w:bottom w:val="single" w:sz="8" w:space="0" w:color="92D400"/>
              <w:right w:val="nil"/>
            </w:tcBorders>
            <w:shd w:val="clear" w:color="000000" w:fill="FFFFFF"/>
            <w:noWrap/>
            <w:vAlign w:val="center"/>
          </w:tcPr>
          <w:p w:rsidR="00065632" w:rsidRPr="00882979" w:rsidRDefault="00065632" w:rsidP="00DE2A67">
            <w:pPr>
              <w:spacing w:after="0"/>
              <w:rPr>
                <w:b/>
                <w:bCs/>
                <w:color w:val="000000"/>
              </w:rPr>
            </w:pPr>
            <w:r>
              <w:rPr>
                <w:b/>
                <w:bCs/>
                <w:color w:val="000000"/>
              </w:rPr>
              <w:lastRenderedPageBreak/>
              <w:t>OP PC</w:t>
            </w:r>
          </w:p>
        </w:tc>
        <w:tc>
          <w:tcPr>
            <w:tcW w:w="6820" w:type="dxa"/>
            <w:tcBorders>
              <w:top w:val="nil"/>
              <w:left w:val="nil"/>
              <w:bottom w:val="single" w:sz="8" w:space="0" w:color="92D400"/>
              <w:right w:val="nil"/>
            </w:tcBorders>
            <w:shd w:val="clear" w:color="000000" w:fill="FFFFFF"/>
            <w:noWrap/>
            <w:vAlign w:val="center"/>
          </w:tcPr>
          <w:p w:rsidR="00065632" w:rsidRPr="00882979" w:rsidRDefault="00065632" w:rsidP="00DE2A67">
            <w:pPr>
              <w:spacing w:after="0"/>
              <w:rPr>
                <w:color w:val="000000"/>
              </w:rPr>
            </w:pPr>
            <w:r>
              <w:rPr>
                <w:color w:val="000000"/>
              </w:rPr>
              <w:t>Operational Programme Prague – Competitiveness</w:t>
            </w:r>
          </w:p>
        </w:tc>
      </w:tr>
      <w:tr w:rsidR="00065632" w:rsidRPr="00882979">
        <w:trPr>
          <w:trHeight w:val="315"/>
        </w:trPr>
        <w:tc>
          <w:tcPr>
            <w:tcW w:w="2560" w:type="dxa"/>
            <w:tcBorders>
              <w:top w:val="nil"/>
              <w:left w:val="nil"/>
              <w:bottom w:val="single" w:sz="8" w:space="0" w:color="92D400"/>
              <w:right w:val="nil"/>
            </w:tcBorders>
            <w:shd w:val="clear" w:color="000000" w:fill="FFFFFF"/>
            <w:noWrap/>
            <w:vAlign w:val="center"/>
          </w:tcPr>
          <w:p w:rsidR="00065632" w:rsidRPr="00882979" w:rsidRDefault="00065632" w:rsidP="00DE2A67">
            <w:pPr>
              <w:spacing w:after="0"/>
              <w:rPr>
                <w:b/>
                <w:bCs/>
                <w:color w:val="000000"/>
              </w:rPr>
            </w:pPr>
            <w:r>
              <w:rPr>
                <w:b/>
                <w:bCs/>
                <w:color w:val="000000"/>
              </w:rPr>
              <w:t>OP E</w:t>
            </w:r>
          </w:p>
        </w:tc>
        <w:tc>
          <w:tcPr>
            <w:tcW w:w="6820" w:type="dxa"/>
            <w:tcBorders>
              <w:top w:val="nil"/>
              <w:left w:val="nil"/>
              <w:bottom w:val="single" w:sz="8" w:space="0" w:color="92D400"/>
              <w:right w:val="nil"/>
            </w:tcBorders>
            <w:shd w:val="clear" w:color="000000" w:fill="FFFFFF"/>
            <w:noWrap/>
            <w:vAlign w:val="center"/>
          </w:tcPr>
          <w:p w:rsidR="00065632" w:rsidRPr="00882979" w:rsidRDefault="00065632" w:rsidP="00DE2A67">
            <w:pPr>
              <w:spacing w:after="0"/>
              <w:rPr>
                <w:color w:val="000000"/>
              </w:rPr>
            </w:pPr>
            <w:r>
              <w:rPr>
                <w:color w:val="000000"/>
              </w:rPr>
              <w:t>Operational Programme Environment</w:t>
            </w:r>
          </w:p>
        </w:tc>
      </w:tr>
      <w:tr w:rsidR="00065632" w:rsidRPr="00882979">
        <w:trPr>
          <w:trHeight w:val="315"/>
        </w:trPr>
        <w:tc>
          <w:tcPr>
            <w:tcW w:w="2560" w:type="dxa"/>
            <w:tcBorders>
              <w:top w:val="nil"/>
              <w:left w:val="nil"/>
              <w:bottom w:val="single" w:sz="8" w:space="0" w:color="92D400"/>
              <w:right w:val="nil"/>
            </w:tcBorders>
            <w:shd w:val="clear" w:color="000000" w:fill="FFFFFF"/>
            <w:noWrap/>
            <w:vAlign w:val="center"/>
          </w:tcPr>
          <w:p w:rsidR="00065632" w:rsidRPr="00882979" w:rsidRDefault="00065632" w:rsidP="00DE2A67">
            <w:pPr>
              <w:spacing w:after="0"/>
              <w:rPr>
                <w:b/>
                <w:bCs/>
                <w:color w:val="000000"/>
              </w:rPr>
            </w:pPr>
            <w:r>
              <w:rPr>
                <w:b/>
                <w:bCs/>
                <w:color w:val="000000"/>
              </w:rPr>
              <w:t>PCA</w:t>
            </w:r>
          </w:p>
        </w:tc>
        <w:tc>
          <w:tcPr>
            <w:tcW w:w="6820" w:type="dxa"/>
            <w:tcBorders>
              <w:top w:val="nil"/>
              <w:left w:val="nil"/>
              <w:bottom w:val="single" w:sz="8" w:space="0" w:color="92D400"/>
              <w:right w:val="nil"/>
            </w:tcBorders>
            <w:shd w:val="clear" w:color="000000" w:fill="FFFFFF"/>
            <w:noWrap/>
            <w:vAlign w:val="center"/>
          </w:tcPr>
          <w:p w:rsidR="00065632" w:rsidRPr="00882979" w:rsidRDefault="00065632" w:rsidP="00DE2A67">
            <w:pPr>
              <w:spacing w:after="0"/>
              <w:rPr>
                <w:color w:val="000000"/>
              </w:rPr>
            </w:pPr>
            <w:r>
              <w:rPr>
                <w:color w:val="000000"/>
              </w:rPr>
              <w:t>Paying and Certifying Authority</w:t>
            </w:r>
          </w:p>
        </w:tc>
      </w:tr>
      <w:tr w:rsidR="00065632" w:rsidRPr="00882979">
        <w:trPr>
          <w:trHeight w:val="315"/>
        </w:trPr>
        <w:tc>
          <w:tcPr>
            <w:tcW w:w="2560" w:type="dxa"/>
            <w:tcBorders>
              <w:top w:val="nil"/>
              <w:left w:val="nil"/>
              <w:bottom w:val="single" w:sz="8" w:space="0" w:color="92D400"/>
              <w:right w:val="nil"/>
            </w:tcBorders>
            <w:shd w:val="clear" w:color="000000" w:fill="FFFFFF"/>
            <w:noWrap/>
            <w:vAlign w:val="center"/>
          </w:tcPr>
          <w:p w:rsidR="00065632" w:rsidRPr="00882979" w:rsidRDefault="00065632" w:rsidP="00DE2A67">
            <w:pPr>
              <w:spacing w:after="0"/>
              <w:rPr>
                <w:b/>
                <w:bCs/>
                <w:color w:val="000000"/>
              </w:rPr>
            </w:pPr>
            <w:r>
              <w:rPr>
                <w:b/>
                <w:bCs/>
                <w:color w:val="000000"/>
              </w:rPr>
              <w:t>PA</w:t>
            </w:r>
          </w:p>
        </w:tc>
        <w:tc>
          <w:tcPr>
            <w:tcW w:w="6820" w:type="dxa"/>
            <w:tcBorders>
              <w:top w:val="nil"/>
              <w:left w:val="nil"/>
              <w:bottom w:val="single" w:sz="8" w:space="0" w:color="92D400"/>
              <w:right w:val="nil"/>
            </w:tcBorders>
            <w:shd w:val="clear" w:color="000000" w:fill="FFFFFF"/>
            <w:noWrap/>
            <w:vAlign w:val="center"/>
          </w:tcPr>
          <w:p w:rsidR="00065632" w:rsidRPr="00882979" w:rsidRDefault="00065632" w:rsidP="00DE2A67">
            <w:pPr>
              <w:spacing w:after="0"/>
              <w:rPr>
                <w:color w:val="000000"/>
              </w:rPr>
            </w:pPr>
            <w:r>
              <w:rPr>
                <w:color w:val="000000"/>
              </w:rPr>
              <w:t>Priority Axis</w:t>
            </w:r>
          </w:p>
        </w:tc>
      </w:tr>
      <w:tr w:rsidR="00065632" w:rsidRPr="00882979">
        <w:trPr>
          <w:trHeight w:val="525"/>
        </w:trPr>
        <w:tc>
          <w:tcPr>
            <w:tcW w:w="2560" w:type="dxa"/>
            <w:tcBorders>
              <w:top w:val="nil"/>
              <w:left w:val="nil"/>
              <w:bottom w:val="single" w:sz="8" w:space="0" w:color="92D400"/>
              <w:right w:val="nil"/>
            </w:tcBorders>
            <w:shd w:val="clear" w:color="000000" w:fill="FFFFFF"/>
            <w:noWrap/>
            <w:vAlign w:val="center"/>
          </w:tcPr>
          <w:p w:rsidR="00065632" w:rsidRPr="00882979" w:rsidRDefault="00065632" w:rsidP="00DE2A67">
            <w:pPr>
              <w:spacing w:after="0"/>
              <w:rPr>
                <w:b/>
                <w:bCs/>
                <w:color w:val="000000"/>
              </w:rPr>
            </w:pPr>
            <w:r>
              <w:rPr>
                <w:b/>
                <w:bCs/>
                <w:color w:val="000000"/>
              </w:rPr>
              <w:t>Project</w:t>
            </w:r>
          </w:p>
        </w:tc>
        <w:tc>
          <w:tcPr>
            <w:tcW w:w="6820" w:type="dxa"/>
            <w:tcBorders>
              <w:top w:val="nil"/>
              <w:left w:val="nil"/>
              <w:bottom w:val="single" w:sz="8" w:space="0" w:color="92D400"/>
              <w:right w:val="nil"/>
            </w:tcBorders>
            <w:shd w:val="clear" w:color="000000" w:fill="FFFFFF"/>
            <w:noWrap/>
            <w:vAlign w:val="center"/>
          </w:tcPr>
          <w:p w:rsidR="00065632" w:rsidRPr="00882979" w:rsidRDefault="00065632" w:rsidP="00DE2A67">
            <w:pPr>
              <w:spacing w:after="0"/>
              <w:rPr>
                <w:color w:val="000000"/>
              </w:rPr>
            </w:pPr>
            <w:r>
              <w:rPr>
                <w:color w:val="000000"/>
              </w:rPr>
              <w:t>Means project "Ex-ante assessment of the use of a financial instrument in the IROP", the contractor of which is Deloitte</w:t>
            </w:r>
          </w:p>
        </w:tc>
      </w:tr>
      <w:tr w:rsidR="00065632" w:rsidRPr="00882979">
        <w:trPr>
          <w:trHeight w:val="315"/>
        </w:trPr>
        <w:tc>
          <w:tcPr>
            <w:tcW w:w="2560" w:type="dxa"/>
            <w:tcBorders>
              <w:top w:val="nil"/>
              <w:left w:val="nil"/>
              <w:bottom w:val="single" w:sz="8" w:space="0" w:color="92D400"/>
              <w:right w:val="nil"/>
            </w:tcBorders>
            <w:shd w:val="clear" w:color="000000" w:fill="FFFFFF"/>
            <w:noWrap/>
            <w:vAlign w:val="center"/>
          </w:tcPr>
          <w:p w:rsidR="00065632" w:rsidRPr="00882979" w:rsidRDefault="00065632" w:rsidP="00DE2A67">
            <w:pPr>
              <w:spacing w:after="0"/>
              <w:rPr>
                <w:b/>
                <w:bCs/>
                <w:color w:val="000000"/>
              </w:rPr>
            </w:pPr>
            <w:r>
              <w:rPr>
                <w:b/>
                <w:bCs/>
                <w:color w:val="000000"/>
              </w:rPr>
              <w:t>GD</w:t>
            </w:r>
          </w:p>
        </w:tc>
        <w:tc>
          <w:tcPr>
            <w:tcW w:w="6820" w:type="dxa"/>
            <w:tcBorders>
              <w:top w:val="nil"/>
              <w:left w:val="nil"/>
              <w:bottom w:val="single" w:sz="8" w:space="0" w:color="92D400"/>
              <w:right w:val="nil"/>
            </w:tcBorders>
            <w:shd w:val="clear" w:color="000000" w:fill="FFFFFF"/>
            <w:noWrap/>
            <w:vAlign w:val="center"/>
          </w:tcPr>
          <w:p w:rsidR="00065632" w:rsidRPr="00882979" w:rsidRDefault="00065632" w:rsidP="00DE2A67">
            <w:pPr>
              <w:spacing w:after="0"/>
              <w:rPr>
                <w:color w:val="000000"/>
              </w:rPr>
            </w:pPr>
            <w:r>
              <w:rPr>
                <w:color w:val="000000"/>
              </w:rPr>
              <w:t> Grant decision</w:t>
            </w:r>
          </w:p>
        </w:tc>
      </w:tr>
      <w:tr w:rsidR="00065632" w:rsidRPr="00882979">
        <w:trPr>
          <w:trHeight w:val="315"/>
        </w:trPr>
        <w:tc>
          <w:tcPr>
            <w:tcW w:w="2560" w:type="dxa"/>
            <w:tcBorders>
              <w:top w:val="nil"/>
              <w:left w:val="nil"/>
              <w:bottom w:val="single" w:sz="8" w:space="0" w:color="92D400"/>
              <w:right w:val="nil"/>
            </w:tcBorders>
            <w:shd w:val="clear" w:color="000000" w:fill="FFFFFF"/>
            <w:noWrap/>
            <w:vAlign w:val="center"/>
          </w:tcPr>
          <w:p w:rsidR="00065632" w:rsidRPr="00882979" w:rsidRDefault="00065632" w:rsidP="00DE2A67">
            <w:pPr>
              <w:spacing w:after="0"/>
              <w:rPr>
                <w:b/>
                <w:bCs/>
                <w:color w:val="000000"/>
              </w:rPr>
            </w:pPr>
            <w:r>
              <w:rPr>
                <w:b/>
                <w:bCs/>
                <w:color w:val="000000"/>
              </w:rPr>
              <w:t>MA</w:t>
            </w:r>
          </w:p>
        </w:tc>
        <w:tc>
          <w:tcPr>
            <w:tcW w:w="6820" w:type="dxa"/>
            <w:tcBorders>
              <w:top w:val="nil"/>
              <w:left w:val="nil"/>
              <w:bottom w:val="single" w:sz="8" w:space="0" w:color="92D400"/>
              <w:right w:val="nil"/>
            </w:tcBorders>
            <w:shd w:val="clear" w:color="000000" w:fill="FFFFFF"/>
            <w:noWrap/>
            <w:vAlign w:val="center"/>
          </w:tcPr>
          <w:p w:rsidR="00065632" w:rsidRPr="00882979" w:rsidRDefault="00065632" w:rsidP="00DE2A67">
            <w:pPr>
              <w:spacing w:after="0"/>
              <w:rPr>
                <w:color w:val="000000"/>
              </w:rPr>
            </w:pPr>
            <w:r>
              <w:rPr>
                <w:color w:val="000000"/>
              </w:rPr>
              <w:t>Managing authority</w:t>
            </w:r>
          </w:p>
        </w:tc>
      </w:tr>
      <w:tr w:rsidR="00065632" w:rsidRPr="00882979">
        <w:trPr>
          <w:trHeight w:val="315"/>
        </w:trPr>
        <w:tc>
          <w:tcPr>
            <w:tcW w:w="2560" w:type="dxa"/>
            <w:tcBorders>
              <w:top w:val="nil"/>
              <w:left w:val="nil"/>
              <w:bottom w:val="single" w:sz="8" w:space="0" w:color="92D400"/>
              <w:right w:val="nil"/>
            </w:tcBorders>
            <w:shd w:val="clear" w:color="000000" w:fill="FFFFFF"/>
            <w:noWrap/>
            <w:vAlign w:val="center"/>
          </w:tcPr>
          <w:p w:rsidR="00065632" w:rsidRPr="00882979" w:rsidRDefault="00065632" w:rsidP="00DE2A67">
            <w:pPr>
              <w:spacing w:after="0"/>
              <w:rPr>
                <w:b/>
                <w:bCs/>
                <w:color w:val="000000"/>
              </w:rPr>
            </w:pPr>
            <w:r>
              <w:rPr>
                <w:b/>
                <w:bCs/>
                <w:color w:val="000000"/>
              </w:rPr>
              <w:t>SO</w:t>
            </w:r>
          </w:p>
        </w:tc>
        <w:tc>
          <w:tcPr>
            <w:tcW w:w="6820" w:type="dxa"/>
            <w:tcBorders>
              <w:top w:val="nil"/>
              <w:left w:val="nil"/>
              <w:bottom w:val="single" w:sz="8" w:space="0" w:color="92D400"/>
              <w:right w:val="nil"/>
            </w:tcBorders>
            <w:shd w:val="clear" w:color="000000" w:fill="FFFFFF"/>
            <w:noWrap/>
            <w:vAlign w:val="center"/>
          </w:tcPr>
          <w:p w:rsidR="00065632" w:rsidRPr="00882979" w:rsidRDefault="00065632" w:rsidP="00DE2A67">
            <w:pPr>
              <w:spacing w:after="0"/>
              <w:rPr>
                <w:color w:val="000000"/>
              </w:rPr>
            </w:pPr>
            <w:r>
              <w:rPr>
                <w:color w:val="000000"/>
              </w:rPr>
              <w:t>Specific objective</w:t>
            </w:r>
          </w:p>
        </w:tc>
      </w:tr>
      <w:tr w:rsidR="00065632" w:rsidRPr="00882979">
        <w:trPr>
          <w:trHeight w:val="315"/>
        </w:trPr>
        <w:tc>
          <w:tcPr>
            <w:tcW w:w="2560" w:type="dxa"/>
            <w:tcBorders>
              <w:top w:val="nil"/>
              <w:left w:val="nil"/>
              <w:bottom w:val="single" w:sz="8" w:space="0" w:color="92D400"/>
              <w:right w:val="nil"/>
            </w:tcBorders>
            <w:shd w:val="clear" w:color="000000" w:fill="FFFFFF"/>
            <w:noWrap/>
            <w:vAlign w:val="center"/>
          </w:tcPr>
          <w:p w:rsidR="00065632" w:rsidRPr="00882979" w:rsidRDefault="00065632" w:rsidP="00DE2A67">
            <w:pPr>
              <w:spacing w:after="0"/>
              <w:rPr>
                <w:b/>
                <w:bCs/>
                <w:color w:val="000000"/>
              </w:rPr>
            </w:pPr>
            <w:r>
              <w:rPr>
                <w:b/>
                <w:bCs/>
                <w:color w:val="000000"/>
              </w:rPr>
              <w:t>SFHD</w:t>
            </w:r>
          </w:p>
        </w:tc>
        <w:tc>
          <w:tcPr>
            <w:tcW w:w="6820" w:type="dxa"/>
            <w:tcBorders>
              <w:top w:val="nil"/>
              <w:left w:val="nil"/>
              <w:bottom w:val="single" w:sz="8" w:space="0" w:color="92D400"/>
              <w:right w:val="nil"/>
            </w:tcBorders>
            <w:shd w:val="clear" w:color="000000" w:fill="FFFFFF"/>
            <w:noWrap/>
            <w:vAlign w:val="center"/>
          </w:tcPr>
          <w:p w:rsidR="00065632" w:rsidRPr="00882979" w:rsidRDefault="00065632" w:rsidP="00DE2A67">
            <w:pPr>
              <w:spacing w:after="0"/>
              <w:rPr>
                <w:color w:val="000000"/>
              </w:rPr>
            </w:pPr>
            <w:r>
              <w:rPr>
                <w:color w:val="000000"/>
              </w:rPr>
              <w:t>State Fund for Housing Development</w:t>
            </w:r>
          </w:p>
        </w:tc>
      </w:tr>
      <w:tr w:rsidR="00065632" w:rsidRPr="00882979">
        <w:trPr>
          <w:trHeight w:val="315"/>
        </w:trPr>
        <w:tc>
          <w:tcPr>
            <w:tcW w:w="2560" w:type="dxa"/>
            <w:tcBorders>
              <w:top w:val="nil"/>
              <w:left w:val="nil"/>
              <w:bottom w:val="single" w:sz="8" w:space="0" w:color="92D400"/>
              <w:right w:val="nil"/>
            </w:tcBorders>
            <w:shd w:val="clear" w:color="000000" w:fill="FFFFFF"/>
            <w:noWrap/>
            <w:vAlign w:val="center"/>
          </w:tcPr>
          <w:p w:rsidR="00065632" w:rsidRPr="00882979" w:rsidRDefault="00065632" w:rsidP="00DE2A67">
            <w:pPr>
              <w:spacing w:after="0"/>
              <w:rPr>
                <w:b/>
                <w:bCs/>
                <w:color w:val="000000"/>
              </w:rPr>
            </w:pPr>
            <w:r>
              <w:rPr>
                <w:b/>
                <w:bCs/>
                <w:color w:val="000000"/>
              </w:rPr>
              <w:t>SEF</w:t>
            </w:r>
          </w:p>
        </w:tc>
        <w:tc>
          <w:tcPr>
            <w:tcW w:w="6820" w:type="dxa"/>
            <w:tcBorders>
              <w:top w:val="nil"/>
              <w:left w:val="nil"/>
              <w:bottom w:val="single" w:sz="8" w:space="0" w:color="92D400"/>
              <w:right w:val="nil"/>
            </w:tcBorders>
            <w:shd w:val="clear" w:color="000000" w:fill="FFFFFF"/>
            <w:noWrap/>
            <w:vAlign w:val="center"/>
          </w:tcPr>
          <w:p w:rsidR="00065632" w:rsidRPr="00882979" w:rsidRDefault="00065632" w:rsidP="00DE2A67">
            <w:pPr>
              <w:spacing w:after="0"/>
              <w:rPr>
                <w:color w:val="000000"/>
              </w:rPr>
            </w:pPr>
            <w:r>
              <w:rPr>
                <w:color w:val="000000"/>
              </w:rPr>
              <w:t>State Environmental Fund of the Czech Republic</w:t>
            </w:r>
          </w:p>
        </w:tc>
      </w:tr>
      <w:tr w:rsidR="00065632" w:rsidRPr="00882979">
        <w:trPr>
          <w:trHeight w:val="315"/>
        </w:trPr>
        <w:tc>
          <w:tcPr>
            <w:tcW w:w="2560" w:type="dxa"/>
            <w:tcBorders>
              <w:top w:val="nil"/>
              <w:left w:val="nil"/>
              <w:bottom w:val="single" w:sz="8" w:space="0" w:color="92D400"/>
              <w:right w:val="nil"/>
            </w:tcBorders>
            <w:shd w:val="clear" w:color="000000" w:fill="FFFFFF"/>
            <w:noWrap/>
            <w:vAlign w:val="center"/>
          </w:tcPr>
          <w:p w:rsidR="00065632" w:rsidRPr="00882979" w:rsidRDefault="00065632" w:rsidP="00DE2A67">
            <w:pPr>
              <w:spacing w:after="0"/>
              <w:rPr>
                <w:b/>
                <w:bCs/>
                <w:color w:val="000000"/>
              </w:rPr>
            </w:pPr>
            <w:r>
              <w:rPr>
                <w:b/>
                <w:bCs/>
                <w:color w:val="000000"/>
              </w:rPr>
              <w:t>SPV</w:t>
            </w:r>
          </w:p>
        </w:tc>
        <w:tc>
          <w:tcPr>
            <w:tcW w:w="6820" w:type="dxa"/>
            <w:tcBorders>
              <w:top w:val="nil"/>
              <w:left w:val="nil"/>
              <w:bottom w:val="single" w:sz="8" w:space="0" w:color="92D400"/>
              <w:right w:val="nil"/>
            </w:tcBorders>
            <w:shd w:val="clear" w:color="000000" w:fill="FFFFFF"/>
            <w:noWrap/>
            <w:vAlign w:val="center"/>
          </w:tcPr>
          <w:p w:rsidR="00065632" w:rsidRPr="00882979" w:rsidRDefault="00065632" w:rsidP="00DE2A67">
            <w:pPr>
              <w:spacing w:after="0"/>
              <w:rPr>
                <w:color w:val="000000"/>
              </w:rPr>
            </w:pPr>
            <w:r>
              <w:rPr>
                <w:color w:val="000000"/>
              </w:rPr>
              <w:t>Special Purpose Vehicle, a special entity of a fund character</w:t>
            </w:r>
          </w:p>
        </w:tc>
      </w:tr>
      <w:tr w:rsidR="00065632" w:rsidRPr="00882979">
        <w:trPr>
          <w:trHeight w:val="315"/>
        </w:trPr>
        <w:tc>
          <w:tcPr>
            <w:tcW w:w="2560" w:type="dxa"/>
            <w:tcBorders>
              <w:top w:val="nil"/>
              <w:left w:val="nil"/>
              <w:bottom w:val="single" w:sz="8" w:space="0" w:color="92D400"/>
              <w:right w:val="nil"/>
            </w:tcBorders>
            <w:shd w:val="clear" w:color="000000" w:fill="FFFFFF"/>
            <w:noWrap/>
            <w:vAlign w:val="center"/>
          </w:tcPr>
          <w:p w:rsidR="00065632" w:rsidRPr="00882979" w:rsidRDefault="00065632" w:rsidP="00DE2A67">
            <w:pPr>
              <w:spacing w:after="0"/>
              <w:rPr>
                <w:b/>
                <w:bCs/>
                <w:color w:val="000000"/>
              </w:rPr>
            </w:pPr>
            <w:r>
              <w:rPr>
                <w:b/>
                <w:bCs/>
                <w:color w:val="000000"/>
              </w:rPr>
              <w:t>OPC</w:t>
            </w:r>
          </w:p>
        </w:tc>
        <w:tc>
          <w:tcPr>
            <w:tcW w:w="6820" w:type="dxa"/>
            <w:tcBorders>
              <w:top w:val="nil"/>
              <w:left w:val="nil"/>
              <w:bottom w:val="single" w:sz="8" w:space="0" w:color="92D400"/>
              <w:right w:val="nil"/>
            </w:tcBorders>
            <w:shd w:val="clear" w:color="000000" w:fill="FFFFFF"/>
            <w:noWrap/>
            <w:vAlign w:val="center"/>
          </w:tcPr>
          <w:p w:rsidR="00065632" w:rsidRPr="00882979" w:rsidRDefault="00065632" w:rsidP="00DE2A67">
            <w:pPr>
              <w:spacing w:after="0"/>
              <w:rPr>
                <w:color w:val="000000"/>
              </w:rPr>
            </w:pPr>
            <w:r>
              <w:rPr>
                <w:color w:val="000000"/>
              </w:rPr>
              <w:t>Office for the Protection of Competition</w:t>
            </w:r>
          </w:p>
        </w:tc>
      </w:tr>
      <w:tr w:rsidR="00065632" w:rsidRPr="00882979">
        <w:trPr>
          <w:trHeight w:val="355"/>
        </w:trPr>
        <w:tc>
          <w:tcPr>
            <w:tcW w:w="2560" w:type="dxa"/>
            <w:tcBorders>
              <w:top w:val="nil"/>
              <w:left w:val="nil"/>
              <w:bottom w:val="single" w:sz="8" w:space="0" w:color="92D400"/>
              <w:right w:val="nil"/>
            </w:tcBorders>
            <w:shd w:val="clear" w:color="000000" w:fill="FFFFFF"/>
            <w:noWrap/>
            <w:vAlign w:val="center"/>
          </w:tcPr>
          <w:p w:rsidR="00065632" w:rsidRPr="00882979" w:rsidRDefault="00065632" w:rsidP="00DE2A67">
            <w:pPr>
              <w:spacing w:after="0"/>
              <w:rPr>
                <w:b/>
                <w:bCs/>
                <w:color w:val="000000"/>
              </w:rPr>
            </w:pPr>
            <w:proofErr w:type="spellStart"/>
            <w:r>
              <w:rPr>
                <w:b/>
                <w:bCs/>
                <w:color w:val="000000"/>
              </w:rPr>
              <w:t>WFOSiGWvK</w:t>
            </w:r>
            <w:proofErr w:type="spellEnd"/>
          </w:p>
        </w:tc>
        <w:tc>
          <w:tcPr>
            <w:tcW w:w="6820" w:type="dxa"/>
            <w:tcBorders>
              <w:top w:val="nil"/>
              <w:left w:val="nil"/>
              <w:bottom w:val="single" w:sz="8" w:space="0" w:color="92D400"/>
              <w:right w:val="nil"/>
            </w:tcBorders>
            <w:shd w:val="clear" w:color="000000" w:fill="FFFFFF"/>
            <w:noWrap/>
            <w:vAlign w:val="center"/>
          </w:tcPr>
          <w:p w:rsidR="00065632" w:rsidRPr="00882979" w:rsidRDefault="00065632" w:rsidP="00DE2A67">
            <w:pPr>
              <w:spacing w:after="0"/>
              <w:rPr>
                <w:color w:val="000000"/>
              </w:rPr>
            </w:pPr>
            <w:proofErr w:type="spellStart"/>
            <w:r>
              <w:rPr>
                <w:color w:val="000000"/>
              </w:rPr>
              <w:t>Wojewódzki</w:t>
            </w:r>
            <w:proofErr w:type="spellEnd"/>
            <w:r>
              <w:rPr>
                <w:color w:val="000000"/>
              </w:rPr>
              <w:t xml:space="preserve"> </w:t>
            </w:r>
            <w:proofErr w:type="spellStart"/>
            <w:r>
              <w:rPr>
                <w:color w:val="000000"/>
              </w:rPr>
              <w:t>Fundusz</w:t>
            </w:r>
            <w:proofErr w:type="spellEnd"/>
            <w:r>
              <w:rPr>
                <w:color w:val="000000"/>
              </w:rPr>
              <w:t xml:space="preserve"> </w:t>
            </w:r>
            <w:proofErr w:type="spellStart"/>
            <w:r>
              <w:rPr>
                <w:color w:val="000000"/>
              </w:rPr>
              <w:t>Ochrony</w:t>
            </w:r>
            <w:proofErr w:type="spellEnd"/>
            <w:r>
              <w:rPr>
                <w:color w:val="000000"/>
              </w:rPr>
              <w:t xml:space="preserve"> </w:t>
            </w:r>
            <w:proofErr w:type="spellStart"/>
            <w:r>
              <w:rPr>
                <w:color w:val="000000"/>
              </w:rPr>
              <w:t>Środowiska</w:t>
            </w:r>
            <w:proofErr w:type="spellEnd"/>
            <w:r>
              <w:rPr>
                <w:color w:val="000000"/>
              </w:rPr>
              <w:t xml:space="preserve"> </w:t>
            </w:r>
            <w:proofErr w:type="spellStart"/>
            <w:r>
              <w:rPr>
                <w:color w:val="000000"/>
              </w:rPr>
              <w:t>i</w:t>
            </w:r>
            <w:proofErr w:type="spellEnd"/>
            <w:r>
              <w:rPr>
                <w:color w:val="000000"/>
              </w:rPr>
              <w:t xml:space="preserve"> </w:t>
            </w:r>
            <w:proofErr w:type="spellStart"/>
            <w:r>
              <w:rPr>
                <w:color w:val="000000"/>
              </w:rPr>
              <w:t>Gospodarki</w:t>
            </w:r>
            <w:proofErr w:type="spellEnd"/>
            <w:r>
              <w:rPr>
                <w:color w:val="000000"/>
              </w:rPr>
              <w:t xml:space="preserve"> </w:t>
            </w:r>
            <w:proofErr w:type="spellStart"/>
            <w:r>
              <w:rPr>
                <w:color w:val="000000"/>
              </w:rPr>
              <w:t>Wodnej</w:t>
            </w:r>
            <w:proofErr w:type="spellEnd"/>
            <w:r>
              <w:rPr>
                <w:color w:val="000000"/>
              </w:rPr>
              <w:t xml:space="preserve"> w </w:t>
            </w:r>
            <w:proofErr w:type="spellStart"/>
            <w:r>
              <w:rPr>
                <w:color w:val="000000"/>
              </w:rPr>
              <w:t>Katowicach</w:t>
            </w:r>
            <w:proofErr w:type="spellEnd"/>
          </w:p>
        </w:tc>
      </w:tr>
      <w:tr w:rsidR="00065632" w:rsidRPr="00882979">
        <w:trPr>
          <w:trHeight w:val="315"/>
        </w:trPr>
        <w:tc>
          <w:tcPr>
            <w:tcW w:w="2560" w:type="dxa"/>
            <w:tcBorders>
              <w:top w:val="nil"/>
              <w:left w:val="nil"/>
              <w:bottom w:val="single" w:sz="8" w:space="0" w:color="92D400"/>
              <w:right w:val="nil"/>
            </w:tcBorders>
            <w:shd w:val="clear" w:color="000000" w:fill="FFFFFF"/>
            <w:noWrap/>
            <w:vAlign w:val="center"/>
          </w:tcPr>
          <w:p w:rsidR="00065632" w:rsidRPr="00882979" w:rsidRDefault="00065632" w:rsidP="00DE2A67">
            <w:pPr>
              <w:spacing w:after="0"/>
              <w:rPr>
                <w:b/>
                <w:bCs/>
                <w:color w:val="000000"/>
              </w:rPr>
            </w:pPr>
            <w:r>
              <w:rPr>
                <w:b/>
                <w:bCs/>
                <w:color w:val="000000"/>
              </w:rPr>
              <w:t>IE</w:t>
            </w:r>
          </w:p>
        </w:tc>
        <w:tc>
          <w:tcPr>
            <w:tcW w:w="6820" w:type="dxa"/>
            <w:tcBorders>
              <w:top w:val="nil"/>
              <w:left w:val="nil"/>
              <w:bottom w:val="single" w:sz="8" w:space="0" w:color="92D400"/>
              <w:right w:val="nil"/>
            </w:tcBorders>
            <w:shd w:val="clear" w:color="000000" w:fill="FFFFFF"/>
            <w:noWrap/>
            <w:vAlign w:val="center"/>
          </w:tcPr>
          <w:p w:rsidR="00065632" w:rsidRPr="00882979" w:rsidRDefault="00065632" w:rsidP="00DE2A67">
            <w:pPr>
              <w:spacing w:after="0"/>
              <w:rPr>
                <w:color w:val="000000"/>
              </w:rPr>
            </w:pPr>
            <w:r>
              <w:rPr>
                <w:color w:val="000000"/>
              </w:rPr>
              <w:t>Involved entities</w:t>
            </w:r>
          </w:p>
        </w:tc>
      </w:tr>
      <w:tr w:rsidR="00065632" w:rsidRPr="00882979">
        <w:trPr>
          <w:trHeight w:val="315"/>
        </w:trPr>
        <w:tc>
          <w:tcPr>
            <w:tcW w:w="2560" w:type="dxa"/>
            <w:tcBorders>
              <w:top w:val="nil"/>
              <w:left w:val="nil"/>
              <w:bottom w:val="single" w:sz="8" w:space="0" w:color="92D400"/>
              <w:right w:val="nil"/>
            </w:tcBorders>
            <w:shd w:val="clear" w:color="000000" w:fill="FFFFFF"/>
            <w:noWrap/>
            <w:vAlign w:val="center"/>
          </w:tcPr>
          <w:p w:rsidR="00065632" w:rsidRPr="00882979" w:rsidRDefault="00065632" w:rsidP="00DE2A67">
            <w:pPr>
              <w:spacing w:after="0"/>
              <w:rPr>
                <w:b/>
                <w:bCs/>
                <w:color w:val="000000"/>
              </w:rPr>
            </w:pPr>
            <w:r>
              <w:rPr>
                <w:b/>
                <w:bCs/>
                <w:color w:val="000000"/>
              </w:rPr>
              <w:t>PCA</w:t>
            </w:r>
          </w:p>
        </w:tc>
        <w:tc>
          <w:tcPr>
            <w:tcW w:w="6820" w:type="dxa"/>
            <w:tcBorders>
              <w:top w:val="nil"/>
              <w:left w:val="nil"/>
              <w:bottom w:val="single" w:sz="8" w:space="0" w:color="92D400"/>
              <w:right w:val="nil"/>
            </w:tcBorders>
            <w:shd w:val="clear" w:color="000000" w:fill="FFFFFF"/>
            <w:noWrap/>
            <w:vAlign w:val="center"/>
          </w:tcPr>
          <w:p w:rsidR="00065632" w:rsidRPr="00882979" w:rsidRDefault="00065632" w:rsidP="00DE2A67">
            <w:pPr>
              <w:spacing w:after="0"/>
              <w:rPr>
                <w:color w:val="000000"/>
              </w:rPr>
            </w:pPr>
            <w:r>
              <w:rPr>
                <w:color w:val="000000"/>
              </w:rPr>
              <w:t>Public Procurement Act</w:t>
            </w:r>
          </w:p>
        </w:tc>
      </w:tr>
    </w:tbl>
    <w:p w:rsidR="00065632" w:rsidRPr="00CB5ED7" w:rsidRDefault="00065632" w:rsidP="0089637B">
      <w:pPr>
        <w:pStyle w:val="Titulek"/>
        <w:spacing w:before="120"/>
      </w:pPr>
      <w:bookmarkStart w:id="10" w:name="_Toc417655499"/>
      <w:bookmarkStart w:id="11" w:name="_Toc426033910"/>
      <w:r>
        <w:t xml:space="preserve">Table </w:t>
      </w:r>
      <w:r w:rsidRPr="00CB5ED7">
        <w:fldChar w:fldCharType="begin"/>
      </w:r>
      <w:r w:rsidRPr="00CB5ED7">
        <w:instrText xml:space="preserve"> SEQ Tabulka \* ARABIC </w:instrText>
      </w:r>
      <w:r w:rsidRPr="00CB5ED7">
        <w:fldChar w:fldCharType="separate"/>
      </w:r>
      <w:r>
        <w:rPr>
          <w:noProof/>
        </w:rPr>
        <w:t>1</w:t>
      </w:r>
      <w:r w:rsidRPr="00CB5ED7">
        <w:fldChar w:fldCharType="end"/>
      </w:r>
      <w:r>
        <w:t>: Definition of terms</w:t>
      </w:r>
      <w:bookmarkEnd w:id="9"/>
      <w:bookmarkEnd w:id="10"/>
      <w:bookmarkEnd w:id="11"/>
    </w:p>
    <w:p w:rsidR="00065632" w:rsidRDefault="00065632" w:rsidP="0089637B">
      <w:pPr>
        <w:pStyle w:val="Nadpis1"/>
      </w:pPr>
      <w:bookmarkStart w:id="12" w:name="_Toc397701278"/>
      <w:bookmarkStart w:id="13" w:name="_Toc401150093"/>
      <w:bookmarkStart w:id="14" w:name="_Toc418767134"/>
      <w:bookmarkStart w:id="15" w:name="_Toc426033644"/>
      <w:r>
        <w:lastRenderedPageBreak/>
        <w:t>Executive Summary</w:t>
      </w:r>
      <w:bookmarkEnd w:id="12"/>
      <w:bookmarkEnd w:id="13"/>
      <w:bookmarkEnd w:id="14"/>
      <w:bookmarkEnd w:id="15"/>
    </w:p>
    <w:p w:rsidR="00065632" w:rsidRPr="00421A97" w:rsidRDefault="00065632" w:rsidP="00EA6CCB">
      <w:pPr>
        <w:pStyle w:val="Highlight3"/>
      </w:pPr>
      <w:r>
        <w:t>Subject Matter of the Study</w:t>
      </w:r>
    </w:p>
    <w:p w:rsidR="00065632" w:rsidRPr="00EA6CCB" w:rsidRDefault="00065632" w:rsidP="00EA6CCB">
      <w:r>
        <w:t xml:space="preserve">Deloitte Advisory </w:t>
      </w:r>
      <w:proofErr w:type="spellStart"/>
      <w:r>
        <w:t>s.r.o</w:t>
      </w:r>
      <w:proofErr w:type="spellEnd"/>
      <w:r>
        <w:t>. ("Deloitte" or "Contractor") won a public tender for implementation of a contract procured by the Ministry of Regional Development ("</w:t>
      </w:r>
      <w:proofErr w:type="spellStart"/>
      <w:r>
        <w:t>MoRD</w:t>
      </w:r>
      <w:proofErr w:type="spellEnd"/>
      <w:r>
        <w:t xml:space="preserve">" or "Contracting authority") titled </w:t>
      </w:r>
      <w:r>
        <w:rPr>
          <w:b/>
          <w:bCs/>
        </w:rPr>
        <w:t>"Ex-ante assessment of the use of a financial instrument in the IROP"</w:t>
      </w:r>
      <w:r>
        <w:t xml:space="preserve"> ("Project"). The Project aims to provide an overview of where and how financial instruments can be used in the proposed Integrated Regional Operational Programme. The Project's final report covers all areas contractually defined and further specified in the input report, divided into two blocks, see below.</w:t>
      </w:r>
    </w:p>
    <w:p w:rsidR="00065632" w:rsidRPr="00984472" w:rsidRDefault="00065632" w:rsidP="00EA6CCB">
      <w:r>
        <w:t xml:space="preserve">The first part of the report (Chapter 4) presents conclusions in </w:t>
      </w:r>
      <w:r>
        <w:rPr>
          <w:b/>
          <w:bCs/>
        </w:rPr>
        <w:t>Block </w:t>
      </w:r>
      <w:proofErr w:type="gramStart"/>
      <w:r>
        <w:rPr>
          <w:b/>
          <w:bCs/>
        </w:rPr>
        <w:t>A</w:t>
      </w:r>
      <w:proofErr w:type="gramEnd"/>
      <w:r>
        <w:rPr>
          <w:b/>
          <w:bCs/>
        </w:rPr>
        <w:t xml:space="preserve"> – Mapping market characteristics</w:t>
      </w:r>
      <w:r>
        <w:t>, specifically dealing with:</w:t>
      </w:r>
    </w:p>
    <w:p w:rsidR="00065632" w:rsidRPr="00693AAF" w:rsidRDefault="00065632" w:rsidP="00065632">
      <w:pPr>
        <w:pStyle w:val="Zkladntext"/>
        <w:numPr>
          <w:ilvl w:val="0"/>
          <w:numId w:val="34"/>
        </w:numPr>
        <w:tabs>
          <w:tab w:val="left" w:pos="567"/>
        </w:tabs>
        <w:spacing w:before="6" w:line="252" w:lineRule="auto"/>
        <w:ind w:left="567" w:right="106" w:hanging="360"/>
        <w:jc w:val="both"/>
        <w:rPr>
          <w:b/>
          <w:bCs/>
          <w:spacing w:val="-2"/>
        </w:rPr>
      </w:pPr>
      <w:r w:rsidRPr="00693AAF">
        <w:rPr>
          <w:b/>
          <w:bCs/>
          <w:spacing w:val="-2"/>
        </w:rPr>
        <w:t>Analysis of the market failure, sub-optimal investment situation, and investment needs</w:t>
      </w:r>
      <w:r>
        <w:t xml:space="preserve"> in the area of planned objectives of the IROP which should be assisted by IFIs.</w:t>
      </w:r>
    </w:p>
    <w:p w:rsidR="00065632" w:rsidRPr="00693AAF" w:rsidRDefault="00065632" w:rsidP="00065632">
      <w:pPr>
        <w:pStyle w:val="Zkladntext"/>
        <w:numPr>
          <w:ilvl w:val="0"/>
          <w:numId w:val="34"/>
        </w:numPr>
        <w:tabs>
          <w:tab w:val="left" w:pos="567"/>
        </w:tabs>
        <w:spacing w:before="6" w:line="252" w:lineRule="auto"/>
        <w:ind w:left="567" w:right="106" w:hanging="360"/>
        <w:jc w:val="both"/>
        <w:rPr>
          <w:b/>
          <w:bCs/>
          <w:spacing w:val="-2"/>
        </w:rPr>
      </w:pPr>
      <w:r w:rsidRPr="00693AAF">
        <w:rPr>
          <w:b/>
          <w:bCs/>
          <w:spacing w:val="-2"/>
        </w:rPr>
        <w:t xml:space="preserve">Assessment of the added value of FIs </w:t>
      </w:r>
      <w:r w:rsidRPr="00693AAF">
        <w:rPr>
          <w:spacing w:val="-2"/>
        </w:rPr>
        <w:t>where aid from the ESI Funds is considered; compliance with other forms of public intervention focusing on the same market, or their mutual combinations or complementarity; a potential impact of the state aid, suitability of the intended intervention and measures to minimise market disruption;</w:t>
      </w:r>
    </w:p>
    <w:p w:rsidR="00065632" w:rsidRPr="00693AAF" w:rsidRDefault="00065632" w:rsidP="00065632">
      <w:pPr>
        <w:pStyle w:val="Zkladntext"/>
        <w:numPr>
          <w:ilvl w:val="0"/>
          <w:numId w:val="34"/>
        </w:numPr>
        <w:tabs>
          <w:tab w:val="left" w:pos="567"/>
        </w:tabs>
        <w:spacing w:before="10" w:line="247" w:lineRule="auto"/>
        <w:ind w:left="567" w:right="133" w:hanging="360"/>
        <w:jc w:val="both"/>
      </w:pPr>
      <w:r w:rsidRPr="00693AAF">
        <w:rPr>
          <w:b/>
          <w:bCs/>
          <w:spacing w:val="-4"/>
        </w:rPr>
        <w:t>Estimate of additional public and private resources</w:t>
      </w:r>
      <w:r>
        <w:t xml:space="preserve"> which can be potentially acquired using IFIs to the level of the final beneficiary (expected leverage), including, if relevant, the evaluation of the needs and level of preferential remuneration;</w:t>
      </w:r>
    </w:p>
    <w:p w:rsidR="00065632" w:rsidRPr="00693AAF" w:rsidRDefault="00065632" w:rsidP="00065632">
      <w:pPr>
        <w:pStyle w:val="Zkladntext"/>
        <w:numPr>
          <w:ilvl w:val="0"/>
          <w:numId w:val="34"/>
        </w:numPr>
        <w:tabs>
          <w:tab w:val="left" w:pos="567"/>
        </w:tabs>
        <w:spacing w:before="10" w:line="247" w:lineRule="auto"/>
        <w:ind w:left="567" w:right="133" w:hanging="360"/>
        <w:jc w:val="both"/>
      </w:pPr>
      <w:r w:rsidRPr="00693AAF">
        <w:rPr>
          <w:b/>
          <w:bCs/>
        </w:rPr>
        <w:t xml:space="preserve">A brief overview of existing experience with financial instruments </w:t>
      </w:r>
      <w:r w:rsidRPr="00693AAF">
        <w:t xml:space="preserve">in the CR or other EU Member States and the plan for their use in Member States in the 2014–2020 </w:t>
      </w:r>
      <w:proofErr w:type="gramStart"/>
      <w:r w:rsidRPr="00693AAF">
        <w:t>period</w:t>
      </w:r>
      <w:proofErr w:type="gramEnd"/>
      <w:r w:rsidRPr="00693AAF">
        <w:t>.</w:t>
      </w:r>
    </w:p>
    <w:p w:rsidR="00065632" w:rsidRDefault="00065632" w:rsidP="00EA6CCB">
      <w:pPr>
        <w:pStyle w:val="Zkladntext"/>
        <w:tabs>
          <w:tab w:val="left" w:pos="567"/>
        </w:tabs>
        <w:spacing w:before="10" w:line="247" w:lineRule="auto"/>
        <w:ind w:right="133"/>
        <w:jc w:val="both"/>
      </w:pPr>
      <w:r>
        <w:t xml:space="preserve">The second part of the report (Chapter 5) presents conclusions in </w:t>
      </w:r>
      <w:r>
        <w:rPr>
          <w:b/>
          <w:bCs/>
        </w:rPr>
        <w:t>Block B – Management and implementation strategy</w:t>
      </w:r>
      <w:r>
        <w:t>, specifically dealing with:</w:t>
      </w:r>
    </w:p>
    <w:p w:rsidR="00065632" w:rsidRPr="00693AAF" w:rsidRDefault="00065632" w:rsidP="00065632">
      <w:pPr>
        <w:pStyle w:val="Zkladntext"/>
        <w:numPr>
          <w:ilvl w:val="0"/>
          <w:numId w:val="34"/>
        </w:numPr>
        <w:spacing w:before="6" w:line="252" w:lineRule="auto"/>
        <w:ind w:left="567" w:right="106"/>
        <w:jc w:val="both"/>
        <w:rPr>
          <w:spacing w:val="-2"/>
        </w:rPr>
      </w:pPr>
      <w:r w:rsidRPr="00693AAF">
        <w:rPr>
          <w:b/>
          <w:bCs/>
          <w:spacing w:val="-2"/>
        </w:rPr>
        <w:t>Proposal for investment strategy</w:t>
      </w:r>
      <w:r w:rsidRPr="00693AAF">
        <w:rPr>
          <w:spacing w:val="-2"/>
        </w:rPr>
        <w:t xml:space="preserve">, including evaluation of the option to implement measures pursuant to Article 37 of the </w:t>
      </w:r>
      <w:r>
        <w:rPr>
          <w:spacing w:val="-2"/>
        </w:rPr>
        <w:t>Common Provisions Regulation</w:t>
      </w:r>
      <w:r w:rsidRPr="00693AAF">
        <w:rPr>
          <w:spacing w:val="-2"/>
        </w:rPr>
        <w:t>; financial products which should be offered, final beneficiaries, and possibly also the expected mix of financial products and grants.</w:t>
      </w:r>
    </w:p>
    <w:p w:rsidR="00065632" w:rsidRPr="00693AAF" w:rsidRDefault="00065632" w:rsidP="00065632">
      <w:pPr>
        <w:pStyle w:val="Zkladntext"/>
        <w:numPr>
          <w:ilvl w:val="0"/>
          <w:numId w:val="34"/>
        </w:numPr>
        <w:tabs>
          <w:tab w:val="left" w:pos="567"/>
        </w:tabs>
        <w:spacing w:before="6" w:line="252" w:lineRule="auto"/>
        <w:ind w:left="567" w:right="106"/>
        <w:jc w:val="both"/>
        <w:rPr>
          <w:spacing w:val="-2"/>
        </w:rPr>
      </w:pPr>
      <w:r w:rsidRPr="00693AAF">
        <w:rPr>
          <w:b/>
          <w:bCs/>
          <w:spacing w:val="-2"/>
        </w:rPr>
        <w:t>Assessment of the relevance and benefits of integration a specific financial instrument in the national holding fund and, where applicable, the role of the financial instrument</w:t>
      </w:r>
      <w:r w:rsidRPr="00693AAF">
        <w:rPr>
          <w:spacing w:val="-2"/>
        </w:rPr>
        <w:t xml:space="preserve"> in the holding fund.</w:t>
      </w:r>
    </w:p>
    <w:p w:rsidR="00065632" w:rsidRPr="00693AAF" w:rsidRDefault="00065632" w:rsidP="00065632">
      <w:pPr>
        <w:pStyle w:val="Zkladntext"/>
        <w:numPr>
          <w:ilvl w:val="0"/>
          <w:numId w:val="34"/>
        </w:numPr>
        <w:tabs>
          <w:tab w:val="left" w:pos="567"/>
        </w:tabs>
        <w:spacing w:before="6" w:line="252" w:lineRule="auto"/>
        <w:ind w:left="567" w:right="106"/>
        <w:jc w:val="both"/>
        <w:rPr>
          <w:spacing w:val="-2"/>
        </w:rPr>
      </w:pPr>
      <w:r w:rsidRPr="00693AAF">
        <w:rPr>
          <w:spacing w:val="-2"/>
        </w:rPr>
        <w:t xml:space="preserve">Assessment of the relevance, benefits and </w:t>
      </w:r>
      <w:r w:rsidRPr="00693AAF">
        <w:rPr>
          <w:b/>
          <w:bCs/>
          <w:spacing w:val="-2"/>
        </w:rPr>
        <w:t>a proposal for the method of interconnecting the respective financial instrument with the existing financial instruments,</w:t>
      </w:r>
      <w:r w:rsidRPr="00693AAF">
        <w:rPr>
          <w:spacing w:val="-2"/>
        </w:rPr>
        <w:t xml:space="preserve"> and further support provided in the respective area.</w:t>
      </w:r>
    </w:p>
    <w:p w:rsidR="00065632" w:rsidRPr="00693AAF" w:rsidRDefault="00065632" w:rsidP="00065632">
      <w:pPr>
        <w:pStyle w:val="Zkladntext"/>
        <w:numPr>
          <w:ilvl w:val="0"/>
          <w:numId w:val="34"/>
        </w:numPr>
        <w:tabs>
          <w:tab w:val="left" w:pos="567"/>
        </w:tabs>
        <w:spacing w:before="6" w:line="252" w:lineRule="auto"/>
        <w:ind w:left="567" w:right="106"/>
        <w:jc w:val="both"/>
        <w:rPr>
          <w:spacing w:val="-2"/>
        </w:rPr>
      </w:pPr>
      <w:r w:rsidRPr="00693AAF">
        <w:rPr>
          <w:b/>
          <w:bCs/>
          <w:spacing w:val="-2"/>
        </w:rPr>
        <w:t>Assessment of interventions supported through a financial instrument as to whether they are compatible with the principles of the common market</w:t>
      </w:r>
      <w:r w:rsidRPr="00693AAF">
        <w:rPr>
          <w:spacing w:val="-2"/>
        </w:rPr>
        <w:t xml:space="preserve"> and, where applicable, as to how they are subject to European </w:t>
      </w:r>
      <w:proofErr w:type="spellStart"/>
      <w:r w:rsidRPr="00693AAF">
        <w:rPr>
          <w:spacing w:val="-2"/>
        </w:rPr>
        <w:t>Commissions</w:t>
      </w:r>
      <w:proofErr w:type="spellEnd"/>
      <w:r w:rsidRPr="00693AAF">
        <w:rPr>
          <w:spacing w:val="-2"/>
        </w:rPr>
        <w:t xml:space="preserve"> rules on state aid.</w:t>
      </w:r>
    </w:p>
    <w:p w:rsidR="00065632" w:rsidRPr="00693AAF" w:rsidRDefault="00065632" w:rsidP="00065632">
      <w:pPr>
        <w:pStyle w:val="Zkladntext"/>
        <w:numPr>
          <w:ilvl w:val="0"/>
          <w:numId w:val="34"/>
        </w:numPr>
        <w:tabs>
          <w:tab w:val="left" w:pos="567"/>
        </w:tabs>
        <w:spacing w:before="6" w:line="252" w:lineRule="auto"/>
        <w:ind w:left="567" w:right="106"/>
        <w:jc w:val="both"/>
        <w:rPr>
          <w:spacing w:val="-2"/>
        </w:rPr>
      </w:pPr>
      <w:r w:rsidRPr="00693AAF">
        <w:rPr>
          <w:b/>
          <w:bCs/>
          <w:spacing w:val="-2"/>
        </w:rPr>
        <w:t>Precise definition of expected results</w:t>
      </w:r>
      <w:r w:rsidRPr="00693AAF">
        <w:rPr>
          <w:spacing w:val="-2"/>
        </w:rPr>
        <w:t xml:space="preserve"> and of what a financial instrument should contribute to achieving specific objectives.</w:t>
      </w:r>
    </w:p>
    <w:p w:rsidR="00065632" w:rsidRPr="00693AAF" w:rsidRDefault="00065632" w:rsidP="00065632">
      <w:pPr>
        <w:pStyle w:val="Zkladntext"/>
        <w:numPr>
          <w:ilvl w:val="0"/>
          <w:numId w:val="34"/>
        </w:numPr>
        <w:tabs>
          <w:tab w:val="left" w:pos="567"/>
        </w:tabs>
        <w:spacing w:before="6" w:line="252" w:lineRule="auto"/>
        <w:ind w:left="567" w:right="106"/>
        <w:jc w:val="both"/>
        <w:rPr>
          <w:spacing w:val="-2"/>
        </w:rPr>
      </w:pPr>
      <w:r w:rsidRPr="00693AAF">
        <w:rPr>
          <w:b/>
          <w:bCs/>
          <w:spacing w:val="-2"/>
        </w:rPr>
        <w:t>Provisions which will allow reviewing and updating, if necessary, the ex-ante assessment</w:t>
      </w:r>
      <w:r w:rsidRPr="00693AAF">
        <w:rPr>
          <w:spacing w:val="-2"/>
        </w:rPr>
        <w:t>.</w:t>
      </w:r>
    </w:p>
    <w:p w:rsidR="00065632" w:rsidRPr="00320066" w:rsidRDefault="00065632" w:rsidP="00EA6CCB">
      <w:pPr>
        <w:pStyle w:val="Highlight3"/>
      </w:pPr>
      <w:r>
        <w:t>Usability of IFIs in IROP areas of intervention, pre-screening conclusions</w:t>
      </w:r>
    </w:p>
    <w:p w:rsidR="00065632" w:rsidRDefault="00065632" w:rsidP="00EA6CCB">
      <w:r>
        <w:t xml:space="preserve">Following an initial pre-screening survey, individual areas of intervention of the planned IROP were assessed using evaluation against key attributes for the assessment of the potential of the given area for the use </w:t>
      </w:r>
      <w:proofErr w:type="spellStart"/>
      <w:r>
        <w:t>if</w:t>
      </w:r>
      <w:proofErr w:type="spellEnd"/>
      <w:r>
        <w:t xml:space="preserve"> IFIs. Based on the results of the initial assessment, it can be noted that </w:t>
      </w:r>
      <w:r>
        <w:rPr>
          <w:b/>
          <w:bCs/>
        </w:rPr>
        <w:t>a significant potential for the use of financial instruments is shown by area of intervention 2.5 Reduction in energy consumption in the housing sector</w:t>
      </w:r>
      <w:r>
        <w:t xml:space="preserve"> and that the assessment of </w:t>
      </w:r>
      <w:r>
        <w:rPr>
          <w:b/>
          <w:bCs/>
        </w:rPr>
        <w:t>area of intervention</w:t>
      </w:r>
      <w:r>
        <w:t xml:space="preserve"> 2.1 Improving the quality and availability of services leading to social inclusion, specifically </w:t>
      </w:r>
      <w:r>
        <w:rPr>
          <w:b/>
          <w:bCs/>
        </w:rPr>
        <w:t>area of intervention acquisition of apartments and residential buildings for social housing</w:t>
      </w:r>
      <w:r>
        <w:t>, should continue. The aforementioned areas proceeded to further elaboration within an analysis of market failures.</w:t>
      </w:r>
    </w:p>
    <w:p w:rsidR="00065632" w:rsidRDefault="00065632" w:rsidP="00EA6CCB">
      <w:pPr>
        <w:pStyle w:val="Highlight3"/>
      </w:pPr>
      <w:r>
        <w:t>Analysis of market failures and sub-optimal investment situations</w:t>
      </w:r>
    </w:p>
    <w:p w:rsidR="00065632" w:rsidRDefault="00065632" w:rsidP="00EA6CCB">
      <w:r>
        <w:t>Following the result of the pre-screening survey, areas of intervention potentially suitable for IFIs were subjected, by the Contractor, to an analysis of market characteristics with the aim to decide whether there is a market failure / sub-optimal market situation, and if so, to what degree. Both analysed cases confirmed the existence of a market failure or a sub-optimal investment situation, and the analysis conclusions were a significant input in the proposal part of the report, specifically for the chapter on investment strategies.</w:t>
      </w:r>
    </w:p>
    <w:p w:rsidR="00065632" w:rsidRDefault="00065632" w:rsidP="00EA6CCB">
      <w:r>
        <w:rPr>
          <w:b/>
          <w:bCs/>
        </w:rPr>
        <w:lastRenderedPageBreak/>
        <w:t>Based on further examination, analyses and discussions with key interest groups it was made clear that it is not suitable to continue to propose specific parameters of the instrument for the area of social housing</w:t>
      </w:r>
      <w:r>
        <w:t xml:space="preserve"> – due to the reason that without clarifying a future national concept in this area and the related legislation it is virtually impossible to propose a suitable financial instrument, or whether it is more suitable to leave the subsidy in a subsidy scheme. The monitored chapter includes specific proposals of further steps for two probable scenarios of further development. </w:t>
      </w:r>
    </w:p>
    <w:p w:rsidR="00065632" w:rsidRPr="00320066" w:rsidRDefault="00065632" w:rsidP="00EA6CCB">
      <w:r>
        <w:t xml:space="preserve">With respect to the above, </w:t>
      </w:r>
      <w:r>
        <w:rPr>
          <w:b/>
          <w:bCs/>
        </w:rPr>
        <w:t>the proposal part of the ex-ante assessment further only worked with the area of energy savings in residential buildings, IROP specific objectives 2.5</w:t>
      </w:r>
      <w:r>
        <w:t xml:space="preserve">. </w:t>
      </w:r>
      <w:r>
        <w:rPr>
          <w:b/>
          <w:bCs/>
        </w:rPr>
        <w:t xml:space="preserve">The Contractor states that there is a significant absorption capacity potential in the amount of tens of billions CZK, which can be, at the same time, regarded as the volume of market failure or sub-optimal investment situation. </w:t>
      </w:r>
      <w:r>
        <w:t>These investments can remain in the not-made state where an appropriate form of state aid is not put into place – either activating the banking sector or activating the owners of buildings to a higher investment activity.</w:t>
      </w:r>
    </w:p>
    <w:p w:rsidR="00065632" w:rsidRPr="00710B4C" w:rsidRDefault="00065632" w:rsidP="00EA6CCB">
      <w:pPr>
        <w:pStyle w:val="Highlight3"/>
      </w:pPr>
      <w:r>
        <w:t>Assessment of the value added of IFIs and additional public and private resources</w:t>
      </w:r>
    </w:p>
    <w:p w:rsidR="00065632" w:rsidRDefault="00065632" w:rsidP="00EA6CCB">
      <w:r>
        <w:t xml:space="preserve">Following the confirmation of existence of a market failure and potential for the use of IFIs within IROP specific objective 2.5, economic impacts were modelled. Two basic variables were monitored in modelling the economic impact of IFI involvement – leverage and added value as defined by the European Commission's methodological guideline. </w:t>
      </w:r>
      <w:proofErr w:type="gramStart"/>
      <w:r>
        <w:rPr>
          <w:b/>
          <w:bCs/>
        </w:rPr>
        <w:t>leverage</w:t>
      </w:r>
      <w:proofErr w:type="gramEnd"/>
      <w:r>
        <w:rPr>
          <w:b/>
          <w:bCs/>
        </w:rPr>
        <w:t xml:space="preserve"> under the Financial Regulation is conceived as activation of extra-budgetary resources</w:t>
      </w:r>
      <w:r>
        <w:t>: "</w:t>
      </w:r>
      <w:r>
        <w:rPr>
          <w:i/>
          <w:iCs/>
        </w:rPr>
        <w:t>the EU contribution to a IFI shall aim at mobilising a global investment exceeding the size of the Union contribution according to the indicators defined in advance</w:t>
      </w:r>
      <w:r>
        <w:t xml:space="preserve">." </w:t>
      </w:r>
      <w:r>
        <w:rPr>
          <w:b/>
          <w:bCs/>
        </w:rPr>
        <w:t>The added value expresses the leverage of contribution from the European Structural and Investment Funds, i.e. additional sources to the level of the final beneficiary.</w:t>
      </w:r>
      <w:r>
        <w:t xml:space="preserve"> </w:t>
      </w:r>
    </w:p>
    <w:p w:rsidR="00065632" w:rsidRDefault="00065632" w:rsidP="00CD646A">
      <w:r>
        <w:t xml:space="preserve">Multiplier effect modelling was set on assumptions of future parameters of the financial instrument and assumption of interest in the tool as followed from the proposal part of the Project implementation. Modelling was carried out for the area </w:t>
      </w:r>
      <w:r>
        <w:rPr>
          <w:b/>
          <w:bCs/>
        </w:rPr>
        <w:t>Reduction in energy consumption in the housing sector – using a loan instrument</w:t>
      </w:r>
      <w:r>
        <w:t xml:space="preserve">. </w:t>
      </w:r>
    </w:p>
    <w:p w:rsidR="00065632" w:rsidRPr="00965274" w:rsidRDefault="00065632" w:rsidP="005623C0">
      <w:r>
        <w:t>In the case of a model set up by the Contractor, the financial instrument achieves the following results:</w:t>
      </w:r>
    </w:p>
    <w:p w:rsidR="00065632" w:rsidRDefault="00065632" w:rsidP="00065632">
      <w:pPr>
        <w:pStyle w:val="Odstavecseseznamem"/>
        <w:numPr>
          <w:ilvl w:val="0"/>
          <w:numId w:val="35"/>
        </w:numPr>
        <w:rPr>
          <w:b/>
          <w:bCs/>
        </w:rPr>
      </w:pPr>
      <w:r>
        <w:rPr>
          <w:b/>
          <w:bCs/>
        </w:rPr>
        <w:t>IROP allocation</w:t>
      </w:r>
      <w:r>
        <w:tab/>
      </w:r>
      <w:r>
        <w:tab/>
      </w:r>
      <w:r>
        <w:tab/>
      </w:r>
      <w:r>
        <w:tab/>
      </w:r>
      <w:r>
        <w:tab/>
      </w:r>
      <w:r>
        <w:tab/>
      </w:r>
      <w:r>
        <w:rPr>
          <w:b/>
          <w:bCs/>
        </w:rPr>
        <w:t>16,800</w:t>
      </w:r>
      <w:r>
        <w:tab/>
      </w:r>
      <w:r>
        <w:rPr>
          <w:b/>
          <w:bCs/>
        </w:rPr>
        <w:t>million CZK</w:t>
      </w:r>
    </w:p>
    <w:p w:rsidR="00065632" w:rsidRDefault="00065632" w:rsidP="00065632">
      <w:pPr>
        <w:pStyle w:val="Odstavecseseznamem"/>
        <w:numPr>
          <w:ilvl w:val="0"/>
          <w:numId w:val="35"/>
        </w:numPr>
        <w:rPr>
          <w:b/>
          <w:bCs/>
        </w:rPr>
      </w:pPr>
      <w:r>
        <w:rPr>
          <w:b/>
          <w:bCs/>
        </w:rPr>
        <w:t>Generated investments of cycle 1</w:t>
      </w:r>
      <w:r>
        <w:tab/>
      </w:r>
      <w:r>
        <w:tab/>
      </w:r>
      <w:r>
        <w:tab/>
      </w:r>
      <w:r>
        <w:rPr>
          <w:b/>
          <w:bCs/>
        </w:rPr>
        <w:t>30,800</w:t>
      </w:r>
      <w:r>
        <w:tab/>
      </w:r>
      <w:r>
        <w:rPr>
          <w:b/>
          <w:bCs/>
        </w:rPr>
        <w:t>million CZK</w:t>
      </w:r>
    </w:p>
    <w:p w:rsidR="00065632" w:rsidRDefault="00065632" w:rsidP="00065632">
      <w:pPr>
        <w:pStyle w:val="Odstavecseseznamem"/>
        <w:numPr>
          <w:ilvl w:val="0"/>
          <w:numId w:val="35"/>
        </w:numPr>
        <w:rPr>
          <w:b/>
          <w:bCs/>
        </w:rPr>
      </w:pPr>
      <w:r>
        <w:rPr>
          <w:b/>
          <w:bCs/>
        </w:rPr>
        <w:t>Total invested by 2023</w:t>
      </w:r>
      <w:r>
        <w:tab/>
      </w:r>
      <w:r>
        <w:tab/>
      </w:r>
      <w:r>
        <w:tab/>
      </w:r>
      <w:r>
        <w:tab/>
      </w:r>
      <w:r>
        <w:tab/>
      </w:r>
      <w:r>
        <w:rPr>
          <w:b/>
          <w:bCs/>
        </w:rPr>
        <w:t>38,107</w:t>
      </w:r>
      <w:r>
        <w:tab/>
      </w:r>
      <w:r>
        <w:rPr>
          <w:b/>
          <w:bCs/>
        </w:rPr>
        <w:t>million CZK</w:t>
      </w:r>
    </w:p>
    <w:p w:rsidR="00065632" w:rsidRPr="00965274" w:rsidRDefault="00065632" w:rsidP="00065632">
      <w:pPr>
        <w:pStyle w:val="Odstavecseseznamem"/>
        <w:numPr>
          <w:ilvl w:val="0"/>
          <w:numId w:val="35"/>
        </w:numPr>
        <w:spacing w:after="0"/>
        <w:jc w:val="left"/>
        <w:rPr>
          <w:b/>
          <w:bCs/>
        </w:rPr>
      </w:pPr>
      <w:r>
        <w:rPr>
          <w:b/>
          <w:bCs/>
        </w:rPr>
        <w:t>Total available for the revolving of IROP funds</w:t>
      </w:r>
      <w:r>
        <w:tab/>
      </w:r>
      <w:r>
        <w:tab/>
      </w:r>
      <w:r>
        <w:rPr>
          <w:b/>
          <w:bCs/>
        </w:rPr>
        <w:t>16,005</w:t>
      </w:r>
      <w:r>
        <w:tab/>
      </w:r>
      <w:r>
        <w:rPr>
          <w:b/>
          <w:bCs/>
        </w:rPr>
        <w:t>million CZK</w:t>
      </w:r>
    </w:p>
    <w:p w:rsidR="00065632" w:rsidRDefault="00065632" w:rsidP="00065632">
      <w:pPr>
        <w:pStyle w:val="Odstavecseseznamem"/>
        <w:numPr>
          <w:ilvl w:val="0"/>
          <w:numId w:val="35"/>
        </w:numPr>
        <w:spacing w:after="0"/>
        <w:jc w:val="left"/>
        <w:rPr>
          <w:b/>
          <w:bCs/>
        </w:rPr>
      </w:pPr>
      <w:r>
        <w:rPr>
          <w:b/>
          <w:bCs/>
        </w:rPr>
        <w:t>Added value</w:t>
      </w:r>
      <w:r>
        <w:tab/>
      </w:r>
      <w:r>
        <w:tab/>
      </w:r>
      <w:r>
        <w:tab/>
      </w:r>
      <w:r>
        <w:tab/>
      </w:r>
      <w:r>
        <w:tab/>
      </w:r>
      <w:r>
        <w:tab/>
      </w:r>
      <w:r>
        <w:rPr>
          <w:b/>
          <w:bCs/>
        </w:rPr>
        <w:t>2.27</w:t>
      </w:r>
      <w:r>
        <w:tab/>
      </w:r>
    </w:p>
    <w:p w:rsidR="00065632" w:rsidRDefault="00065632" w:rsidP="00065632">
      <w:pPr>
        <w:pStyle w:val="Odstavecseseznamem"/>
        <w:numPr>
          <w:ilvl w:val="0"/>
          <w:numId w:val="35"/>
        </w:numPr>
        <w:spacing w:after="0"/>
        <w:jc w:val="left"/>
        <w:rPr>
          <w:b/>
          <w:bCs/>
        </w:rPr>
      </w:pPr>
      <w:r>
        <w:rPr>
          <w:b/>
          <w:bCs/>
        </w:rPr>
        <w:t>Leverage</w:t>
      </w:r>
      <w:r>
        <w:tab/>
      </w:r>
      <w:r>
        <w:tab/>
      </w:r>
      <w:r>
        <w:tab/>
      </w:r>
      <w:r>
        <w:tab/>
      </w:r>
      <w:r>
        <w:tab/>
      </w:r>
      <w:r>
        <w:tab/>
      </w:r>
      <w:r>
        <w:rPr>
          <w:b/>
          <w:bCs/>
        </w:rPr>
        <w:t>1.83</w:t>
      </w:r>
      <w:r>
        <w:tab/>
      </w:r>
    </w:p>
    <w:p w:rsidR="00065632" w:rsidRPr="005623C0" w:rsidRDefault="00065632" w:rsidP="005623C0">
      <w:pPr>
        <w:pStyle w:val="Odstavecseseznamem"/>
        <w:spacing w:after="0"/>
        <w:jc w:val="left"/>
        <w:rPr>
          <w:b/>
          <w:bCs/>
        </w:rPr>
      </w:pPr>
    </w:p>
    <w:p w:rsidR="00065632" w:rsidRDefault="00065632" w:rsidP="00CD646A">
      <w:r>
        <w:t>A more detailed overview for modelling is provided by the instrument itself in Annex 2 to the final report, which also provides space for the possibility to change the input variables and assumptions for modelling alternative results.</w:t>
      </w:r>
    </w:p>
    <w:p w:rsidR="00065632" w:rsidRPr="00693AAF" w:rsidRDefault="00065632" w:rsidP="00EA6CCB">
      <w:pPr>
        <w:rPr>
          <w:b/>
          <w:bCs/>
          <w:color w:val="00A1DE"/>
          <w:sz w:val="20"/>
          <w:szCs w:val="20"/>
        </w:rPr>
      </w:pPr>
      <w:r w:rsidRPr="00693AAF">
        <w:rPr>
          <w:b/>
          <w:bCs/>
          <w:color w:val="00A1DE"/>
          <w:sz w:val="20"/>
          <w:szCs w:val="20"/>
        </w:rPr>
        <w:t>Experience with financial instruments in the CR and abroad</w:t>
      </w:r>
    </w:p>
    <w:p w:rsidR="00065632" w:rsidRDefault="00065632" w:rsidP="00EA6CCB">
      <w:r>
        <w:t>Generally, it can be said that countries abroad use capital financial instruments (the more experience with using IFIs, the more intense use), in addition to loan financial instruments, and they also combine national, European and municipal funds. The most considered and the most interesting payback period for investors is 10 years. For the average length of operation of a fund (until investors can exit), this period amounts to 5–7 years. It is often common that after the "termination" of the fund, the fund is smoothly transformed into a successor fund - in particular the British model. The most common interest rate for financial instruments taking form of soft loans is 1 - 3.5 %.</w:t>
      </w:r>
    </w:p>
    <w:p w:rsidR="00065632" w:rsidRDefault="00065632" w:rsidP="0016673A">
      <w:pPr>
        <w:pStyle w:val="Highlight3"/>
      </w:pPr>
      <w:r>
        <w:t>Proposed investment strategy</w:t>
      </w:r>
    </w:p>
    <w:p w:rsidR="00065632" w:rsidRDefault="00065632" w:rsidP="0016673A">
      <w:r>
        <w:t>In the chapter, the Contractor proposes specific parameters of the instrument and the implementation arrangement which is suitable for IROP conditions. The proposed form of the loan financial instrument and subsequently the proposals and recommendations with regard to the implementation structure were consistently verified by the Contractor in relation to the existing mandatory constraints, mainly associated with the wording of the Common Provisions Regulation, implementing regulations, methodological guidelines and, last but not least, valid rules for state aid.</w:t>
      </w:r>
    </w:p>
    <w:p w:rsidR="00065632" w:rsidRPr="009543FA" w:rsidRDefault="00065632" w:rsidP="00CC231F">
      <w:pPr>
        <w:rPr>
          <w:b/>
          <w:bCs/>
        </w:rPr>
      </w:pPr>
      <w:r>
        <w:rPr>
          <w:b/>
          <w:bCs/>
        </w:rPr>
        <w:t>Recommendations for future set-up of the financial instrument recommended by the Contractor reflects known conditions at the time of the ex-ante assessment preparation – the validity and suitability of application of instruments in the recommended form must be further verified by the managing authority and, where applicable, specified through active communication with relevant interest groups also after the end of the ex-ante assessment.</w:t>
      </w:r>
    </w:p>
    <w:p w:rsidR="00065632" w:rsidRDefault="00065632" w:rsidP="0016673A">
      <w:r>
        <w:t>The proposal part of the ex-ante assessment brought adjustments of parameters in the original form of the instrument as presented under block A of the Project—the changes reflect the need to accommodate the associated limitations of rules and they are a reflection of discussions with representatives of relevant interest groups. The draft proposal of the instrument design strives for a functional set-up, which will suit the needs, aims and possibilities of the managing authority as well as the needs, aims and possibilities motivating co-financing entities and, most importantly, final beneficiaries.</w:t>
      </w:r>
    </w:p>
    <w:p w:rsidR="00065632" w:rsidRDefault="00065632" w:rsidP="0016673A">
      <w:r>
        <w:t xml:space="preserve">The Contractor suggests to earmark allocation which is designed to support projects under </w:t>
      </w:r>
      <w:r>
        <w:rPr>
          <w:b/>
          <w:bCs/>
        </w:rPr>
        <w:t>specific objective 2.5 Reduction in energy consumption in the housing sector for the use of the financial instrument</w:t>
      </w:r>
      <w:r>
        <w:t xml:space="preserve"> (after subtracting a </w:t>
      </w:r>
      <w:r>
        <w:lastRenderedPageBreak/>
        <w:t xml:space="preserve">part for subsidy support to prioritized areas). Taking into account positive experience with the functioning of support for monitored projects through JESSICA in the current period and with regard to the existing good experience with a similar approach in other Member States of the European Union, the Contractor suggests </w:t>
      </w:r>
      <w:r>
        <w:rPr>
          <w:b/>
          <w:bCs/>
        </w:rPr>
        <w:t>using a loan instrument</w:t>
      </w:r>
      <w:r>
        <w:t xml:space="preserve">. The proposal of the instrument design is a synthesis of use of best practice in the CR and abroad, applied lessons learnt within the JESSICA programme, functioning of the national aid scheme PANEL and foreign programmes to support renovation of housing. The Contractor lists, in the respective parts of the ex-ante assessment, also alternative approaches to the instrument design as well as the implementation arrangement. </w:t>
      </w:r>
    </w:p>
    <w:p w:rsidR="00065632" w:rsidRPr="00A825E5" w:rsidRDefault="00065632" w:rsidP="0016673A">
      <w:pPr>
        <w:rPr>
          <w:b/>
          <w:bCs/>
        </w:rPr>
      </w:pPr>
      <w:r>
        <w:rPr>
          <w:b/>
          <w:bCs/>
        </w:rPr>
        <w:t xml:space="preserve">All the listed variants are described in a similar level of detail, thus allowing the IROP MA to decide to implement different variants than those recommended by the ex-ante assessment. </w:t>
      </w:r>
    </w:p>
    <w:p w:rsidR="00065632" w:rsidRDefault="00065632" w:rsidP="0016673A">
      <w:r>
        <w:t xml:space="preserve">Moreover, the Contractor notes that the success of the objective to allocate IROP funds totalling to almost VZK 17 billion through a relatively new loan form of aid must be accompanied by a massive information campaign and it must be ensured that the instrument is suitably complemented and interrelated with other existing and pending forms of support in the same or related area. </w:t>
      </w:r>
    </w:p>
    <w:p w:rsidR="00065632" w:rsidRDefault="00065632" w:rsidP="0016673A">
      <w:r>
        <w:t>As regards the information campaign, its early launch is crucial so that raising of awareness about the possibility of IROP support for residential buildings precedes the actual commencement of aid drawing and, furthermore, to make it clearly and easily interpretable that a financial instrument is an attractive product, i.e. state aid provided by it is substantial assistance in the case of investment in the monitored area (this should be interpreted through a similar instrument such as a calculator, which will provide applicant with a clear quantification of the benefits of the project implementation for the applicant).</w:t>
      </w:r>
    </w:p>
    <w:p w:rsidR="00065632" w:rsidRDefault="00065632">
      <w:r>
        <w:t>The following executive card summarizes the basic design of the financial instrument within the IROP – variant No. 1.</w:t>
      </w:r>
    </w:p>
    <w:p w:rsidR="00065632" w:rsidRDefault="00065632">
      <w:pPr>
        <w:sectPr w:rsidR="00065632" w:rsidSect="0056686E">
          <w:headerReference w:type="default" r:id="rId13"/>
          <w:pgSz w:w="11907" w:h="16839" w:code="9"/>
          <w:pgMar w:top="720" w:right="720" w:bottom="720" w:left="720" w:header="709" w:footer="709" w:gutter="0"/>
          <w:paperSrc w:first="15" w:other="15"/>
          <w:cols w:space="708"/>
          <w:docGrid w:linePitch="360"/>
        </w:sectPr>
      </w:pPr>
      <w:r>
        <w:t xml:space="preserve">.  </w:t>
      </w:r>
    </w:p>
    <w:p w:rsidR="00065632" w:rsidRDefault="00560258" w:rsidP="0097463A">
      <w:r>
        <w:rPr>
          <w:noProof/>
          <w:lang w:val="cs-CZ" w:eastAsia="cs-CZ"/>
        </w:rPr>
        <w:lastRenderedPageBreak/>
        <w:drawing>
          <wp:inline distT="0" distB="0" distL="0" distR="0">
            <wp:extent cx="14220825" cy="8943975"/>
            <wp:effectExtent l="0" t="0" r="9525" b="9525"/>
            <wp:docPr id="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4220825" cy="8943975"/>
                    </a:xfrm>
                    <a:prstGeom prst="rect">
                      <a:avLst/>
                    </a:prstGeom>
                    <a:noFill/>
                    <a:ln>
                      <a:noFill/>
                    </a:ln>
                  </pic:spPr>
                </pic:pic>
              </a:graphicData>
            </a:graphic>
          </wp:inline>
        </w:drawing>
      </w:r>
    </w:p>
    <w:p w:rsidR="00065632" w:rsidRDefault="00065632" w:rsidP="00257BEB"/>
    <w:p w:rsidR="00065632" w:rsidRDefault="00065632" w:rsidP="00257BEB"/>
    <w:p w:rsidR="00065632" w:rsidRPr="0057251F" w:rsidRDefault="00065632" w:rsidP="00912E5D"/>
    <w:p w:rsidR="00065632" w:rsidRPr="0057251F" w:rsidRDefault="00065632" w:rsidP="00912E5D"/>
    <w:p w:rsidR="00065632" w:rsidRPr="00912E5D" w:rsidRDefault="00065632" w:rsidP="00912E5D">
      <w:pPr>
        <w:rPr>
          <w:highlight w:val="yellow"/>
        </w:rPr>
      </w:pPr>
      <w:r w:rsidRPr="00912E5D">
        <w:rPr>
          <w:highlight w:val="yellow"/>
        </w:rPr>
        <w:t>Executive card: Reduction in energy consumption in the housing sector (specific objective 2.5) – jointly provided loan instrument</w:t>
      </w:r>
    </w:p>
    <w:p w:rsidR="00065632" w:rsidRPr="00912E5D" w:rsidRDefault="00065632" w:rsidP="00912E5D">
      <w:pPr>
        <w:rPr>
          <w:highlight w:val="yellow"/>
        </w:rPr>
      </w:pPr>
    </w:p>
    <w:p w:rsidR="00065632" w:rsidRPr="00912E5D" w:rsidRDefault="00065632" w:rsidP="00912E5D">
      <w:pPr>
        <w:rPr>
          <w:highlight w:val="yellow"/>
        </w:rPr>
      </w:pPr>
      <w:r w:rsidRPr="00912E5D">
        <w:rPr>
          <w:highlight w:val="yellow"/>
        </w:rPr>
        <w:t>Specific objective characteristics</w:t>
      </w:r>
    </w:p>
    <w:p w:rsidR="00065632" w:rsidRPr="00912E5D" w:rsidRDefault="00065632" w:rsidP="00065632">
      <w:pPr>
        <w:numPr>
          <w:ilvl w:val="0"/>
          <w:numId w:val="66"/>
        </w:numPr>
        <w:spacing w:after="0"/>
        <w:jc w:val="left"/>
        <w:rPr>
          <w:highlight w:val="yellow"/>
        </w:rPr>
      </w:pPr>
      <w:r w:rsidRPr="00912E5D">
        <w:rPr>
          <w:highlight w:val="yellow"/>
        </w:rPr>
        <w:t>Purpose of the aid: reduction in energy consumption by improving insulation properties of buildings; devices for heating or preparation of hot water; shift to economical, environmentally friendly resources</w:t>
      </w:r>
    </w:p>
    <w:p w:rsidR="00065632" w:rsidRPr="00912E5D" w:rsidRDefault="00065632" w:rsidP="00065632">
      <w:pPr>
        <w:numPr>
          <w:ilvl w:val="0"/>
          <w:numId w:val="66"/>
        </w:numPr>
        <w:spacing w:after="0"/>
        <w:jc w:val="left"/>
        <w:rPr>
          <w:highlight w:val="yellow"/>
        </w:rPr>
      </w:pPr>
      <w:r w:rsidRPr="00912E5D">
        <w:rPr>
          <w:b/>
          <w:bCs/>
          <w:highlight w:val="yellow"/>
        </w:rPr>
        <w:t>Allocation: CZK 16,816 million</w:t>
      </w:r>
      <w:r w:rsidRPr="00912E5D">
        <w:rPr>
          <w:highlight w:val="yellow"/>
        </w:rPr>
        <w:t xml:space="preserve"> (allocation of SO 2.5) – 100% drawing through a soft loan, only above-standard benefits can be subsidized</w:t>
      </w:r>
    </w:p>
    <w:p w:rsidR="00065632" w:rsidRPr="00912E5D" w:rsidRDefault="00065632" w:rsidP="00065632">
      <w:pPr>
        <w:numPr>
          <w:ilvl w:val="0"/>
          <w:numId w:val="66"/>
        </w:numPr>
        <w:spacing w:after="0"/>
        <w:jc w:val="left"/>
        <w:rPr>
          <w:highlight w:val="yellow"/>
        </w:rPr>
      </w:pPr>
      <w:r w:rsidRPr="00912E5D">
        <w:rPr>
          <w:highlight w:val="yellow"/>
        </w:rPr>
        <w:t>Final beneficiaries: owners of residential buildings and associations of apartment owners – buildings with four and more apartments</w:t>
      </w:r>
    </w:p>
    <w:p w:rsidR="00065632" w:rsidRPr="00912E5D" w:rsidRDefault="00065632" w:rsidP="00912E5D">
      <w:pPr>
        <w:rPr>
          <w:highlight w:val="yellow"/>
        </w:rPr>
      </w:pPr>
    </w:p>
    <w:p w:rsidR="00065632" w:rsidRPr="00912E5D" w:rsidRDefault="00065632" w:rsidP="00912E5D">
      <w:pPr>
        <w:rPr>
          <w:highlight w:val="yellow"/>
        </w:rPr>
      </w:pPr>
      <w:r w:rsidRPr="00912E5D">
        <w:rPr>
          <w:highlight w:val="yellow"/>
        </w:rPr>
        <w:t>Why a financial instrument (and not subsidy)?</w:t>
      </w:r>
    </w:p>
    <w:p w:rsidR="00065632" w:rsidRPr="00912E5D" w:rsidRDefault="00065632" w:rsidP="00065632">
      <w:pPr>
        <w:numPr>
          <w:ilvl w:val="0"/>
          <w:numId w:val="67"/>
        </w:numPr>
        <w:spacing w:after="0"/>
        <w:jc w:val="left"/>
        <w:rPr>
          <w:highlight w:val="yellow"/>
        </w:rPr>
      </w:pPr>
      <w:r w:rsidRPr="00912E5D">
        <w:rPr>
          <w:highlight w:val="yellow"/>
        </w:rPr>
        <w:t xml:space="preserve">The investment need (the recommended standard in all not yet revitalised residential buildings) </w:t>
      </w:r>
      <w:r w:rsidRPr="00912E5D">
        <w:rPr>
          <w:b/>
          <w:bCs/>
          <w:highlight w:val="yellow"/>
        </w:rPr>
        <w:t xml:space="preserve">is up to CZK 302 billion </w:t>
      </w:r>
      <w:r w:rsidRPr="00912E5D">
        <w:rPr>
          <w:highlight w:val="yellow"/>
        </w:rPr>
        <w:t xml:space="preserve">(according to a study by </w:t>
      </w:r>
      <w:proofErr w:type="spellStart"/>
      <w:r w:rsidRPr="00912E5D">
        <w:rPr>
          <w:highlight w:val="yellow"/>
        </w:rPr>
        <w:t>Šance</w:t>
      </w:r>
      <w:proofErr w:type="spellEnd"/>
      <w:r w:rsidRPr="00912E5D">
        <w:rPr>
          <w:highlight w:val="yellow"/>
        </w:rPr>
        <w:t xml:space="preserve"> pro </w:t>
      </w:r>
      <w:proofErr w:type="spellStart"/>
      <w:r w:rsidRPr="00912E5D">
        <w:rPr>
          <w:highlight w:val="yellow"/>
        </w:rPr>
        <w:t>budovy</w:t>
      </w:r>
      <w:proofErr w:type="spellEnd"/>
      <w:r w:rsidRPr="00912E5D">
        <w:rPr>
          <w:highlight w:val="yellow"/>
        </w:rPr>
        <w:t xml:space="preserve">), </w:t>
      </w:r>
      <w:r w:rsidRPr="00912E5D">
        <w:rPr>
          <w:b/>
          <w:bCs/>
          <w:highlight w:val="yellow"/>
        </w:rPr>
        <w:t>up to CZK 680 billion</w:t>
      </w:r>
      <w:r w:rsidRPr="00912E5D">
        <w:rPr>
          <w:highlight w:val="yellow"/>
        </w:rPr>
        <w:t xml:space="preserve"> (internal survey by SFHD) or </w:t>
      </w:r>
      <w:r w:rsidRPr="00912E5D">
        <w:rPr>
          <w:b/>
          <w:bCs/>
          <w:highlight w:val="yellow"/>
        </w:rPr>
        <w:t xml:space="preserve">up to CZK 432 billion </w:t>
      </w:r>
      <w:r w:rsidRPr="00912E5D">
        <w:rPr>
          <w:highlight w:val="yellow"/>
        </w:rPr>
        <w:t>(SCMBD's own modelling)</w:t>
      </w:r>
    </w:p>
    <w:p w:rsidR="00065632" w:rsidRPr="00912E5D" w:rsidRDefault="00065632" w:rsidP="00065632">
      <w:pPr>
        <w:numPr>
          <w:ilvl w:val="0"/>
          <w:numId w:val="67"/>
        </w:numPr>
        <w:spacing w:after="0"/>
        <w:jc w:val="left"/>
        <w:rPr>
          <w:highlight w:val="yellow"/>
        </w:rPr>
      </w:pPr>
      <w:r w:rsidRPr="00912E5D">
        <w:rPr>
          <w:highlight w:val="yellow"/>
        </w:rPr>
        <w:t xml:space="preserve">Significant part of the quantified investment need (or the absorption capacity) exhibits market failure – </w:t>
      </w:r>
      <w:r w:rsidRPr="00912E5D">
        <w:rPr>
          <w:b/>
          <w:bCs/>
          <w:highlight w:val="yellow"/>
        </w:rPr>
        <w:t>limitations of market financing are as follows</w:t>
      </w:r>
      <w:r w:rsidRPr="00912E5D">
        <w:rPr>
          <w:highlight w:val="yellow"/>
        </w:rPr>
        <w:t>: issue of split incentives; issue of higher number of entities with decision-making right; insufficient information about the potential economic effect of measure implementation; insecurity associated with changes in energy prices; time preferences; issue of high transaction costs.</w:t>
      </w:r>
    </w:p>
    <w:p w:rsidR="00065632" w:rsidRPr="00912E5D" w:rsidRDefault="00065632" w:rsidP="00065632">
      <w:pPr>
        <w:numPr>
          <w:ilvl w:val="0"/>
          <w:numId w:val="67"/>
        </w:numPr>
        <w:spacing w:after="0"/>
        <w:jc w:val="left"/>
        <w:rPr>
          <w:highlight w:val="yellow"/>
        </w:rPr>
      </w:pPr>
      <w:r w:rsidRPr="00912E5D">
        <w:rPr>
          <w:b/>
          <w:bCs/>
          <w:highlight w:val="yellow"/>
        </w:rPr>
        <w:t>Projects are profitable</w:t>
      </w:r>
      <w:r w:rsidRPr="00912E5D">
        <w:rPr>
          <w:highlight w:val="yellow"/>
        </w:rPr>
        <w:t xml:space="preserve"> – investments generate back cash flows, which pay back the investment cost for the life of the investment (positive payback period) – up to 54% of projects can repay the initial investment within 10 years, up to 33% of projects repay the initial investment within 11–15 years (according to the questionnaire survey, the payback period of a similar investment is 12.2 years).</w:t>
      </w:r>
    </w:p>
    <w:p w:rsidR="00065632" w:rsidRPr="00912E5D" w:rsidRDefault="00065632" w:rsidP="00065632">
      <w:pPr>
        <w:numPr>
          <w:ilvl w:val="0"/>
          <w:numId w:val="67"/>
        </w:numPr>
        <w:spacing w:after="0"/>
        <w:jc w:val="left"/>
        <w:rPr>
          <w:highlight w:val="yellow"/>
        </w:rPr>
      </w:pPr>
      <w:proofErr w:type="gramStart"/>
      <w:r w:rsidRPr="00912E5D">
        <w:rPr>
          <w:b/>
          <w:bCs/>
          <w:highlight w:val="yellow"/>
        </w:rPr>
        <w:t>Interest by the target group</w:t>
      </w:r>
      <w:r w:rsidRPr="00912E5D">
        <w:rPr>
          <w:highlight w:val="yellow"/>
        </w:rPr>
        <w:t xml:space="preserve"> – </w:t>
      </w:r>
      <w:r w:rsidRPr="00912E5D">
        <w:rPr>
          <w:b/>
          <w:bCs/>
          <w:highlight w:val="yellow"/>
        </w:rPr>
        <w:t>55% of respondents</w:t>
      </w:r>
      <w:r w:rsidRPr="00912E5D">
        <w:rPr>
          <w:highlight w:val="yellow"/>
        </w:rPr>
        <w:t xml:space="preserve"> were</w:t>
      </w:r>
      <w:proofErr w:type="gramEnd"/>
      <w:r w:rsidRPr="00912E5D">
        <w:rPr>
          <w:highlight w:val="yellow"/>
        </w:rPr>
        <w:t xml:space="preserve"> interested in a soft loan and </w:t>
      </w:r>
      <w:r w:rsidRPr="00912E5D">
        <w:rPr>
          <w:b/>
          <w:bCs/>
          <w:highlight w:val="yellow"/>
        </w:rPr>
        <w:t>89% in case of combination of a soft loan with a subsidy component</w:t>
      </w:r>
      <w:r w:rsidRPr="00912E5D">
        <w:rPr>
          <w:highlight w:val="yellow"/>
        </w:rPr>
        <w:t>; the interest is confirmed by experience with the use of the JESSICA and PANEL programmes.</w:t>
      </w:r>
    </w:p>
    <w:p w:rsidR="00065632" w:rsidRPr="00912E5D" w:rsidRDefault="00065632" w:rsidP="00912E5D">
      <w:pPr>
        <w:rPr>
          <w:highlight w:val="yellow"/>
        </w:rPr>
      </w:pPr>
    </w:p>
    <w:p w:rsidR="00065632" w:rsidRPr="00912E5D" w:rsidRDefault="00065632" w:rsidP="00912E5D">
      <w:pPr>
        <w:rPr>
          <w:highlight w:val="yellow"/>
        </w:rPr>
      </w:pPr>
      <w:r w:rsidRPr="00912E5D">
        <w:rPr>
          <w:highlight w:val="yellow"/>
        </w:rPr>
        <w:t xml:space="preserve">How will the financial instrument work? </w:t>
      </w:r>
    </w:p>
    <w:p w:rsidR="00065632" w:rsidRPr="00912E5D" w:rsidRDefault="00065632" w:rsidP="00912E5D">
      <w:pPr>
        <w:rPr>
          <w:highlight w:val="yellow"/>
        </w:rPr>
      </w:pPr>
    </w:p>
    <w:p w:rsidR="00065632" w:rsidRPr="00912E5D" w:rsidRDefault="00065632" w:rsidP="00912E5D">
      <w:pPr>
        <w:rPr>
          <w:highlight w:val="yellow"/>
        </w:rPr>
      </w:pPr>
      <w:r w:rsidRPr="00912E5D">
        <w:rPr>
          <w:highlight w:val="yellow"/>
        </w:rPr>
        <w:t>Documentation flow (application, contract)</w:t>
      </w:r>
    </w:p>
    <w:p w:rsidR="00065632" w:rsidRPr="00912E5D" w:rsidRDefault="00065632" w:rsidP="00912E5D">
      <w:pPr>
        <w:rPr>
          <w:highlight w:val="yellow"/>
        </w:rPr>
      </w:pPr>
      <w:r w:rsidRPr="00912E5D">
        <w:rPr>
          <w:highlight w:val="yellow"/>
        </w:rPr>
        <w:t>Financial flows – final beneficiary</w:t>
      </w:r>
    </w:p>
    <w:p w:rsidR="00065632" w:rsidRPr="00912E5D" w:rsidRDefault="00065632" w:rsidP="00912E5D">
      <w:pPr>
        <w:rPr>
          <w:highlight w:val="yellow"/>
        </w:rPr>
      </w:pPr>
      <w:r w:rsidRPr="00912E5D">
        <w:rPr>
          <w:highlight w:val="yellow"/>
        </w:rPr>
        <w:t>Financial flows – payback of provided funds</w:t>
      </w:r>
    </w:p>
    <w:p w:rsidR="00065632" w:rsidRPr="00912E5D" w:rsidRDefault="00065632" w:rsidP="00912E5D">
      <w:pPr>
        <w:rPr>
          <w:highlight w:val="yellow"/>
        </w:rPr>
      </w:pPr>
    </w:p>
    <w:p w:rsidR="00065632" w:rsidRPr="00912E5D" w:rsidRDefault="00065632" w:rsidP="00912E5D">
      <w:pPr>
        <w:rPr>
          <w:highlight w:val="yellow"/>
        </w:rPr>
      </w:pPr>
    </w:p>
    <w:p w:rsidR="00065632" w:rsidRPr="00912E5D" w:rsidRDefault="00065632" w:rsidP="00912E5D">
      <w:pPr>
        <w:rPr>
          <w:highlight w:val="yellow"/>
        </w:rPr>
      </w:pPr>
    </w:p>
    <w:p w:rsidR="00065632" w:rsidRPr="00912E5D" w:rsidRDefault="00065632" w:rsidP="00912E5D">
      <w:pPr>
        <w:rPr>
          <w:highlight w:val="yellow"/>
        </w:rPr>
      </w:pPr>
    </w:p>
    <w:p w:rsidR="00065632" w:rsidRPr="00912E5D" w:rsidRDefault="00065632" w:rsidP="00912E5D">
      <w:pPr>
        <w:rPr>
          <w:highlight w:val="yellow"/>
        </w:rPr>
      </w:pPr>
      <w:r w:rsidRPr="00912E5D">
        <w:rPr>
          <w:highlight w:val="yellow"/>
        </w:rPr>
        <w:t>Risk sharing: first piece loss 10%</w:t>
      </w:r>
    </w:p>
    <w:p w:rsidR="00065632" w:rsidRPr="00912E5D" w:rsidRDefault="00065632" w:rsidP="00912E5D">
      <w:pPr>
        <w:rPr>
          <w:highlight w:val="yellow"/>
        </w:rPr>
      </w:pPr>
      <w:r w:rsidRPr="00912E5D">
        <w:rPr>
          <w:highlight w:val="yellow"/>
        </w:rPr>
        <w:t>ENERGETIKA fund</w:t>
      </w:r>
    </w:p>
    <w:p w:rsidR="00065632" w:rsidRPr="00912E5D" w:rsidRDefault="00065632" w:rsidP="00065632">
      <w:pPr>
        <w:numPr>
          <w:ilvl w:val="0"/>
          <w:numId w:val="68"/>
        </w:numPr>
        <w:spacing w:after="0"/>
        <w:jc w:val="left"/>
        <w:rPr>
          <w:highlight w:val="yellow"/>
        </w:rPr>
      </w:pPr>
      <w:r w:rsidRPr="00912E5D">
        <w:rPr>
          <w:highlight w:val="yellow"/>
        </w:rPr>
        <w:t>Contribution of 50% of funds</w:t>
      </w:r>
    </w:p>
    <w:p w:rsidR="00065632" w:rsidRPr="00912E5D" w:rsidRDefault="00065632" w:rsidP="00065632">
      <w:pPr>
        <w:numPr>
          <w:ilvl w:val="0"/>
          <w:numId w:val="68"/>
        </w:numPr>
        <w:spacing w:after="0"/>
        <w:jc w:val="left"/>
        <w:rPr>
          <w:highlight w:val="yellow"/>
        </w:rPr>
      </w:pPr>
      <w:r w:rsidRPr="00912E5D">
        <w:rPr>
          <w:highlight w:val="yellow"/>
        </w:rPr>
        <w:t>Interest rate 0.5%</w:t>
      </w:r>
    </w:p>
    <w:p w:rsidR="00065632" w:rsidRPr="00912E5D" w:rsidRDefault="00065632" w:rsidP="00912E5D">
      <w:pPr>
        <w:rPr>
          <w:highlight w:val="yellow"/>
        </w:rPr>
      </w:pPr>
    </w:p>
    <w:p w:rsidR="00065632" w:rsidRPr="00912E5D" w:rsidRDefault="00065632" w:rsidP="00912E5D">
      <w:pPr>
        <w:rPr>
          <w:highlight w:val="yellow"/>
        </w:rPr>
      </w:pPr>
      <w:r w:rsidRPr="00912E5D">
        <w:rPr>
          <w:highlight w:val="yellow"/>
        </w:rPr>
        <w:t>Co-financing entities</w:t>
      </w:r>
    </w:p>
    <w:p w:rsidR="00065632" w:rsidRPr="00912E5D" w:rsidRDefault="00065632" w:rsidP="00065632">
      <w:pPr>
        <w:numPr>
          <w:ilvl w:val="0"/>
          <w:numId w:val="68"/>
        </w:numPr>
        <w:spacing w:after="0"/>
        <w:jc w:val="left"/>
        <w:rPr>
          <w:highlight w:val="yellow"/>
        </w:rPr>
      </w:pPr>
      <w:r w:rsidRPr="00912E5D">
        <w:rPr>
          <w:highlight w:val="yellow"/>
        </w:rPr>
        <w:t>Contribution of 50% of funds</w:t>
      </w:r>
    </w:p>
    <w:p w:rsidR="00065632" w:rsidRPr="00912E5D" w:rsidRDefault="00065632" w:rsidP="00065632">
      <w:pPr>
        <w:numPr>
          <w:ilvl w:val="0"/>
          <w:numId w:val="68"/>
        </w:numPr>
        <w:spacing w:after="0"/>
        <w:jc w:val="left"/>
        <w:rPr>
          <w:highlight w:val="yellow"/>
        </w:rPr>
      </w:pPr>
      <w:r w:rsidRPr="00912E5D">
        <w:rPr>
          <w:highlight w:val="yellow"/>
        </w:rPr>
        <w:t>Interest rate 2.5%</w:t>
      </w:r>
    </w:p>
    <w:p w:rsidR="00065632" w:rsidRPr="00912E5D" w:rsidRDefault="00065632" w:rsidP="00912E5D">
      <w:pPr>
        <w:rPr>
          <w:highlight w:val="yellow"/>
        </w:rPr>
      </w:pPr>
    </w:p>
    <w:p w:rsidR="00065632" w:rsidRPr="00912E5D" w:rsidRDefault="00065632" w:rsidP="00912E5D">
      <w:pPr>
        <w:rPr>
          <w:highlight w:val="yellow"/>
        </w:rPr>
      </w:pPr>
    </w:p>
    <w:p w:rsidR="00065632" w:rsidRPr="00912E5D" w:rsidRDefault="00065632" w:rsidP="00912E5D">
      <w:pPr>
        <w:rPr>
          <w:highlight w:val="yellow"/>
        </w:rPr>
      </w:pPr>
      <w:r w:rsidRPr="00912E5D">
        <w:rPr>
          <w:highlight w:val="yellow"/>
        </w:rPr>
        <w:t>Financing of the investment project</w:t>
      </w:r>
    </w:p>
    <w:p w:rsidR="00065632" w:rsidRPr="00912E5D" w:rsidRDefault="00065632" w:rsidP="00912E5D">
      <w:pPr>
        <w:rPr>
          <w:highlight w:val="yellow"/>
        </w:rPr>
      </w:pPr>
      <w:r w:rsidRPr="00912E5D">
        <w:rPr>
          <w:highlight w:val="yellow"/>
        </w:rPr>
        <w:t>Interest rate 1.5%</w:t>
      </w:r>
    </w:p>
    <w:p w:rsidR="00065632" w:rsidRPr="00912E5D" w:rsidRDefault="00065632" w:rsidP="00912E5D">
      <w:pPr>
        <w:rPr>
          <w:highlight w:val="yellow"/>
        </w:rPr>
      </w:pPr>
    </w:p>
    <w:p w:rsidR="00065632" w:rsidRPr="00912E5D" w:rsidRDefault="00065632" w:rsidP="00912E5D">
      <w:pPr>
        <w:rPr>
          <w:highlight w:val="yellow"/>
        </w:rPr>
      </w:pPr>
    </w:p>
    <w:p w:rsidR="00065632" w:rsidRPr="00912E5D" w:rsidRDefault="00065632" w:rsidP="00912E5D">
      <w:pPr>
        <w:rPr>
          <w:highlight w:val="yellow"/>
        </w:rPr>
      </w:pPr>
      <w:r w:rsidRPr="00912E5D">
        <w:rPr>
          <w:highlight w:val="yellow"/>
        </w:rPr>
        <w:t>APPLICANT’S OWN RESOURCES</w:t>
      </w:r>
    </w:p>
    <w:p w:rsidR="00065632" w:rsidRPr="00912E5D" w:rsidRDefault="00065632" w:rsidP="00912E5D">
      <w:pPr>
        <w:rPr>
          <w:highlight w:val="yellow"/>
        </w:rPr>
      </w:pPr>
      <w:r w:rsidRPr="00912E5D">
        <w:rPr>
          <w:highlight w:val="yellow"/>
        </w:rPr>
        <w:t xml:space="preserve">PANEL+ or JESSICA + </w:t>
      </w:r>
    </w:p>
    <w:p w:rsidR="00065632" w:rsidRPr="00912E5D" w:rsidRDefault="00065632" w:rsidP="00912E5D">
      <w:pPr>
        <w:rPr>
          <w:highlight w:val="yellow"/>
        </w:rPr>
      </w:pPr>
      <w:r w:rsidRPr="00912E5D">
        <w:rPr>
          <w:highlight w:val="yellow"/>
        </w:rPr>
        <w:t>FINANCIAL INSTITUTION</w:t>
      </w:r>
    </w:p>
    <w:p w:rsidR="00065632" w:rsidRPr="00912E5D" w:rsidRDefault="00065632" w:rsidP="00912E5D">
      <w:pPr>
        <w:rPr>
          <w:highlight w:val="yellow"/>
        </w:rPr>
      </w:pPr>
    </w:p>
    <w:p w:rsidR="00065632" w:rsidRPr="00912E5D" w:rsidRDefault="00065632" w:rsidP="00912E5D">
      <w:pPr>
        <w:rPr>
          <w:highlight w:val="yellow"/>
        </w:rPr>
      </w:pPr>
      <w:r w:rsidRPr="00912E5D">
        <w:rPr>
          <w:highlight w:val="yellow"/>
        </w:rPr>
        <w:t>Projects of residential buildings revitalisation</w:t>
      </w:r>
    </w:p>
    <w:p w:rsidR="00065632" w:rsidRPr="00912E5D" w:rsidRDefault="00065632" w:rsidP="00912E5D">
      <w:pPr>
        <w:rPr>
          <w:highlight w:val="yellow"/>
        </w:rPr>
      </w:pPr>
    </w:p>
    <w:p w:rsidR="00065632" w:rsidRPr="00912E5D" w:rsidRDefault="00065632" w:rsidP="00912E5D">
      <w:pPr>
        <w:rPr>
          <w:highlight w:val="yellow"/>
        </w:rPr>
      </w:pPr>
    </w:p>
    <w:p w:rsidR="00065632" w:rsidRPr="00912E5D" w:rsidRDefault="00065632" w:rsidP="00912E5D">
      <w:pPr>
        <w:rPr>
          <w:highlight w:val="yellow"/>
        </w:rPr>
      </w:pPr>
    </w:p>
    <w:p w:rsidR="00065632" w:rsidRPr="00912E5D" w:rsidRDefault="00065632" w:rsidP="00912E5D">
      <w:pPr>
        <w:rPr>
          <w:highlight w:val="yellow"/>
        </w:rPr>
      </w:pPr>
    </w:p>
    <w:p w:rsidR="00065632" w:rsidRPr="00912E5D" w:rsidRDefault="00065632" w:rsidP="00912E5D">
      <w:pPr>
        <w:rPr>
          <w:highlight w:val="yellow"/>
        </w:rPr>
      </w:pPr>
      <w:r w:rsidRPr="00912E5D">
        <w:rPr>
          <w:highlight w:val="yellow"/>
        </w:rPr>
        <w:t>Explanatory notes on the diagram of model functioning</w:t>
      </w:r>
    </w:p>
    <w:p w:rsidR="00065632" w:rsidRPr="00912E5D" w:rsidRDefault="00065632" w:rsidP="00912E5D">
      <w:pPr>
        <w:rPr>
          <w:highlight w:val="yellow"/>
        </w:rPr>
      </w:pPr>
      <w:r w:rsidRPr="00912E5D">
        <w:rPr>
          <w:highlight w:val="yellow"/>
        </w:rPr>
        <w:t>1 Loan application with a financial institution, assessment, proposal of co-financing and interest rate</w:t>
      </w:r>
    </w:p>
    <w:p w:rsidR="00065632" w:rsidRPr="00912E5D" w:rsidRDefault="00065632" w:rsidP="00912E5D">
      <w:pPr>
        <w:rPr>
          <w:highlight w:val="yellow"/>
        </w:rPr>
      </w:pPr>
      <w:r w:rsidRPr="00912E5D">
        <w:rPr>
          <w:highlight w:val="yellow"/>
        </w:rPr>
        <w:t>2 Assessment by the Fund, check and calculation of GGE, evaluation of entitlement to the subsidy component</w:t>
      </w:r>
    </w:p>
    <w:p w:rsidR="00065632" w:rsidRPr="00912E5D" w:rsidRDefault="00065632" w:rsidP="00912E5D">
      <w:pPr>
        <w:rPr>
          <w:highlight w:val="yellow"/>
        </w:rPr>
      </w:pPr>
      <w:r w:rsidRPr="00912E5D">
        <w:rPr>
          <w:highlight w:val="yellow"/>
        </w:rPr>
        <w:t xml:space="preserve">3 Agreement </w:t>
      </w:r>
      <w:proofErr w:type="gramStart"/>
      <w:r w:rsidRPr="00912E5D">
        <w:rPr>
          <w:highlight w:val="yellow"/>
        </w:rPr>
        <w:t>conclusion</w:t>
      </w:r>
      <w:proofErr w:type="gramEnd"/>
      <w:r w:rsidRPr="00912E5D">
        <w:rPr>
          <w:highlight w:val="yellow"/>
        </w:rPr>
        <w:t xml:space="preserve"> with the financial institution</w:t>
      </w:r>
    </w:p>
    <w:p w:rsidR="00065632" w:rsidRPr="00912E5D" w:rsidRDefault="00065632" w:rsidP="00912E5D">
      <w:pPr>
        <w:rPr>
          <w:highlight w:val="yellow"/>
        </w:rPr>
      </w:pPr>
      <w:r w:rsidRPr="00912E5D">
        <w:rPr>
          <w:highlight w:val="yellow"/>
        </w:rPr>
        <w:t xml:space="preserve">4 Agreement </w:t>
      </w:r>
      <w:proofErr w:type="gramStart"/>
      <w:r w:rsidRPr="00912E5D">
        <w:rPr>
          <w:highlight w:val="yellow"/>
        </w:rPr>
        <w:t>conclusion</w:t>
      </w:r>
      <w:proofErr w:type="gramEnd"/>
      <w:r w:rsidRPr="00912E5D">
        <w:rPr>
          <w:highlight w:val="yellow"/>
        </w:rPr>
        <w:t xml:space="preserve"> with the beneficiary</w:t>
      </w:r>
    </w:p>
    <w:p w:rsidR="00065632" w:rsidRPr="00912E5D" w:rsidRDefault="00065632" w:rsidP="00912E5D">
      <w:pPr>
        <w:rPr>
          <w:highlight w:val="yellow"/>
        </w:rPr>
      </w:pPr>
      <w:r w:rsidRPr="00912E5D">
        <w:rPr>
          <w:highlight w:val="yellow"/>
        </w:rPr>
        <w:t>5 Delivery of a copy of the contractual relationship with the beneficiary</w:t>
      </w:r>
    </w:p>
    <w:p w:rsidR="00065632" w:rsidRPr="00912E5D" w:rsidRDefault="00065632" w:rsidP="00912E5D">
      <w:pPr>
        <w:rPr>
          <w:highlight w:val="yellow"/>
        </w:rPr>
      </w:pPr>
      <w:r w:rsidRPr="00912E5D">
        <w:rPr>
          <w:highlight w:val="yellow"/>
        </w:rPr>
        <w:t xml:space="preserve">6 Release of the respective tranches of funds according to the agreed share in co-financing of the project </w:t>
      </w:r>
    </w:p>
    <w:p w:rsidR="00065632" w:rsidRPr="00912E5D" w:rsidRDefault="00065632" w:rsidP="00912E5D">
      <w:pPr>
        <w:rPr>
          <w:highlight w:val="yellow"/>
        </w:rPr>
      </w:pPr>
      <w:r w:rsidRPr="00912E5D">
        <w:rPr>
          <w:highlight w:val="yellow"/>
        </w:rPr>
        <w:t>7 Release of the respective tranches of funds according to contractual arrangements</w:t>
      </w:r>
    </w:p>
    <w:p w:rsidR="00065632" w:rsidRPr="00912E5D" w:rsidRDefault="00065632" w:rsidP="00912E5D">
      <w:pPr>
        <w:rPr>
          <w:highlight w:val="yellow"/>
        </w:rPr>
      </w:pPr>
      <w:r w:rsidRPr="00912E5D">
        <w:rPr>
          <w:highlight w:val="yellow"/>
        </w:rPr>
        <w:t>8 Supplementation of the resources of the applicant, bank or a complementary programme for ineligible expenditure</w:t>
      </w:r>
    </w:p>
    <w:p w:rsidR="00065632" w:rsidRPr="00912E5D" w:rsidRDefault="00065632" w:rsidP="00912E5D">
      <w:pPr>
        <w:rPr>
          <w:highlight w:val="yellow"/>
        </w:rPr>
      </w:pPr>
      <w:r w:rsidRPr="00912E5D">
        <w:rPr>
          <w:highlight w:val="yellow"/>
        </w:rPr>
        <w:t xml:space="preserve">9 Regular </w:t>
      </w:r>
      <w:proofErr w:type="gramStart"/>
      <w:r w:rsidRPr="00912E5D">
        <w:rPr>
          <w:highlight w:val="yellow"/>
        </w:rPr>
        <w:t>payment</w:t>
      </w:r>
      <w:proofErr w:type="gramEnd"/>
      <w:r w:rsidRPr="00912E5D">
        <w:rPr>
          <w:highlight w:val="yellow"/>
        </w:rPr>
        <w:t xml:space="preserve"> of the interest and the principal of the provided soft loan</w:t>
      </w:r>
    </w:p>
    <w:p w:rsidR="00065632" w:rsidRPr="00912E5D" w:rsidRDefault="00065632" w:rsidP="00912E5D">
      <w:pPr>
        <w:rPr>
          <w:highlight w:val="yellow"/>
        </w:rPr>
      </w:pPr>
      <w:r w:rsidRPr="00912E5D">
        <w:rPr>
          <w:highlight w:val="yellow"/>
        </w:rPr>
        <w:t>10 Clearing operations—breakdown of the received funds into the share of the financial institution and the Fund</w:t>
      </w:r>
    </w:p>
    <w:p w:rsidR="00065632" w:rsidRPr="00912E5D" w:rsidRDefault="00065632" w:rsidP="00912E5D">
      <w:pPr>
        <w:rPr>
          <w:highlight w:val="yellow"/>
        </w:rPr>
      </w:pPr>
    </w:p>
    <w:p w:rsidR="00065632" w:rsidRPr="00912E5D" w:rsidRDefault="00065632" w:rsidP="00912E5D">
      <w:pPr>
        <w:rPr>
          <w:highlight w:val="yellow"/>
        </w:rPr>
      </w:pPr>
    </w:p>
    <w:p w:rsidR="00065632" w:rsidRPr="00912E5D" w:rsidRDefault="00065632" w:rsidP="00912E5D">
      <w:pPr>
        <w:rPr>
          <w:highlight w:val="yellow"/>
        </w:rPr>
      </w:pPr>
      <w:r w:rsidRPr="00912E5D">
        <w:rPr>
          <w:highlight w:val="yellow"/>
        </w:rPr>
        <w:t xml:space="preserve">What will the FI mean to the managing authority? </w:t>
      </w:r>
    </w:p>
    <w:p w:rsidR="00065632" w:rsidRPr="00912E5D" w:rsidRDefault="00065632" w:rsidP="00065632">
      <w:pPr>
        <w:numPr>
          <w:ilvl w:val="0"/>
          <w:numId w:val="69"/>
        </w:numPr>
        <w:spacing w:after="0"/>
        <w:jc w:val="left"/>
        <w:rPr>
          <w:highlight w:val="yellow"/>
        </w:rPr>
      </w:pPr>
      <w:r w:rsidRPr="00912E5D">
        <w:rPr>
          <w:b/>
          <w:bCs/>
          <w:highlight w:val="yellow"/>
        </w:rPr>
        <w:t>A higher number of supported projects</w:t>
      </w:r>
      <w:r w:rsidRPr="00912E5D">
        <w:rPr>
          <w:highlight w:val="yellow"/>
        </w:rPr>
        <w:t>, a possibility of a major reduction in the identified market failure</w:t>
      </w:r>
    </w:p>
    <w:p w:rsidR="00065632" w:rsidRPr="00912E5D" w:rsidRDefault="00065632" w:rsidP="00065632">
      <w:pPr>
        <w:numPr>
          <w:ilvl w:val="0"/>
          <w:numId w:val="69"/>
        </w:numPr>
        <w:spacing w:after="0"/>
        <w:jc w:val="left"/>
        <w:rPr>
          <w:highlight w:val="yellow"/>
        </w:rPr>
      </w:pPr>
      <w:r w:rsidRPr="00912E5D">
        <w:rPr>
          <w:b/>
          <w:bCs/>
          <w:highlight w:val="yellow"/>
        </w:rPr>
        <w:t>A higher rate of percentage support for the applicant</w:t>
      </w:r>
      <w:r w:rsidRPr="00912E5D">
        <w:rPr>
          <w:highlight w:val="yellow"/>
        </w:rPr>
        <w:t xml:space="preserve"> using </w:t>
      </w:r>
      <w:r w:rsidRPr="00912E5D">
        <w:rPr>
          <w:b/>
          <w:bCs/>
          <w:highlight w:val="yellow"/>
        </w:rPr>
        <w:t xml:space="preserve">less IROP funds </w:t>
      </w:r>
      <w:r w:rsidRPr="00912E5D">
        <w:rPr>
          <w:highlight w:val="yellow"/>
        </w:rPr>
        <w:t>(leverage)</w:t>
      </w:r>
    </w:p>
    <w:p w:rsidR="00065632" w:rsidRPr="00912E5D" w:rsidRDefault="00065632" w:rsidP="00065632">
      <w:pPr>
        <w:numPr>
          <w:ilvl w:val="0"/>
          <w:numId w:val="69"/>
        </w:numPr>
        <w:spacing w:after="0"/>
        <w:jc w:val="left"/>
        <w:rPr>
          <w:highlight w:val="yellow"/>
        </w:rPr>
      </w:pPr>
      <w:r w:rsidRPr="00912E5D">
        <w:rPr>
          <w:b/>
          <w:bCs/>
          <w:highlight w:val="yellow"/>
        </w:rPr>
        <w:t>Availability of funds after the end of the programming period</w:t>
      </w:r>
    </w:p>
    <w:p w:rsidR="00065632" w:rsidRPr="00912E5D" w:rsidRDefault="00065632" w:rsidP="00065632">
      <w:pPr>
        <w:numPr>
          <w:ilvl w:val="0"/>
          <w:numId w:val="69"/>
        </w:numPr>
        <w:spacing w:after="0"/>
        <w:jc w:val="left"/>
        <w:rPr>
          <w:highlight w:val="yellow"/>
        </w:rPr>
      </w:pPr>
      <w:r w:rsidRPr="00912E5D">
        <w:rPr>
          <w:highlight w:val="yellow"/>
        </w:rPr>
        <w:t xml:space="preserve">In re-investing returned funds after full implementation of the allocation, the </w:t>
      </w:r>
      <w:r w:rsidRPr="00912E5D">
        <w:rPr>
          <w:b/>
          <w:bCs/>
          <w:highlight w:val="yellow"/>
        </w:rPr>
        <w:t>volume of investment resources from the IROP may be increased by CZK 3,986 billion - i.e. increase in drawing by 23.7%</w:t>
      </w:r>
    </w:p>
    <w:p w:rsidR="00065632" w:rsidRPr="00912E5D" w:rsidRDefault="00065632" w:rsidP="00912E5D">
      <w:pPr>
        <w:rPr>
          <w:b/>
          <w:bCs/>
          <w:highlight w:val="yellow"/>
        </w:rPr>
      </w:pPr>
    </w:p>
    <w:p w:rsidR="00065632" w:rsidRPr="00912E5D" w:rsidRDefault="00065632" w:rsidP="00912E5D">
      <w:pPr>
        <w:rPr>
          <w:highlight w:val="yellow"/>
        </w:rPr>
      </w:pPr>
      <w:r w:rsidRPr="00912E5D">
        <w:rPr>
          <w:highlight w:val="yellow"/>
        </w:rPr>
        <w:t>FI from the beneficiary's point of view</w:t>
      </w:r>
    </w:p>
    <w:p w:rsidR="00065632" w:rsidRPr="00912E5D" w:rsidRDefault="00065632" w:rsidP="00065632">
      <w:pPr>
        <w:numPr>
          <w:ilvl w:val="0"/>
          <w:numId w:val="70"/>
        </w:numPr>
        <w:spacing w:after="0"/>
        <w:jc w:val="left"/>
        <w:rPr>
          <w:highlight w:val="yellow"/>
        </w:rPr>
      </w:pPr>
      <w:r w:rsidRPr="00912E5D">
        <w:rPr>
          <w:b/>
          <w:bCs/>
          <w:highlight w:val="yellow"/>
        </w:rPr>
        <w:t xml:space="preserve">Arrangement of the entire financing in 1 place </w:t>
      </w:r>
      <w:r w:rsidRPr="00912E5D">
        <w:rPr>
          <w:highlight w:val="yellow"/>
        </w:rPr>
        <w:t>(up to 100% of eligible expenditure)</w:t>
      </w:r>
    </w:p>
    <w:p w:rsidR="00065632" w:rsidRPr="00912E5D" w:rsidRDefault="00065632" w:rsidP="00065632">
      <w:pPr>
        <w:numPr>
          <w:ilvl w:val="0"/>
          <w:numId w:val="70"/>
        </w:numPr>
        <w:spacing w:after="0"/>
        <w:jc w:val="left"/>
        <w:rPr>
          <w:highlight w:val="yellow"/>
        </w:rPr>
      </w:pPr>
      <w:r w:rsidRPr="00912E5D">
        <w:rPr>
          <w:b/>
          <w:bCs/>
          <w:highlight w:val="yellow"/>
        </w:rPr>
        <w:t>Lower demands on co-financing</w:t>
      </w:r>
    </w:p>
    <w:p w:rsidR="00065632" w:rsidRPr="00912E5D" w:rsidRDefault="00065632" w:rsidP="00065632">
      <w:pPr>
        <w:numPr>
          <w:ilvl w:val="0"/>
          <w:numId w:val="70"/>
        </w:numPr>
        <w:spacing w:after="0"/>
        <w:jc w:val="left"/>
        <w:rPr>
          <w:highlight w:val="yellow"/>
        </w:rPr>
      </w:pPr>
      <w:r w:rsidRPr="00912E5D">
        <w:rPr>
          <w:b/>
          <w:bCs/>
          <w:highlight w:val="yellow"/>
        </w:rPr>
        <w:t xml:space="preserve">More favourable interest rate </w:t>
      </w:r>
      <w:r w:rsidRPr="00912E5D">
        <w:rPr>
          <w:highlight w:val="yellow"/>
        </w:rPr>
        <w:t>than in ordinary bank loans</w:t>
      </w:r>
    </w:p>
    <w:p w:rsidR="00065632" w:rsidRPr="00912E5D" w:rsidRDefault="00065632" w:rsidP="00065632">
      <w:pPr>
        <w:numPr>
          <w:ilvl w:val="0"/>
          <w:numId w:val="70"/>
        </w:numPr>
        <w:spacing w:after="0"/>
        <w:jc w:val="left"/>
        <w:rPr>
          <w:highlight w:val="yellow"/>
        </w:rPr>
      </w:pPr>
      <w:r w:rsidRPr="00912E5D">
        <w:rPr>
          <w:b/>
          <w:bCs/>
          <w:highlight w:val="yellow"/>
        </w:rPr>
        <w:t>Fixation of the interest rate for the entire payback period</w:t>
      </w:r>
    </w:p>
    <w:p w:rsidR="00065632" w:rsidRPr="00912E5D" w:rsidRDefault="00065632" w:rsidP="00912E5D">
      <w:pPr>
        <w:rPr>
          <w:b/>
          <w:bCs/>
          <w:highlight w:val="yellow"/>
        </w:rPr>
      </w:pPr>
    </w:p>
    <w:tbl>
      <w:tblPr>
        <w:tblStyle w:val="Mkatabulky"/>
        <w:tblW w:w="0" w:type="auto"/>
        <w:tblInd w:w="-108" w:type="dxa"/>
        <w:tblLook w:val="01E0" w:firstRow="1" w:lastRow="1" w:firstColumn="1" w:lastColumn="1" w:noHBand="0" w:noVBand="0"/>
      </w:tblPr>
      <w:tblGrid>
        <w:gridCol w:w="1842"/>
        <w:gridCol w:w="1842"/>
        <w:gridCol w:w="1842"/>
        <w:gridCol w:w="1843"/>
        <w:gridCol w:w="1843"/>
      </w:tblGrid>
      <w:tr w:rsidR="00065632" w:rsidRPr="00912E5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2" w:type="dxa"/>
          </w:tcPr>
          <w:p w:rsidR="00065632" w:rsidRPr="00912E5D" w:rsidRDefault="00065632" w:rsidP="00912E5D">
            <w:pPr>
              <w:rPr>
                <w:highlight w:val="yellow"/>
              </w:rPr>
            </w:pPr>
            <w:r w:rsidRPr="00912E5D">
              <w:rPr>
                <w:highlight w:val="yellow"/>
              </w:rPr>
              <w:t>Model example</w:t>
            </w:r>
          </w:p>
        </w:tc>
        <w:tc>
          <w:tcPr>
            <w:tcW w:w="7370" w:type="dxa"/>
            <w:gridSpan w:val="4"/>
          </w:tcPr>
          <w:p w:rsidR="00065632" w:rsidRPr="00912E5D" w:rsidRDefault="00065632" w:rsidP="00912E5D">
            <w:pPr>
              <w:jc w:val="right"/>
              <w:cnfStyle w:val="100000000000" w:firstRow="1" w:lastRow="0" w:firstColumn="0" w:lastColumn="0" w:oddVBand="0" w:evenVBand="0" w:oddHBand="0" w:evenHBand="0" w:firstRowFirstColumn="0" w:firstRowLastColumn="0" w:lastRowFirstColumn="0" w:lastRowLastColumn="0"/>
              <w:rPr>
                <w:highlight w:val="yellow"/>
              </w:rPr>
            </w:pPr>
            <w:r w:rsidRPr="00912E5D">
              <w:rPr>
                <w:highlight w:val="yellow"/>
              </w:rPr>
              <w:t>Investment: CZK 4,700,000</w:t>
            </w:r>
          </w:p>
          <w:p w:rsidR="00065632" w:rsidRPr="00912E5D" w:rsidRDefault="00065632" w:rsidP="00912E5D">
            <w:pPr>
              <w:jc w:val="right"/>
              <w:cnfStyle w:val="100000000000" w:firstRow="1" w:lastRow="0" w:firstColumn="0" w:lastColumn="0" w:oddVBand="0" w:evenVBand="0" w:oddHBand="0" w:evenHBand="0" w:firstRowFirstColumn="0" w:firstRowLastColumn="0" w:lastRowFirstColumn="0" w:lastRowLastColumn="0"/>
              <w:rPr>
                <w:highlight w:val="yellow"/>
              </w:rPr>
            </w:pPr>
            <w:r w:rsidRPr="00912E5D">
              <w:rPr>
                <w:highlight w:val="yellow"/>
              </w:rPr>
              <w:t>Annual operating income/savings: CZK 408,696</w:t>
            </w:r>
          </w:p>
          <w:p w:rsidR="00065632" w:rsidRPr="00912E5D" w:rsidRDefault="00065632" w:rsidP="00912E5D">
            <w:pPr>
              <w:jc w:val="right"/>
              <w:cnfStyle w:val="100000000000" w:firstRow="1" w:lastRow="0" w:firstColumn="0" w:lastColumn="0" w:oddVBand="0" w:evenVBand="0" w:oddHBand="0" w:evenHBand="0" w:firstRowFirstColumn="0" w:firstRowLastColumn="0" w:lastRowFirstColumn="0" w:lastRowLastColumn="0"/>
              <w:rPr>
                <w:highlight w:val="yellow"/>
              </w:rPr>
            </w:pPr>
            <w:r w:rsidRPr="00912E5D">
              <w:rPr>
                <w:highlight w:val="yellow"/>
              </w:rPr>
              <w:t>Commercial loan - interest rate: 3.0%</w:t>
            </w:r>
          </w:p>
          <w:p w:rsidR="00065632" w:rsidRPr="00912E5D" w:rsidRDefault="00065632" w:rsidP="00912E5D">
            <w:pPr>
              <w:jc w:val="right"/>
              <w:cnfStyle w:val="100000000000" w:firstRow="1" w:lastRow="0" w:firstColumn="0" w:lastColumn="0" w:oddVBand="0" w:evenVBand="0" w:oddHBand="0" w:evenHBand="0" w:firstRowFirstColumn="0" w:firstRowLastColumn="0" w:lastRowFirstColumn="0" w:lastRowLastColumn="0"/>
              <w:rPr>
                <w:highlight w:val="yellow"/>
              </w:rPr>
            </w:pPr>
            <w:r w:rsidRPr="00912E5D">
              <w:rPr>
                <w:highlight w:val="yellow"/>
              </w:rPr>
              <w:t>Soft loan – interest rate: 1.5%</w:t>
            </w:r>
          </w:p>
        </w:tc>
      </w:tr>
      <w:tr w:rsidR="00065632" w:rsidRPr="00912E5D">
        <w:tc>
          <w:tcPr>
            <w:cnfStyle w:val="001000000000" w:firstRow="0" w:lastRow="0" w:firstColumn="1" w:lastColumn="0" w:oddVBand="0" w:evenVBand="0" w:oddHBand="0" w:evenHBand="0" w:firstRowFirstColumn="0" w:firstRowLastColumn="0" w:lastRowFirstColumn="0" w:lastRowLastColumn="0"/>
            <w:tcW w:w="1842" w:type="dxa"/>
          </w:tcPr>
          <w:p w:rsidR="00065632" w:rsidRPr="00912E5D" w:rsidRDefault="00065632" w:rsidP="00912E5D">
            <w:pPr>
              <w:rPr>
                <w:highlight w:val="yellow"/>
              </w:rPr>
            </w:pPr>
          </w:p>
        </w:tc>
        <w:tc>
          <w:tcPr>
            <w:tcW w:w="1842" w:type="dxa"/>
          </w:tcPr>
          <w:p w:rsidR="00065632" w:rsidRPr="00912E5D" w:rsidRDefault="00065632" w:rsidP="00912E5D">
            <w:pPr>
              <w:cnfStyle w:val="000000000000" w:firstRow="0" w:lastRow="0" w:firstColumn="0" w:lastColumn="0" w:oddVBand="0" w:evenVBand="0" w:oddHBand="0" w:evenHBand="0" w:firstRowFirstColumn="0" w:firstRowLastColumn="0" w:lastRowFirstColumn="0" w:lastRowLastColumn="0"/>
              <w:rPr>
                <w:highlight w:val="yellow"/>
              </w:rPr>
            </w:pPr>
            <w:r w:rsidRPr="00912E5D">
              <w:rPr>
                <w:highlight w:val="yellow"/>
              </w:rPr>
              <w:t>100% market loan</w:t>
            </w:r>
          </w:p>
        </w:tc>
        <w:tc>
          <w:tcPr>
            <w:tcW w:w="1842" w:type="dxa"/>
          </w:tcPr>
          <w:p w:rsidR="00065632" w:rsidRPr="00912E5D" w:rsidRDefault="00065632" w:rsidP="00912E5D">
            <w:pPr>
              <w:cnfStyle w:val="000000000000" w:firstRow="0" w:lastRow="0" w:firstColumn="0" w:lastColumn="0" w:oddVBand="0" w:evenVBand="0" w:oddHBand="0" w:evenHBand="0" w:firstRowFirstColumn="0" w:firstRowLastColumn="0" w:lastRowFirstColumn="0" w:lastRowLastColumn="0"/>
              <w:rPr>
                <w:highlight w:val="yellow"/>
              </w:rPr>
            </w:pPr>
            <w:r w:rsidRPr="00912E5D">
              <w:rPr>
                <w:highlight w:val="yellow"/>
              </w:rPr>
              <w:t>50% market loan, 50% subsidy</w:t>
            </w:r>
          </w:p>
        </w:tc>
        <w:tc>
          <w:tcPr>
            <w:tcW w:w="1843" w:type="dxa"/>
          </w:tcPr>
          <w:p w:rsidR="00065632" w:rsidRPr="00912E5D" w:rsidRDefault="00065632" w:rsidP="00912E5D">
            <w:pPr>
              <w:cnfStyle w:val="000000000000" w:firstRow="0" w:lastRow="0" w:firstColumn="0" w:lastColumn="0" w:oddVBand="0" w:evenVBand="0" w:oddHBand="0" w:evenHBand="0" w:firstRowFirstColumn="0" w:firstRowLastColumn="0" w:lastRowFirstColumn="0" w:lastRowLastColumn="0"/>
              <w:rPr>
                <w:highlight w:val="yellow"/>
              </w:rPr>
            </w:pPr>
            <w:r w:rsidRPr="00912E5D">
              <w:rPr>
                <w:highlight w:val="yellow"/>
              </w:rPr>
              <w:t>40% subsidy, 60% soft loan</w:t>
            </w:r>
          </w:p>
        </w:tc>
        <w:tc>
          <w:tcPr>
            <w:tcW w:w="1843" w:type="dxa"/>
          </w:tcPr>
          <w:p w:rsidR="00065632" w:rsidRPr="00912E5D" w:rsidRDefault="00065632" w:rsidP="00912E5D">
            <w:pPr>
              <w:cnfStyle w:val="000000000000" w:firstRow="0" w:lastRow="0" w:firstColumn="0" w:lastColumn="0" w:oddVBand="0" w:evenVBand="0" w:oddHBand="0" w:evenHBand="0" w:firstRowFirstColumn="0" w:firstRowLastColumn="0" w:lastRowFirstColumn="0" w:lastRowLastColumn="0"/>
              <w:rPr>
                <w:highlight w:val="yellow"/>
              </w:rPr>
            </w:pPr>
            <w:r w:rsidRPr="00912E5D">
              <w:rPr>
                <w:highlight w:val="yellow"/>
              </w:rPr>
              <w:t>100% soft loan</w:t>
            </w:r>
          </w:p>
        </w:tc>
      </w:tr>
      <w:tr w:rsidR="00065632" w:rsidRPr="00912E5D">
        <w:tc>
          <w:tcPr>
            <w:cnfStyle w:val="001000000000" w:firstRow="0" w:lastRow="0" w:firstColumn="1" w:lastColumn="0" w:oddVBand="0" w:evenVBand="0" w:oddHBand="0" w:evenHBand="0" w:firstRowFirstColumn="0" w:firstRowLastColumn="0" w:lastRowFirstColumn="0" w:lastRowLastColumn="0"/>
            <w:tcW w:w="1842" w:type="dxa"/>
          </w:tcPr>
          <w:p w:rsidR="00065632" w:rsidRPr="00912E5D" w:rsidRDefault="00065632" w:rsidP="00912E5D">
            <w:pPr>
              <w:rPr>
                <w:highlight w:val="yellow"/>
              </w:rPr>
            </w:pPr>
            <w:r w:rsidRPr="00912E5D">
              <w:rPr>
                <w:highlight w:val="yellow"/>
              </w:rPr>
              <w:t>IRR</w:t>
            </w:r>
          </w:p>
        </w:tc>
        <w:tc>
          <w:tcPr>
            <w:tcW w:w="1842" w:type="dxa"/>
          </w:tcPr>
          <w:p w:rsidR="00065632" w:rsidRPr="00912E5D" w:rsidRDefault="00065632" w:rsidP="00912E5D">
            <w:pPr>
              <w:cnfStyle w:val="000000000000" w:firstRow="0" w:lastRow="0" w:firstColumn="0" w:lastColumn="0" w:oddVBand="0" w:evenVBand="0" w:oddHBand="0" w:evenHBand="0" w:firstRowFirstColumn="0" w:firstRowLastColumn="0" w:lastRowFirstColumn="0" w:lastRowLastColumn="0"/>
              <w:rPr>
                <w:highlight w:val="yellow"/>
              </w:rPr>
            </w:pPr>
            <w:r w:rsidRPr="00912E5D">
              <w:rPr>
                <w:highlight w:val="yellow"/>
              </w:rPr>
              <w:t>5.97%</w:t>
            </w:r>
          </w:p>
        </w:tc>
        <w:tc>
          <w:tcPr>
            <w:tcW w:w="1842" w:type="dxa"/>
          </w:tcPr>
          <w:p w:rsidR="00065632" w:rsidRPr="00912E5D" w:rsidRDefault="00065632" w:rsidP="00912E5D">
            <w:pPr>
              <w:cnfStyle w:val="000000000000" w:firstRow="0" w:lastRow="0" w:firstColumn="0" w:lastColumn="0" w:oddVBand="0" w:evenVBand="0" w:oddHBand="0" w:evenHBand="0" w:firstRowFirstColumn="0" w:firstRowLastColumn="0" w:lastRowFirstColumn="0" w:lastRowLastColumn="0"/>
              <w:rPr>
                <w:highlight w:val="yellow"/>
              </w:rPr>
            </w:pPr>
            <w:r w:rsidRPr="00912E5D">
              <w:rPr>
                <w:highlight w:val="yellow"/>
              </w:rPr>
              <w:t>16.58%</w:t>
            </w:r>
          </w:p>
        </w:tc>
        <w:tc>
          <w:tcPr>
            <w:tcW w:w="1843" w:type="dxa"/>
          </w:tcPr>
          <w:p w:rsidR="00065632" w:rsidRPr="00912E5D" w:rsidRDefault="00065632" w:rsidP="00912E5D">
            <w:pPr>
              <w:cnfStyle w:val="000000000000" w:firstRow="0" w:lastRow="0" w:firstColumn="0" w:lastColumn="0" w:oddVBand="0" w:evenVBand="0" w:oddHBand="0" w:evenHBand="0" w:firstRowFirstColumn="0" w:firstRowLastColumn="0" w:lastRowFirstColumn="0" w:lastRowLastColumn="0"/>
              <w:rPr>
                <w:highlight w:val="yellow"/>
              </w:rPr>
            </w:pPr>
            <w:r w:rsidRPr="00912E5D">
              <w:rPr>
                <w:highlight w:val="yellow"/>
              </w:rPr>
              <w:t>13.30%</w:t>
            </w:r>
          </w:p>
        </w:tc>
        <w:tc>
          <w:tcPr>
            <w:tcW w:w="1843" w:type="dxa"/>
          </w:tcPr>
          <w:p w:rsidR="00065632" w:rsidRPr="00912E5D" w:rsidRDefault="00065632" w:rsidP="00912E5D">
            <w:pPr>
              <w:cnfStyle w:val="000000000000" w:firstRow="0" w:lastRow="0" w:firstColumn="0" w:lastColumn="0" w:oddVBand="0" w:evenVBand="0" w:oddHBand="0" w:evenHBand="0" w:firstRowFirstColumn="0" w:firstRowLastColumn="0" w:lastRowFirstColumn="0" w:lastRowLastColumn="0"/>
              <w:rPr>
                <w:highlight w:val="yellow"/>
              </w:rPr>
            </w:pPr>
            <w:r w:rsidRPr="00912E5D">
              <w:rPr>
                <w:highlight w:val="yellow"/>
              </w:rPr>
              <w:t>5.97%</w:t>
            </w:r>
          </w:p>
        </w:tc>
      </w:tr>
      <w:tr w:rsidR="00065632" w:rsidRPr="00912E5D">
        <w:tc>
          <w:tcPr>
            <w:cnfStyle w:val="001000000000" w:firstRow="0" w:lastRow="0" w:firstColumn="1" w:lastColumn="0" w:oddVBand="0" w:evenVBand="0" w:oddHBand="0" w:evenHBand="0" w:firstRowFirstColumn="0" w:firstRowLastColumn="0" w:lastRowFirstColumn="0" w:lastRowLastColumn="0"/>
            <w:tcW w:w="1842" w:type="dxa"/>
          </w:tcPr>
          <w:p w:rsidR="00065632" w:rsidRPr="00912E5D" w:rsidRDefault="00065632" w:rsidP="00912E5D">
            <w:pPr>
              <w:rPr>
                <w:highlight w:val="yellow"/>
              </w:rPr>
            </w:pPr>
            <w:r w:rsidRPr="00912E5D">
              <w:rPr>
                <w:highlight w:val="yellow"/>
              </w:rPr>
              <w:t>Net present value (CZK)</w:t>
            </w:r>
          </w:p>
        </w:tc>
        <w:tc>
          <w:tcPr>
            <w:tcW w:w="1842" w:type="dxa"/>
          </w:tcPr>
          <w:p w:rsidR="00065632" w:rsidRPr="00912E5D" w:rsidRDefault="00065632" w:rsidP="00912E5D">
            <w:pPr>
              <w:cnfStyle w:val="000000000000" w:firstRow="0" w:lastRow="0" w:firstColumn="0" w:lastColumn="0" w:oddVBand="0" w:evenVBand="0" w:oddHBand="0" w:evenHBand="0" w:firstRowFirstColumn="0" w:firstRowLastColumn="0" w:lastRowFirstColumn="0" w:lastRowLastColumn="0"/>
              <w:rPr>
                <w:highlight w:val="yellow"/>
              </w:rPr>
            </w:pPr>
            <w:r w:rsidRPr="00912E5D">
              <w:rPr>
                <w:highlight w:val="yellow"/>
              </w:rPr>
              <w:t>1,340,160</w:t>
            </w:r>
          </w:p>
        </w:tc>
        <w:tc>
          <w:tcPr>
            <w:tcW w:w="1842" w:type="dxa"/>
          </w:tcPr>
          <w:p w:rsidR="00065632" w:rsidRPr="00912E5D" w:rsidRDefault="00065632" w:rsidP="00912E5D">
            <w:pPr>
              <w:cnfStyle w:val="000000000000" w:firstRow="0" w:lastRow="0" w:firstColumn="0" w:lastColumn="0" w:oddVBand="0" w:evenVBand="0" w:oddHBand="0" w:evenHBand="0" w:firstRowFirstColumn="0" w:firstRowLastColumn="0" w:lastRowFirstColumn="0" w:lastRowLastColumn="0"/>
              <w:rPr>
                <w:highlight w:val="yellow"/>
              </w:rPr>
            </w:pPr>
            <w:r w:rsidRPr="00912E5D">
              <w:rPr>
                <w:highlight w:val="yellow"/>
              </w:rPr>
              <w:t>3,621,713</w:t>
            </w:r>
          </w:p>
        </w:tc>
        <w:tc>
          <w:tcPr>
            <w:tcW w:w="1843" w:type="dxa"/>
          </w:tcPr>
          <w:p w:rsidR="00065632" w:rsidRPr="00912E5D" w:rsidRDefault="00065632" w:rsidP="00912E5D">
            <w:pPr>
              <w:cnfStyle w:val="000000000000" w:firstRow="0" w:lastRow="0" w:firstColumn="0" w:lastColumn="0" w:oddVBand="0" w:evenVBand="0" w:oddHBand="0" w:evenHBand="0" w:firstRowFirstColumn="0" w:firstRowLastColumn="0" w:lastRowFirstColumn="0" w:lastRowLastColumn="0"/>
              <w:rPr>
                <w:highlight w:val="yellow"/>
              </w:rPr>
            </w:pPr>
            <w:r w:rsidRPr="00912E5D">
              <w:rPr>
                <w:highlight w:val="yellow"/>
              </w:rPr>
              <w:t>4,134,733</w:t>
            </w:r>
          </w:p>
        </w:tc>
        <w:tc>
          <w:tcPr>
            <w:tcW w:w="1843" w:type="dxa"/>
          </w:tcPr>
          <w:p w:rsidR="00065632" w:rsidRPr="00912E5D" w:rsidRDefault="00065632" w:rsidP="00912E5D">
            <w:pPr>
              <w:cnfStyle w:val="000000000000" w:firstRow="0" w:lastRow="0" w:firstColumn="0" w:lastColumn="0" w:oddVBand="0" w:evenVBand="0" w:oddHBand="0" w:evenHBand="0" w:firstRowFirstColumn="0" w:firstRowLastColumn="0" w:lastRowFirstColumn="0" w:lastRowLastColumn="0"/>
              <w:rPr>
                <w:highlight w:val="yellow"/>
              </w:rPr>
            </w:pPr>
            <w:r w:rsidRPr="00912E5D">
              <w:rPr>
                <w:highlight w:val="yellow"/>
              </w:rPr>
              <w:t>2,282,516</w:t>
            </w:r>
          </w:p>
        </w:tc>
      </w:tr>
      <w:tr w:rsidR="00065632" w:rsidRPr="00912E5D">
        <w:tc>
          <w:tcPr>
            <w:cnfStyle w:val="001000000000" w:firstRow="0" w:lastRow="0" w:firstColumn="1" w:lastColumn="0" w:oddVBand="0" w:evenVBand="0" w:oddHBand="0" w:evenHBand="0" w:firstRowFirstColumn="0" w:firstRowLastColumn="0" w:lastRowFirstColumn="0" w:lastRowLastColumn="0"/>
            <w:tcW w:w="1842" w:type="dxa"/>
          </w:tcPr>
          <w:p w:rsidR="00065632" w:rsidRPr="00912E5D" w:rsidRDefault="00065632" w:rsidP="00912E5D">
            <w:pPr>
              <w:rPr>
                <w:highlight w:val="yellow"/>
              </w:rPr>
            </w:pPr>
            <w:r w:rsidRPr="00912E5D">
              <w:rPr>
                <w:highlight w:val="yellow"/>
              </w:rPr>
              <w:t>Simple payback period (years)</w:t>
            </w:r>
          </w:p>
        </w:tc>
        <w:tc>
          <w:tcPr>
            <w:tcW w:w="1842" w:type="dxa"/>
          </w:tcPr>
          <w:p w:rsidR="00065632" w:rsidRPr="00912E5D" w:rsidRDefault="00065632" w:rsidP="00912E5D">
            <w:pPr>
              <w:cnfStyle w:val="000000000000" w:firstRow="0" w:lastRow="0" w:firstColumn="0" w:lastColumn="0" w:oddVBand="0" w:evenVBand="0" w:oddHBand="0" w:evenHBand="0" w:firstRowFirstColumn="0" w:firstRowLastColumn="0" w:lastRowFirstColumn="0" w:lastRowLastColumn="0"/>
              <w:rPr>
                <w:highlight w:val="yellow"/>
              </w:rPr>
            </w:pPr>
            <w:r w:rsidRPr="00912E5D">
              <w:rPr>
                <w:highlight w:val="yellow"/>
              </w:rPr>
              <w:t>11.50</w:t>
            </w:r>
          </w:p>
        </w:tc>
        <w:tc>
          <w:tcPr>
            <w:tcW w:w="1842" w:type="dxa"/>
          </w:tcPr>
          <w:p w:rsidR="00065632" w:rsidRPr="00912E5D" w:rsidRDefault="00065632" w:rsidP="00912E5D">
            <w:pPr>
              <w:cnfStyle w:val="000000000000" w:firstRow="0" w:lastRow="0" w:firstColumn="0" w:lastColumn="0" w:oddVBand="0" w:evenVBand="0" w:oddHBand="0" w:evenHBand="0" w:firstRowFirstColumn="0" w:firstRowLastColumn="0" w:lastRowFirstColumn="0" w:lastRowLastColumn="0"/>
              <w:rPr>
                <w:highlight w:val="yellow"/>
              </w:rPr>
            </w:pPr>
            <w:r w:rsidRPr="00912E5D">
              <w:rPr>
                <w:highlight w:val="yellow"/>
              </w:rPr>
              <w:t>5.75</w:t>
            </w:r>
          </w:p>
        </w:tc>
        <w:tc>
          <w:tcPr>
            <w:tcW w:w="1843" w:type="dxa"/>
          </w:tcPr>
          <w:p w:rsidR="00065632" w:rsidRPr="00912E5D" w:rsidRDefault="00065632" w:rsidP="00912E5D">
            <w:pPr>
              <w:cnfStyle w:val="000000000000" w:firstRow="0" w:lastRow="0" w:firstColumn="0" w:lastColumn="0" w:oddVBand="0" w:evenVBand="0" w:oddHBand="0" w:evenHBand="0" w:firstRowFirstColumn="0" w:firstRowLastColumn="0" w:lastRowFirstColumn="0" w:lastRowLastColumn="0"/>
              <w:rPr>
                <w:highlight w:val="yellow"/>
              </w:rPr>
            </w:pPr>
            <w:r w:rsidRPr="00912E5D">
              <w:rPr>
                <w:highlight w:val="yellow"/>
              </w:rPr>
              <w:t>6.90</w:t>
            </w:r>
          </w:p>
        </w:tc>
        <w:tc>
          <w:tcPr>
            <w:tcW w:w="1843" w:type="dxa"/>
          </w:tcPr>
          <w:p w:rsidR="00065632" w:rsidRPr="00912E5D" w:rsidRDefault="00065632" w:rsidP="00912E5D">
            <w:pPr>
              <w:cnfStyle w:val="000000000000" w:firstRow="0" w:lastRow="0" w:firstColumn="0" w:lastColumn="0" w:oddVBand="0" w:evenVBand="0" w:oddHBand="0" w:evenHBand="0" w:firstRowFirstColumn="0" w:firstRowLastColumn="0" w:lastRowFirstColumn="0" w:lastRowLastColumn="0"/>
              <w:rPr>
                <w:highlight w:val="yellow"/>
              </w:rPr>
            </w:pPr>
            <w:r w:rsidRPr="00912E5D">
              <w:rPr>
                <w:highlight w:val="yellow"/>
              </w:rPr>
              <w:t>11.50</w:t>
            </w:r>
          </w:p>
        </w:tc>
      </w:tr>
      <w:tr w:rsidR="00065632" w:rsidRPr="00912E5D">
        <w:tc>
          <w:tcPr>
            <w:cnfStyle w:val="001000000000" w:firstRow="0" w:lastRow="0" w:firstColumn="1" w:lastColumn="0" w:oddVBand="0" w:evenVBand="0" w:oddHBand="0" w:evenHBand="0" w:firstRowFirstColumn="0" w:firstRowLastColumn="0" w:lastRowFirstColumn="0" w:lastRowLastColumn="0"/>
            <w:tcW w:w="1842" w:type="dxa"/>
          </w:tcPr>
          <w:p w:rsidR="00065632" w:rsidRPr="00912E5D" w:rsidRDefault="00065632" w:rsidP="00912E5D">
            <w:pPr>
              <w:rPr>
                <w:highlight w:val="yellow"/>
              </w:rPr>
            </w:pPr>
            <w:r w:rsidRPr="00912E5D">
              <w:rPr>
                <w:highlight w:val="yellow"/>
              </w:rPr>
              <w:t>Disc. payback period (years)</w:t>
            </w:r>
          </w:p>
        </w:tc>
        <w:tc>
          <w:tcPr>
            <w:tcW w:w="1842" w:type="dxa"/>
          </w:tcPr>
          <w:p w:rsidR="00065632" w:rsidRPr="00912E5D" w:rsidRDefault="00065632" w:rsidP="00912E5D">
            <w:pPr>
              <w:cnfStyle w:val="000000000000" w:firstRow="0" w:lastRow="0" w:firstColumn="0" w:lastColumn="0" w:oddVBand="0" w:evenVBand="0" w:oddHBand="0" w:evenHBand="0" w:firstRowFirstColumn="0" w:firstRowLastColumn="0" w:lastRowFirstColumn="0" w:lastRowLastColumn="0"/>
              <w:rPr>
                <w:highlight w:val="yellow"/>
              </w:rPr>
            </w:pPr>
            <w:r w:rsidRPr="00912E5D">
              <w:rPr>
                <w:highlight w:val="yellow"/>
              </w:rPr>
              <w:t>14.3</w:t>
            </w:r>
          </w:p>
        </w:tc>
        <w:tc>
          <w:tcPr>
            <w:tcW w:w="1842" w:type="dxa"/>
          </w:tcPr>
          <w:p w:rsidR="00065632" w:rsidRPr="00912E5D" w:rsidRDefault="00065632" w:rsidP="00912E5D">
            <w:pPr>
              <w:cnfStyle w:val="000000000000" w:firstRow="0" w:lastRow="0" w:firstColumn="0" w:lastColumn="0" w:oddVBand="0" w:evenVBand="0" w:oddHBand="0" w:evenHBand="0" w:firstRowFirstColumn="0" w:firstRowLastColumn="0" w:lastRowFirstColumn="0" w:lastRowLastColumn="0"/>
              <w:rPr>
                <w:highlight w:val="yellow"/>
              </w:rPr>
            </w:pPr>
            <w:r w:rsidRPr="00912E5D">
              <w:rPr>
                <w:highlight w:val="yellow"/>
              </w:rPr>
              <w:t>6.4</w:t>
            </w:r>
          </w:p>
        </w:tc>
        <w:tc>
          <w:tcPr>
            <w:tcW w:w="1843" w:type="dxa"/>
          </w:tcPr>
          <w:p w:rsidR="00065632" w:rsidRPr="00912E5D" w:rsidRDefault="00065632" w:rsidP="00912E5D">
            <w:pPr>
              <w:cnfStyle w:val="000000000000" w:firstRow="0" w:lastRow="0" w:firstColumn="0" w:lastColumn="0" w:oddVBand="0" w:evenVBand="0" w:oddHBand="0" w:evenHBand="0" w:firstRowFirstColumn="0" w:firstRowLastColumn="0" w:lastRowFirstColumn="0" w:lastRowLastColumn="0"/>
              <w:rPr>
                <w:highlight w:val="yellow"/>
              </w:rPr>
            </w:pPr>
            <w:r w:rsidRPr="00912E5D">
              <w:rPr>
                <w:highlight w:val="yellow"/>
              </w:rPr>
              <w:t>7.3</w:t>
            </w:r>
          </w:p>
        </w:tc>
        <w:tc>
          <w:tcPr>
            <w:tcW w:w="1843" w:type="dxa"/>
          </w:tcPr>
          <w:p w:rsidR="00065632" w:rsidRPr="00912E5D" w:rsidRDefault="00065632" w:rsidP="00912E5D">
            <w:pPr>
              <w:cnfStyle w:val="000000000000" w:firstRow="0" w:lastRow="0" w:firstColumn="0" w:lastColumn="0" w:oddVBand="0" w:evenVBand="0" w:oddHBand="0" w:evenHBand="0" w:firstRowFirstColumn="0" w:firstRowLastColumn="0" w:lastRowFirstColumn="0" w:lastRowLastColumn="0"/>
              <w:rPr>
                <w:highlight w:val="yellow"/>
              </w:rPr>
            </w:pPr>
            <w:r w:rsidRPr="00912E5D">
              <w:rPr>
                <w:highlight w:val="yellow"/>
              </w:rPr>
              <w:t>12.72</w:t>
            </w:r>
          </w:p>
        </w:tc>
      </w:tr>
    </w:tbl>
    <w:p w:rsidR="00065632" w:rsidRPr="00912E5D" w:rsidRDefault="00065632" w:rsidP="00912E5D">
      <w:pPr>
        <w:rPr>
          <w:highlight w:val="yellow"/>
        </w:rPr>
      </w:pPr>
    </w:p>
    <w:p w:rsidR="00065632" w:rsidRPr="00912E5D" w:rsidRDefault="00065632" w:rsidP="00912E5D">
      <w:pPr>
        <w:rPr>
          <w:highlight w:val="yellow"/>
        </w:rPr>
      </w:pPr>
    </w:p>
    <w:p w:rsidR="00065632" w:rsidRPr="00912E5D" w:rsidRDefault="00065632" w:rsidP="00912E5D">
      <w:pPr>
        <w:rPr>
          <w:highlight w:val="yellow"/>
        </w:rPr>
      </w:pPr>
      <w:r w:rsidRPr="00912E5D">
        <w:rPr>
          <w:highlight w:val="yellow"/>
        </w:rPr>
        <w:t xml:space="preserve">Financial results </w:t>
      </w:r>
    </w:p>
    <w:p w:rsidR="00065632" w:rsidRPr="00912E5D" w:rsidRDefault="00065632" w:rsidP="00912E5D">
      <w:pPr>
        <w:rPr>
          <w:highlight w:val="yellow"/>
        </w:rPr>
      </w:pPr>
    </w:p>
    <w:p w:rsidR="00065632" w:rsidRPr="00912E5D" w:rsidRDefault="00065632" w:rsidP="00912E5D">
      <w:pPr>
        <w:rPr>
          <w:highlight w:val="yellow"/>
        </w:rPr>
      </w:pPr>
      <w:r w:rsidRPr="00912E5D">
        <w:rPr>
          <w:highlight w:val="yellow"/>
        </w:rPr>
        <w:t>Revolving of IROP SO 2.5 funds (CZK million)</w:t>
      </w:r>
    </w:p>
    <w:p w:rsidR="00065632" w:rsidRPr="00912E5D" w:rsidRDefault="00065632" w:rsidP="00912E5D">
      <w:pPr>
        <w:rPr>
          <w:highlight w:val="yellow"/>
        </w:rPr>
      </w:pPr>
    </w:p>
    <w:p w:rsidR="00065632" w:rsidRPr="00912E5D" w:rsidRDefault="00065632" w:rsidP="00912E5D">
      <w:pPr>
        <w:rPr>
          <w:highlight w:val="yellow"/>
        </w:rPr>
      </w:pPr>
      <w:r w:rsidRPr="00912E5D">
        <w:rPr>
          <w:highlight w:val="yellow"/>
        </w:rPr>
        <w:t>Revolving of IROP SO 2.5 funds (CZK million) – with securitization</w:t>
      </w:r>
    </w:p>
    <w:p w:rsidR="00065632" w:rsidRPr="00912E5D" w:rsidRDefault="00065632" w:rsidP="00912E5D">
      <w:pPr>
        <w:rPr>
          <w:highlight w:val="yellow"/>
        </w:rPr>
      </w:pPr>
      <w:r w:rsidRPr="00912E5D">
        <w:rPr>
          <w:highlight w:val="yellow"/>
        </w:rPr>
        <w:t>IROP cycle 1</w:t>
      </w:r>
    </w:p>
    <w:p w:rsidR="00065632" w:rsidRPr="00912E5D" w:rsidRDefault="00065632" w:rsidP="00912E5D">
      <w:pPr>
        <w:rPr>
          <w:highlight w:val="yellow"/>
        </w:rPr>
      </w:pPr>
      <w:r w:rsidRPr="00912E5D">
        <w:rPr>
          <w:highlight w:val="yellow"/>
        </w:rPr>
        <w:t>Revolving funds for re-investment</w:t>
      </w:r>
    </w:p>
    <w:p w:rsidR="00065632" w:rsidRPr="00912E5D" w:rsidRDefault="00065632" w:rsidP="00912E5D">
      <w:pPr>
        <w:rPr>
          <w:highlight w:val="yellow"/>
        </w:rPr>
      </w:pPr>
      <w:r w:rsidRPr="00912E5D">
        <w:rPr>
          <w:highlight w:val="yellow"/>
        </w:rPr>
        <w:t>Available IROP funds – revolving</w:t>
      </w:r>
    </w:p>
    <w:p w:rsidR="00065632" w:rsidRPr="00912E5D" w:rsidRDefault="00065632" w:rsidP="00912E5D">
      <w:pPr>
        <w:rPr>
          <w:highlight w:val="yellow"/>
        </w:rPr>
      </w:pPr>
    </w:p>
    <w:p w:rsidR="00065632" w:rsidRPr="00912E5D" w:rsidRDefault="00065632" w:rsidP="00912E5D">
      <w:pPr>
        <w:rPr>
          <w:highlight w:val="yellow"/>
        </w:rPr>
      </w:pPr>
      <w:r w:rsidRPr="00912E5D">
        <w:rPr>
          <w:highlight w:val="yellow"/>
        </w:rPr>
        <w:t xml:space="preserve">Basic parameters of the tool </w:t>
      </w:r>
    </w:p>
    <w:p w:rsidR="00065632" w:rsidRPr="00912E5D" w:rsidRDefault="00065632" w:rsidP="00065632">
      <w:pPr>
        <w:numPr>
          <w:ilvl w:val="0"/>
          <w:numId w:val="71"/>
        </w:numPr>
        <w:spacing w:after="0"/>
        <w:jc w:val="left"/>
        <w:rPr>
          <w:highlight w:val="yellow"/>
        </w:rPr>
      </w:pPr>
      <w:r w:rsidRPr="00912E5D">
        <w:rPr>
          <w:b/>
          <w:bCs/>
          <w:highlight w:val="yellow"/>
        </w:rPr>
        <w:t>Soft loan provided to 100%</w:t>
      </w:r>
      <w:r w:rsidRPr="00912E5D">
        <w:rPr>
          <w:highlight w:val="yellow"/>
        </w:rPr>
        <w:t xml:space="preserve"> of eligible expenditure; </w:t>
      </w:r>
      <w:r w:rsidRPr="00912E5D">
        <w:rPr>
          <w:b/>
          <w:bCs/>
          <w:highlight w:val="yellow"/>
        </w:rPr>
        <w:t>additional granting of subsidy of up to 10% of the share</w:t>
      </w:r>
      <w:r w:rsidRPr="00912E5D">
        <w:rPr>
          <w:highlight w:val="yellow"/>
        </w:rPr>
        <w:t xml:space="preserve"> of involvement of the Fund in the case of above-standard environmental benefits</w:t>
      </w:r>
    </w:p>
    <w:p w:rsidR="00065632" w:rsidRPr="00912E5D" w:rsidRDefault="00065632" w:rsidP="00065632">
      <w:pPr>
        <w:numPr>
          <w:ilvl w:val="0"/>
          <w:numId w:val="71"/>
        </w:numPr>
        <w:spacing w:after="0"/>
        <w:jc w:val="left"/>
        <w:rPr>
          <w:highlight w:val="yellow"/>
        </w:rPr>
      </w:pPr>
      <w:r w:rsidRPr="00912E5D">
        <w:rPr>
          <w:highlight w:val="yellow"/>
        </w:rPr>
        <w:t xml:space="preserve">Loan maturity </w:t>
      </w:r>
      <w:r w:rsidRPr="00912E5D">
        <w:rPr>
          <w:b/>
          <w:bCs/>
          <w:highlight w:val="yellow"/>
        </w:rPr>
        <w:t>up to 20 years</w:t>
      </w:r>
      <w:r w:rsidRPr="00912E5D">
        <w:rPr>
          <w:highlight w:val="yellow"/>
        </w:rPr>
        <w:t>.</w:t>
      </w:r>
    </w:p>
    <w:p w:rsidR="00065632" w:rsidRPr="00912E5D" w:rsidRDefault="00065632" w:rsidP="00065632">
      <w:pPr>
        <w:numPr>
          <w:ilvl w:val="0"/>
          <w:numId w:val="71"/>
        </w:numPr>
        <w:spacing w:after="0"/>
        <w:jc w:val="left"/>
        <w:rPr>
          <w:highlight w:val="yellow"/>
        </w:rPr>
      </w:pPr>
      <w:r w:rsidRPr="00912E5D">
        <w:rPr>
          <w:highlight w:val="yellow"/>
        </w:rPr>
        <w:t xml:space="preserve">Share of financing by IROP x co-financing entities (banks) based on </w:t>
      </w:r>
      <w:r w:rsidRPr="00912E5D">
        <w:rPr>
          <w:b/>
          <w:bCs/>
          <w:highlight w:val="yellow"/>
        </w:rPr>
        <w:t>a contractual arrangement</w:t>
      </w:r>
      <w:r w:rsidRPr="00912E5D">
        <w:rPr>
          <w:highlight w:val="yellow"/>
        </w:rPr>
        <w:t xml:space="preserve"> depending on the required volume of financing and the interest rate - mostly 50:50</w:t>
      </w:r>
    </w:p>
    <w:p w:rsidR="00065632" w:rsidRPr="00912E5D" w:rsidRDefault="00065632" w:rsidP="00065632">
      <w:pPr>
        <w:numPr>
          <w:ilvl w:val="0"/>
          <w:numId w:val="71"/>
        </w:numPr>
        <w:spacing w:after="0"/>
        <w:jc w:val="left"/>
        <w:rPr>
          <w:highlight w:val="yellow"/>
        </w:rPr>
      </w:pPr>
      <w:r w:rsidRPr="00912E5D">
        <w:rPr>
          <w:highlight w:val="yellow"/>
        </w:rPr>
        <w:t xml:space="preserve">Rate depending on the “mixture” of the rate required by the fund and the co-financing entity (the final interest rate </w:t>
      </w:r>
      <w:r w:rsidRPr="00912E5D">
        <w:rPr>
          <w:b/>
          <w:bCs/>
          <w:highlight w:val="yellow"/>
        </w:rPr>
        <w:t>not exceeding 1.5% p.a.</w:t>
      </w:r>
      <w:r w:rsidRPr="00912E5D">
        <w:rPr>
          <w:highlight w:val="yellow"/>
        </w:rPr>
        <w:t>)</w:t>
      </w:r>
    </w:p>
    <w:p w:rsidR="00065632" w:rsidRPr="00912E5D" w:rsidRDefault="00065632" w:rsidP="00065632">
      <w:pPr>
        <w:numPr>
          <w:ilvl w:val="0"/>
          <w:numId w:val="71"/>
        </w:numPr>
        <w:spacing w:after="0"/>
        <w:jc w:val="left"/>
        <w:rPr>
          <w:highlight w:val="yellow"/>
        </w:rPr>
      </w:pPr>
      <w:r w:rsidRPr="00912E5D">
        <w:rPr>
          <w:highlight w:val="yellow"/>
        </w:rPr>
        <w:t xml:space="preserve">The principal payable together with the interest </w:t>
      </w:r>
      <w:r w:rsidRPr="00912E5D">
        <w:rPr>
          <w:b/>
          <w:bCs/>
          <w:highlight w:val="yellow"/>
        </w:rPr>
        <w:t>monthly, or quarterly</w:t>
      </w:r>
    </w:p>
    <w:p w:rsidR="00065632" w:rsidRPr="00912E5D" w:rsidRDefault="00065632" w:rsidP="00065632">
      <w:pPr>
        <w:numPr>
          <w:ilvl w:val="0"/>
          <w:numId w:val="71"/>
        </w:numPr>
        <w:spacing w:after="0"/>
        <w:jc w:val="left"/>
        <w:rPr>
          <w:highlight w:val="yellow"/>
        </w:rPr>
      </w:pPr>
      <w:r w:rsidRPr="00912E5D">
        <w:rPr>
          <w:b/>
          <w:bCs/>
          <w:highlight w:val="yellow"/>
        </w:rPr>
        <w:t>Loan administration in one "clearing" place</w:t>
      </w:r>
      <w:r w:rsidRPr="00912E5D">
        <w:rPr>
          <w:highlight w:val="yellow"/>
        </w:rPr>
        <w:t>, which breaks down instalments based on a financing agreement between the sources of the fund and the co-financing entity</w:t>
      </w:r>
    </w:p>
    <w:p w:rsidR="00065632" w:rsidRPr="00912E5D" w:rsidRDefault="00065632" w:rsidP="00065632">
      <w:pPr>
        <w:numPr>
          <w:ilvl w:val="0"/>
          <w:numId w:val="71"/>
        </w:numPr>
        <w:spacing w:after="0"/>
        <w:jc w:val="left"/>
        <w:rPr>
          <w:highlight w:val="yellow"/>
        </w:rPr>
      </w:pPr>
      <w:r w:rsidRPr="00912E5D">
        <w:rPr>
          <w:highlight w:val="yellow"/>
        </w:rPr>
        <w:t xml:space="preserve">The Fund receives a lower interest than the bank does; </w:t>
      </w:r>
      <w:r w:rsidRPr="00912E5D">
        <w:rPr>
          <w:b/>
          <w:bCs/>
          <w:highlight w:val="yellow"/>
        </w:rPr>
        <w:t>first piece loss coverage until 10%</w:t>
      </w:r>
      <w:r w:rsidRPr="00912E5D">
        <w:rPr>
          <w:highlight w:val="yellow"/>
        </w:rPr>
        <w:t xml:space="preserve"> on portfolio of each involved bank</w:t>
      </w:r>
    </w:p>
    <w:p w:rsidR="00065632" w:rsidRPr="00912E5D" w:rsidRDefault="00065632" w:rsidP="00065632">
      <w:pPr>
        <w:numPr>
          <w:ilvl w:val="0"/>
          <w:numId w:val="71"/>
        </w:numPr>
        <w:spacing w:after="0"/>
        <w:jc w:val="left"/>
        <w:rPr>
          <w:highlight w:val="yellow"/>
        </w:rPr>
      </w:pPr>
      <w:r w:rsidRPr="00912E5D">
        <w:rPr>
          <w:b/>
          <w:bCs/>
          <w:highlight w:val="yellow"/>
        </w:rPr>
        <w:t>Framework cooperation</w:t>
      </w:r>
      <w:r w:rsidRPr="00912E5D">
        <w:rPr>
          <w:highlight w:val="yellow"/>
        </w:rPr>
        <w:t xml:space="preserve"> based on fulfilment of pre-defined criteria - possible cooperation with all banks</w:t>
      </w:r>
    </w:p>
    <w:p w:rsidR="00065632" w:rsidRPr="00912E5D" w:rsidRDefault="00065632" w:rsidP="00065632">
      <w:pPr>
        <w:numPr>
          <w:ilvl w:val="0"/>
          <w:numId w:val="71"/>
        </w:numPr>
        <w:spacing w:after="0"/>
        <w:jc w:val="left"/>
        <w:rPr>
          <w:highlight w:val="yellow"/>
        </w:rPr>
      </w:pPr>
      <w:r w:rsidRPr="00912E5D">
        <w:rPr>
          <w:b/>
          <w:bCs/>
          <w:highlight w:val="yellow"/>
        </w:rPr>
        <w:t>One point of contact for the final beneficiary</w:t>
      </w:r>
      <w:r w:rsidRPr="00912E5D">
        <w:rPr>
          <w:highlight w:val="yellow"/>
        </w:rPr>
        <w:t xml:space="preserve"> – a selected commercial bank</w:t>
      </w:r>
    </w:p>
    <w:p w:rsidR="00065632" w:rsidRPr="00912E5D" w:rsidRDefault="00065632" w:rsidP="00065632">
      <w:pPr>
        <w:numPr>
          <w:ilvl w:val="0"/>
          <w:numId w:val="71"/>
        </w:numPr>
        <w:spacing w:after="0"/>
        <w:jc w:val="left"/>
        <w:rPr>
          <w:highlight w:val="yellow"/>
        </w:rPr>
      </w:pPr>
      <w:r w:rsidRPr="00912E5D">
        <w:rPr>
          <w:highlight w:val="yellow"/>
        </w:rPr>
        <w:t>Possibility of involvement of additional resources of private investors at the fund level</w:t>
      </w:r>
    </w:p>
    <w:p w:rsidR="00065632" w:rsidRPr="00912E5D" w:rsidRDefault="00065632" w:rsidP="00912E5D">
      <w:pPr>
        <w:rPr>
          <w:highlight w:val="yellow"/>
        </w:rPr>
      </w:pPr>
    </w:p>
    <w:tbl>
      <w:tblPr>
        <w:tblStyle w:val="Mkatabulky"/>
        <w:tblW w:w="0" w:type="auto"/>
        <w:tblInd w:w="332" w:type="dxa"/>
        <w:tblLook w:val="01E0" w:firstRow="1" w:lastRow="1" w:firstColumn="1" w:lastColumn="1" w:noHBand="0" w:noVBand="0"/>
      </w:tblPr>
      <w:tblGrid>
        <w:gridCol w:w="3070"/>
        <w:gridCol w:w="3071"/>
        <w:gridCol w:w="3071"/>
      </w:tblGrid>
      <w:tr w:rsidR="00065632" w:rsidRPr="00912E5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70" w:type="dxa"/>
          </w:tcPr>
          <w:p w:rsidR="00065632" w:rsidRPr="00912E5D" w:rsidRDefault="00065632" w:rsidP="00912E5D">
            <w:pPr>
              <w:rPr>
                <w:highlight w:val="yellow"/>
              </w:rPr>
            </w:pPr>
          </w:p>
        </w:tc>
        <w:tc>
          <w:tcPr>
            <w:tcW w:w="3071" w:type="dxa"/>
          </w:tcPr>
          <w:p w:rsidR="00065632" w:rsidRPr="00912E5D" w:rsidRDefault="00065632" w:rsidP="00912E5D">
            <w:pPr>
              <w:cnfStyle w:val="100000000000" w:firstRow="1" w:lastRow="0" w:firstColumn="0" w:lastColumn="0" w:oddVBand="0" w:evenVBand="0" w:oddHBand="0" w:evenHBand="0" w:firstRowFirstColumn="0" w:firstRowLastColumn="0" w:lastRowFirstColumn="0" w:lastRowLastColumn="0"/>
              <w:rPr>
                <w:highlight w:val="yellow"/>
              </w:rPr>
            </w:pPr>
            <w:r w:rsidRPr="00912E5D">
              <w:rPr>
                <w:highlight w:val="yellow"/>
              </w:rPr>
              <w:t>Without securitization</w:t>
            </w:r>
          </w:p>
        </w:tc>
        <w:tc>
          <w:tcPr>
            <w:tcW w:w="3071" w:type="dxa"/>
          </w:tcPr>
          <w:p w:rsidR="00065632" w:rsidRPr="00912E5D" w:rsidRDefault="00065632" w:rsidP="00912E5D">
            <w:pPr>
              <w:cnfStyle w:val="100000000000" w:firstRow="1" w:lastRow="0" w:firstColumn="0" w:lastColumn="0" w:oddVBand="0" w:evenVBand="0" w:oddHBand="0" w:evenHBand="0" w:firstRowFirstColumn="0" w:firstRowLastColumn="0" w:lastRowFirstColumn="0" w:lastRowLastColumn="0"/>
              <w:rPr>
                <w:highlight w:val="yellow"/>
              </w:rPr>
            </w:pPr>
            <w:r w:rsidRPr="00912E5D">
              <w:rPr>
                <w:highlight w:val="yellow"/>
              </w:rPr>
              <w:t>With securitization</w:t>
            </w:r>
          </w:p>
        </w:tc>
      </w:tr>
      <w:tr w:rsidR="00065632" w:rsidRPr="00912E5D">
        <w:tc>
          <w:tcPr>
            <w:cnfStyle w:val="001000000000" w:firstRow="0" w:lastRow="0" w:firstColumn="1" w:lastColumn="0" w:oddVBand="0" w:evenVBand="0" w:oddHBand="0" w:evenHBand="0" w:firstRowFirstColumn="0" w:firstRowLastColumn="0" w:lastRowFirstColumn="0" w:lastRowLastColumn="0"/>
            <w:tcW w:w="3070" w:type="dxa"/>
          </w:tcPr>
          <w:p w:rsidR="00065632" w:rsidRPr="00912E5D" w:rsidRDefault="00065632" w:rsidP="00912E5D">
            <w:pPr>
              <w:rPr>
                <w:highlight w:val="yellow"/>
              </w:rPr>
            </w:pPr>
            <w:r w:rsidRPr="00912E5D">
              <w:rPr>
                <w:highlight w:val="yellow"/>
              </w:rPr>
              <w:t>SO allocation</w:t>
            </w:r>
          </w:p>
        </w:tc>
        <w:tc>
          <w:tcPr>
            <w:tcW w:w="3071" w:type="dxa"/>
          </w:tcPr>
          <w:p w:rsidR="00065632" w:rsidRPr="00912E5D" w:rsidRDefault="00065632" w:rsidP="00912E5D">
            <w:pPr>
              <w:cnfStyle w:val="000000000000" w:firstRow="0" w:lastRow="0" w:firstColumn="0" w:lastColumn="0" w:oddVBand="0" w:evenVBand="0" w:oddHBand="0" w:evenHBand="0" w:firstRowFirstColumn="0" w:firstRowLastColumn="0" w:lastRowFirstColumn="0" w:lastRowLastColumn="0"/>
              <w:rPr>
                <w:highlight w:val="yellow"/>
              </w:rPr>
            </w:pPr>
            <w:r w:rsidRPr="00912E5D">
              <w:rPr>
                <w:highlight w:val="yellow"/>
              </w:rPr>
              <w:t>CZK billion 16.80</w:t>
            </w:r>
          </w:p>
        </w:tc>
        <w:tc>
          <w:tcPr>
            <w:tcW w:w="3071" w:type="dxa"/>
          </w:tcPr>
          <w:p w:rsidR="00065632" w:rsidRPr="00912E5D" w:rsidRDefault="00065632" w:rsidP="00912E5D">
            <w:pPr>
              <w:cnfStyle w:val="000000000000" w:firstRow="0" w:lastRow="0" w:firstColumn="0" w:lastColumn="0" w:oddVBand="0" w:evenVBand="0" w:oddHBand="0" w:evenHBand="0" w:firstRowFirstColumn="0" w:firstRowLastColumn="0" w:lastRowFirstColumn="0" w:lastRowLastColumn="0"/>
              <w:rPr>
                <w:highlight w:val="yellow"/>
              </w:rPr>
            </w:pPr>
            <w:r w:rsidRPr="00912E5D">
              <w:rPr>
                <w:highlight w:val="yellow"/>
              </w:rPr>
              <w:t>CZK billion 16.80</w:t>
            </w:r>
          </w:p>
        </w:tc>
      </w:tr>
      <w:tr w:rsidR="00065632" w:rsidRPr="00912E5D">
        <w:tc>
          <w:tcPr>
            <w:cnfStyle w:val="001000000000" w:firstRow="0" w:lastRow="0" w:firstColumn="1" w:lastColumn="0" w:oddVBand="0" w:evenVBand="0" w:oddHBand="0" w:evenHBand="0" w:firstRowFirstColumn="0" w:firstRowLastColumn="0" w:lastRowFirstColumn="0" w:lastRowLastColumn="0"/>
            <w:tcW w:w="3070" w:type="dxa"/>
          </w:tcPr>
          <w:p w:rsidR="00065632" w:rsidRPr="00912E5D" w:rsidRDefault="00065632" w:rsidP="00912E5D">
            <w:pPr>
              <w:rPr>
                <w:highlight w:val="yellow"/>
              </w:rPr>
            </w:pPr>
            <w:r w:rsidRPr="00912E5D">
              <w:rPr>
                <w:highlight w:val="yellow"/>
              </w:rPr>
              <w:t>Of which: financial instrument</w:t>
            </w:r>
          </w:p>
        </w:tc>
        <w:tc>
          <w:tcPr>
            <w:tcW w:w="3071" w:type="dxa"/>
          </w:tcPr>
          <w:p w:rsidR="00065632" w:rsidRPr="00912E5D" w:rsidRDefault="00065632" w:rsidP="00912E5D">
            <w:pPr>
              <w:cnfStyle w:val="000000000000" w:firstRow="0" w:lastRow="0" w:firstColumn="0" w:lastColumn="0" w:oddVBand="0" w:evenVBand="0" w:oddHBand="0" w:evenHBand="0" w:firstRowFirstColumn="0" w:firstRowLastColumn="0" w:lastRowFirstColumn="0" w:lastRowLastColumn="0"/>
              <w:rPr>
                <w:highlight w:val="yellow"/>
              </w:rPr>
            </w:pPr>
            <w:r w:rsidRPr="00912E5D">
              <w:rPr>
                <w:highlight w:val="yellow"/>
              </w:rPr>
              <w:t>CZK billion 16.80</w:t>
            </w:r>
          </w:p>
        </w:tc>
        <w:tc>
          <w:tcPr>
            <w:tcW w:w="3071" w:type="dxa"/>
          </w:tcPr>
          <w:p w:rsidR="00065632" w:rsidRPr="00912E5D" w:rsidRDefault="00065632" w:rsidP="00912E5D">
            <w:pPr>
              <w:cnfStyle w:val="000000000000" w:firstRow="0" w:lastRow="0" w:firstColumn="0" w:lastColumn="0" w:oddVBand="0" w:evenVBand="0" w:oddHBand="0" w:evenHBand="0" w:firstRowFirstColumn="0" w:firstRowLastColumn="0" w:lastRowFirstColumn="0" w:lastRowLastColumn="0"/>
              <w:rPr>
                <w:highlight w:val="yellow"/>
              </w:rPr>
            </w:pPr>
            <w:r w:rsidRPr="00912E5D">
              <w:rPr>
                <w:highlight w:val="yellow"/>
              </w:rPr>
              <w:t>CZK billion 16.80</w:t>
            </w:r>
          </w:p>
        </w:tc>
      </w:tr>
      <w:tr w:rsidR="00065632" w:rsidRPr="00912E5D">
        <w:tc>
          <w:tcPr>
            <w:cnfStyle w:val="001000000000" w:firstRow="0" w:lastRow="0" w:firstColumn="1" w:lastColumn="0" w:oddVBand="0" w:evenVBand="0" w:oddHBand="0" w:evenHBand="0" w:firstRowFirstColumn="0" w:firstRowLastColumn="0" w:lastRowFirstColumn="0" w:lastRowLastColumn="0"/>
            <w:tcW w:w="3070" w:type="dxa"/>
          </w:tcPr>
          <w:p w:rsidR="00065632" w:rsidRPr="00912E5D" w:rsidRDefault="00065632" w:rsidP="00912E5D">
            <w:pPr>
              <w:rPr>
                <w:highlight w:val="yellow"/>
              </w:rPr>
            </w:pPr>
            <w:r w:rsidRPr="00912E5D">
              <w:rPr>
                <w:highlight w:val="yellow"/>
              </w:rPr>
              <w:t>Of which: subsidy</w:t>
            </w:r>
          </w:p>
        </w:tc>
        <w:tc>
          <w:tcPr>
            <w:tcW w:w="3071" w:type="dxa"/>
          </w:tcPr>
          <w:p w:rsidR="00065632" w:rsidRPr="00912E5D" w:rsidRDefault="00065632" w:rsidP="00912E5D">
            <w:pPr>
              <w:cnfStyle w:val="000000000000" w:firstRow="0" w:lastRow="0" w:firstColumn="0" w:lastColumn="0" w:oddVBand="0" w:evenVBand="0" w:oddHBand="0" w:evenHBand="0" w:firstRowFirstColumn="0" w:firstRowLastColumn="0" w:lastRowFirstColumn="0" w:lastRowLastColumn="0"/>
              <w:rPr>
                <w:highlight w:val="yellow"/>
              </w:rPr>
            </w:pPr>
            <w:r w:rsidRPr="00912E5D">
              <w:rPr>
                <w:highlight w:val="yellow"/>
              </w:rPr>
              <w:t>CZK billion 0</w:t>
            </w:r>
          </w:p>
        </w:tc>
        <w:tc>
          <w:tcPr>
            <w:tcW w:w="3071" w:type="dxa"/>
          </w:tcPr>
          <w:p w:rsidR="00065632" w:rsidRPr="00912E5D" w:rsidRDefault="00065632" w:rsidP="00912E5D">
            <w:pPr>
              <w:cnfStyle w:val="000000000000" w:firstRow="0" w:lastRow="0" w:firstColumn="0" w:lastColumn="0" w:oddVBand="0" w:evenVBand="0" w:oddHBand="0" w:evenHBand="0" w:firstRowFirstColumn="0" w:firstRowLastColumn="0" w:lastRowFirstColumn="0" w:lastRowLastColumn="0"/>
              <w:rPr>
                <w:highlight w:val="yellow"/>
              </w:rPr>
            </w:pPr>
            <w:r w:rsidRPr="00912E5D">
              <w:rPr>
                <w:highlight w:val="yellow"/>
              </w:rPr>
              <w:t>CZK billion 0</w:t>
            </w:r>
          </w:p>
        </w:tc>
      </w:tr>
      <w:tr w:rsidR="00065632" w:rsidRPr="00912E5D">
        <w:tc>
          <w:tcPr>
            <w:cnfStyle w:val="001000000000" w:firstRow="0" w:lastRow="0" w:firstColumn="1" w:lastColumn="0" w:oddVBand="0" w:evenVBand="0" w:oddHBand="0" w:evenHBand="0" w:firstRowFirstColumn="0" w:firstRowLastColumn="0" w:lastRowFirstColumn="0" w:lastRowLastColumn="0"/>
            <w:tcW w:w="3070" w:type="dxa"/>
          </w:tcPr>
          <w:p w:rsidR="00065632" w:rsidRPr="00912E5D" w:rsidRDefault="00065632" w:rsidP="00912E5D">
            <w:pPr>
              <w:rPr>
                <w:highlight w:val="yellow"/>
              </w:rPr>
            </w:pPr>
            <w:r w:rsidRPr="00912E5D">
              <w:rPr>
                <w:highlight w:val="yellow"/>
              </w:rPr>
              <w:t>Total invested – 2018 milestone</w:t>
            </w:r>
          </w:p>
        </w:tc>
        <w:tc>
          <w:tcPr>
            <w:tcW w:w="3071" w:type="dxa"/>
          </w:tcPr>
          <w:p w:rsidR="00065632" w:rsidRPr="00912E5D" w:rsidRDefault="00065632" w:rsidP="00912E5D">
            <w:pPr>
              <w:cnfStyle w:val="000000000000" w:firstRow="0" w:lastRow="0" w:firstColumn="0" w:lastColumn="0" w:oddVBand="0" w:evenVBand="0" w:oddHBand="0" w:evenHBand="0" w:firstRowFirstColumn="0" w:firstRowLastColumn="0" w:lastRowFirstColumn="0" w:lastRowLastColumn="0"/>
              <w:rPr>
                <w:highlight w:val="yellow"/>
              </w:rPr>
            </w:pPr>
            <w:r w:rsidRPr="00912E5D">
              <w:rPr>
                <w:highlight w:val="yellow"/>
              </w:rPr>
              <w:t>CZK billion 18.48</w:t>
            </w:r>
          </w:p>
        </w:tc>
        <w:tc>
          <w:tcPr>
            <w:tcW w:w="3071" w:type="dxa"/>
          </w:tcPr>
          <w:p w:rsidR="00065632" w:rsidRPr="00912E5D" w:rsidRDefault="00065632" w:rsidP="00912E5D">
            <w:pPr>
              <w:cnfStyle w:val="000000000000" w:firstRow="0" w:lastRow="0" w:firstColumn="0" w:lastColumn="0" w:oddVBand="0" w:evenVBand="0" w:oddHBand="0" w:evenHBand="0" w:firstRowFirstColumn="0" w:firstRowLastColumn="0" w:lastRowFirstColumn="0" w:lastRowLastColumn="0"/>
              <w:rPr>
                <w:highlight w:val="yellow"/>
              </w:rPr>
            </w:pPr>
            <w:r w:rsidRPr="00912E5D">
              <w:rPr>
                <w:highlight w:val="yellow"/>
              </w:rPr>
              <w:t>CZK billion 18.48</w:t>
            </w:r>
          </w:p>
        </w:tc>
      </w:tr>
      <w:tr w:rsidR="00065632" w:rsidRPr="00912E5D">
        <w:tc>
          <w:tcPr>
            <w:cnfStyle w:val="001000000000" w:firstRow="0" w:lastRow="0" w:firstColumn="1" w:lastColumn="0" w:oddVBand="0" w:evenVBand="0" w:oddHBand="0" w:evenHBand="0" w:firstRowFirstColumn="0" w:firstRowLastColumn="0" w:lastRowFirstColumn="0" w:lastRowLastColumn="0"/>
            <w:tcW w:w="3070" w:type="dxa"/>
          </w:tcPr>
          <w:p w:rsidR="00065632" w:rsidRPr="00912E5D" w:rsidRDefault="00065632" w:rsidP="00912E5D">
            <w:pPr>
              <w:rPr>
                <w:highlight w:val="yellow"/>
              </w:rPr>
            </w:pPr>
            <w:r w:rsidRPr="00912E5D">
              <w:rPr>
                <w:highlight w:val="yellow"/>
              </w:rPr>
              <w:t>Total invested – by 2023</w:t>
            </w:r>
          </w:p>
        </w:tc>
        <w:tc>
          <w:tcPr>
            <w:tcW w:w="3071" w:type="dxa"/>
          </w:tcPr>
          <w:p w:rsidR="00065632" w:rsidRPr="00912E5D" w:rsidRDefault="00065632" w:rsidP="00912E5D">
            <w:pPr>
              <w:cnfStyle w:val="000000000000" w:firstRow="0" w:lastRow="0" w:firstColumn="0" w:lastColumn="0" w:oddVBand="0" w:evenVBand="0" w:oddHBand="0" w:evenHBand="0" w:firstRowFirstColumn="0" w:firstRowLastColumn="0" w:lastRowFirstColumn="0" w:lastRowLastColumn="0"/>
              <w:rPr>
                <w:highlight w:val="yellow"/>
              </w:rPr>
            </w:pPr>
            <w:r w:rsidRPr="00912E5D">
              <w:rPr>
                <w:highlight w:val="yellow"/>
              </w:rPr>
              <w:t>CZK billion 38.11</w:t>
            </w:r>
          </w:p>
        </w:tc>
        <w:tc>
          <w:tcPr>
            <w:tcW w:w="3071" w:type="dxa"/>
          </w:tcPr>
          <w:p w:rsidR="00065632" w:rsidRPr="00912E5D" w:rsidRDefault="00065632" w:rsidP="00912E5D">
            <w:pPr>
              <w:cnfStyle w:val="000000000000" w:firstRow="0" w:lastRow="0" w:firstColumn="0" w:lastColumn="0" w:oddVBand="0" w:evenVBand="0" w:oddHBand="0" w:evenHBand="0" w:firstRowFirstColumn="0" w:firstRowLastColumn="0" w:lastRowFirstColumn="0" w:lastRowLastColumn="0"/>
              <w:rPr>
                <w:highlight w:val="yellow"/>
              </w:rPr>
            </w:pPr>
            <w:r w:rsidRPr="00912E5D">
              <w:rPr>
                <w:highlight w:val="yellow"/>
              </w:rPr>
              <w:t>CZK billion 49.28</w:t>
            </w:r>
          </w:p>
        </w:tc>
      </w:tr>
      <w:tr w:rsidR="00065632" w:rsidRPr="00912E5D">
        <w:tc>
          <w:tcPr>
            <w:cnfStyle w:val="001000000000" w:firstRow="0" w:lastRow="0" w:firstColumn="1" w:lastColumn="0" w:oddVBand="0" w:evenVBand="0" w:oddHBand="0" w:evenHBand="0" w:firstRowFirstColumn="0" w:firstRowLastColumn="0" w:lastRowFirstColumn="0" w:lastRowLastColumn="0"/>
            <w:tcW w:w="3070" w:type="dxa"/>
          </w:tcPr>
          <w:p w:rsidR="00065632" w:rsidRPr="00912E5D" w:rsidRDefault="00065632" w:rsidP="00912E5D">
            <w:pPr>
              <w:rPr>
                <w:highlight w:val="yellow"/>
              </w:rPr>
            </w:pPr>
            <w:r w:rsidRPr="00912E5D">
              <w:rPr>
                <w:highlight w:val="yellow"/>
              </w:rPr>
              <w:t>Total available for revolving</w:t>
            </w:r>
          </w:p>
        </w:tc>
        <w:tc>
          <w:tcPr>
            <w:tcW w:w="3071" w:type="dxa"/>
          </w:tcPr>
          <w:p w:rsidR="00065632" w:rsidRPr="00912E5D" w:rsidRDefault="00065632" w:rsidP="00912E5D">
            <w:pPr>
              <w:cnfStyle w:val="000000000000" w:firstRow="0" w:lastRow="0" w:firstColumn="0" w:lastColumn="0" w:oddVBand="0" w:evenVBand="0" w:oddHBand="0" w:evenHBand="0" w:firstRowFirstColumn="0" w:firstRowLastColumn="0" w:lastRowFirstColumn="0" w:lastRowLastColumn="0"/>
              <w:rPr>
                <w:highlight w:val="yellow"/>
              </w:rPr>
            </w:pPr>
            <w:r w:rsidRPr="00912E5D">
              <w:rPr>
                <w:highlight w:val="yellow"/>
              </w:rPr>
              <w:t>CZK billion 16.01</w:t>
            </w:r>
          </w:p>
        </w:tc>
        <w:tc>
          <w:tcPr>
            <w:tcW w:w="3071" w:type="dxa"/>
          </w:tcPr>
          <w:p w:rsidR="00065632" w:rsidRPr="00912E5D" w:rsidRDefault="00065632" w:rsidP="00912E5D">
            <w:pPr>
              <w:cnfStyle w:val="000000000000" w:firstRow="0" w:lastRow="0" w:firstColumn="0" w:lastColumn="0" w:oddVBand="0" w:evenVBand="0" w:oddHBand="0" w:evenHBand="0" w:firstRowFirstColumn="0" w:firstRowLastColumn="0" w:lastRowFirstColumn="0" w:lastRowLastColumn="0"/>
              <w:rPr>
                <w:highlight w:val="yellow"/>
              </w:rPr>
            </w:pPr>
            <w:r w:rsidRPr="00912E5D">
              <w:rPr>
                <w:highlight w:val="yellow"/>
              </w:rPr>
              <w:t>CZK billion 14.90</w:t>
            </w:r>
          </w:p>
        </w:tc>
      </w:tr>
      <w:tr w:rsidR="00065632" w:rsidRPr="00912E5D">
        <w:tc>
          <w:tcPr>
            <w:cnfStyle w:val="001000000000" w:firstRow="0" w:lastRow="0" w:firstColumn="1" w:lastColumn="0" w:oddVBand="0" w:evenVBand="0" w:oddHBand="0" w:evenHBand="0" w:firstRowFirstColumn="0" w:firstRowLastColumn="0" w:lastRowFirstColumn="0" w:lastRowLastColumn="0"/>
            <w:tcW w:w="3070" w:type="dxa"/>
          </w:tcPr>
          <w:p w:rsidR="00065632" w:rsidRPr="00912E5D" w:rsidRDefault="00065632" w:rsidP="00912E5D">
            <w:pPr>
              <w:rPr>
                <w:highlight w:val="yellow"/>
              </w:rPr>
            </w:pPr>
            <w:r w:rsidRPr="00912E5D">
              <w:rPr>
                <w:highlight w:val="yellow"/>
              </w:rPr>
              <w:t>Added value</w:t>
            </w:r>
          </w:p>
        </w:tc>
        <w:tc>
          <w:tcPr>
            <w:tcW w:w="3071" w:type="dxa"/>
          </w:tcPr>
          <w:p w:rsidR="00065632" w:rsidRPr="00912E5D" w:rsidRDefault="00065632" w:rsidP="00912E5D">
            <w:pPr>
              <w:cnfStyle w:val="000000000000" w:firstRow="0" w:lastRow="0" w:firstColumn="0" w:lastColumn="0" w:oddVBand="0" w:evenVBand="0" w:oddHBand="0" w:evenHBand="0" w:firstRowFirstColumn="0" w:firstRowLastColumn="0" w:lastRowFirstColumn="0" w:lastRowLastColumn="0"/>
              <w:rPr>
                <w:highlight w:val="yellow"/>
              </w:rPr>
            </w:pPr>
            <w:r w:rsidRPr="00912E5D">
              <w:rPr>
                <w:highlight w:val="yellow"/>
              </w:rPr>
              <w:t>2.27</w:t>
            </w:r>
          </w:p>
        </w:tc>
        <w:tc>
          <w:tcPr>
            <w:tcW w:w="3071" w:type="dxa"/>
          </w:tcPr>
          <w:p w:rsidR="00065632" w:rsidRPr="00912E5D" w:rsidRDefault="00065632" w:rsidP="00912E5D">
            <w:pPr>
              <w:cnfStyle w:val="000000000000" w:firstRow="0" w:lastRow="0" w:firstColumn="0" w:lastColumn="0" w:oddVBand="0" w:evenVBand="0" w:oddHBand="0" w:evenHBand="0" w:firstRowFirstColumn="0" w:firstRowLastColumn="0" w:lastRowFirstColumn="0" w:lastRowLastColumn="0"/>
              <w:rPr>
                <w:highlight w:val="yellow"/>
              </w:rPr>
            </w:pPr>
            <w:r w:rsidRPr="00912E5D">
              <w:rPr>
                <w:highlight w:val="yellow"/>
              </w:rPr>
              <w:t>2.93</w:t>
            </w:r>
          </w:p>
        </w:tc>
      </w:tr>
      <w:tr w:rsidR="00065632" w:rsidRPr="0057251F">
        <w:tc>
          <w:tcPr>
            <w:cnfStyle w:val="001000000000" w:firstRow="0" w:lastRow="0" w:firstColumn="1" w:lastColumn="0" w:oddVBand="0" w:evenVBand="0" w:oddHBand="0" w:evenHBand="0" w:firstRowFirstColumn="0" w:firstRowLastColumn="0" w:lastRowFirstColumn="0" w:lastRowLastColumn="0"/>
            <w:tcW w:w="3070" w:type="dxa"/>
          </w:tcPr>
          <w:p w:rsidR="00065632" w:rsidRPr="00912E5D" w:rsidRDefault="00065632" w:rsidP="00912E5D">
            <w:pPr>
              <w:rPr>
                <w:highlight w:val="yellow"/>
              </w:rPr>
            </w:pPr>
            <w:r w:rsidRPr="00912E5D">
              <w:rPr>
                <w:highlight w:val="yellow"/>
              </w:rPr>
              <w:t>Leverage</w:t>
            </w:r>
          </w:p>
        </w:tc>
        <w:tc>
          <w:tcPr>
            <w:tcW w:w="3071" w:type="dxa"/>
          </w:tcPr>
          <w:p w:rsidR="00065632" w:rsidRPr="00912E5D" w:rsidRDefault="00065632" w:rsidP="00912E5D">
            <w:pPr>
              <w:cnfStyle w:val="000000000000" w:firstRow="0" w:lastRow="0" w:firstColumn="0" w:lastColumn="0" w:oddVBand="0" w:evenVBand="0" w:oddHBand="0" w:evenHBand="0" w:firstRowFirstColumn="0" w:firstRowLastColumn="0" w:lastRowFirstColumn="0" w:lastRowLastColumn="0"/>
              <w:rPr>
                <w:highlight w:val="yellow"/>
              </w:rPr>
            </w:pPr>
            <w:r w:rsidRPr="00912E5D">
              <w:rPr>
                <w:highlight w:val="yellow"/>
              </w:rPr>
              <w:t>1.83</w:t>
            </w:r>
          </w:p>
        </w:tc>
        <w:tc>
          <w:tcPr>
            <w:tcW w:w="3071" w:type="dxa"/>
          </w:tcPr>
          <w:p w:rsidR="00065632" w:rsidRPr="0057251F" w:rsidRDefault="00065632" w:rsidP="00912E5D">
            <w:pPr>
              <w:cnfStyle w:val="000000000000" w:firstRow="0" w:lastRow="0" w:firstColumn="0" w:lastColumn="0" w:oddVBand="0" w:evenVBand="0" w:oddHBand="0" w:evenHBand="0" w:firstRowFirstColumn="0" w:firstRowLastColumn="0" w:lastRowFirstColumn="0" w:lastRowLastColumn="0"/>
            </w:pPr>
            <w:r w:rsidRPr="00912E5D">
              <w:rPr>
                <w:highlight w:val="yellow"/>
              </w:rPr>
              <w:t>1.83</w:t>
            </w:r>
          </w:p>
        </w:tc>
      </w:tr>
    </w:tbl>
    <w:p w:rsidR="00065632" w:rsidRPr="0057251F" w:rsidRDefault="00065632" w:rsidP="00912E5D">
      <w:pPr>
        <w:ind w:left="360"/>
      </w:pPr>
    </w:p>
    <w:p w:rsidR="00065632" w:rsidRDefault="00065632" w:rsidP="00257BEB">
      <w:pPr>
        <w:sectPr w:rsidR="00065632" w:rsidSect="00350D5E">
          <w:pgSz w:w="23814" w:h="16839" w:orient="landscape" w:code="8"/>
          <w:pgMar w:top="720" w:right="720" w:bottom="720" w:left="720" w:header="709" w:footer="709" w:gutter="0"/>
          <w:paperSrc w:first="15" w:other="15"/>
          <w:cols w:space="708"/>
          <w:docGrid w:linePitch="360"/>
        </w:sectPr>
      </w:pPr>
    </w:p>
    <w:p w:rsidR="00065632" w:rsidRDefault="00065632" w:rsidP="0089637B">
      <w:pPr>
        <w:pStyle w:val="Nadpis1"/>
      </w:pPr>
      <w:bookmarkStart w:id="16" w:name="_Toc397701279"/>
      <w:bookmarkStart w:id="17" w:name="_Toc401150096"/>
      <w:bookmarkStart w:id="18" w:name="_Toc418767135"/>
      <w:bookmarkStart w:id="19" w:name="_Toc426033645"/>
      <w:r>
        <w:lastRenderedPageBreak/>
        <w:t>Methodology procedure</w:t>
      </w:r>
      <w:bookmarkEnd w:id="16"/>
      <w:bookmarkEnd w:id="17"/>
      <w:bookmarkEnd w:id="18"/>
      <w:bookmarkEnd w:id="19"/>
    </w:p>
    <w:p w:rsidR="00065632" w:rsidRDefault="00065632" w:rsidP="00BD1C99">
      <w:r>
        <w:t>In compliance with the methodology recommendations at the European and national level and using Deloitte best practice, steps were made which led to the preparation of a Final Report in ex-ante assessment of options how to use financial instruments in the IROP.</w:t>
      </w:r>
    </w:p>
    <w:p w:rsidR="00065632" w:rsidRDefault="00065632" w:rsidP="00BD1C99">
      <w:pPr>
        <w:pStyle w:val="Highlight3"/>
      </w:pPr>
      <w:r>
        <w:t>Analysis of secondary data and information sources</w:t>
      </w:r>
    </w:p>
    <w:p w:rsidR="00065632" w:rsidRPr="00EE2DA6" w:rsidRDefault="00065632" w:rsidP="00BD1C99">
      <w:r>
        <w:t xml:space="preserve">In order to secure statistical data and professional information sources, data were acquired from the Contracting Authority and shared via </w:t>
      </w:r>
      <w:proofErr w:type="spellStart"/>
      <w:r>
        <w:t>eRoom</w:t>
      </w:r>
      <w:proofErr w:type="spellEnd"/>
      <w:r>
        <w:t xml:space="preserve"> on a regular basis. A wide array of further information sources was used when working on this Report, the detailed list can be found in Chapter 7 herein.</w:t>
      </w:r>
    </w:p>
    <w:p w:rsidR="00065632" w:rsidRDefault="00065632" w:rsidP="00BD1C99">
      <w:pPr>
        <w:pStyle w:val="Highlight3"/>
      </w:pPr>
      <w:r>
        <w:t>Structured interviews, focus groups and brainstorming</w:t>
      </w:r>
    </w:p>
    <w:p w:rsidR="00065632" w:rsidRDefault="00065632" w:rsidP="0014724F">
      <w:r>
        <w:t xml:space="preserve">Structured interviews with selected parties responsible for the preparation of IROP specific objectives, who provided very important input in the analysis of the potential of use of IFIs within IROP, were conducted. Interviews with representatives of management of the State Fund for Housing Development, with representatives of the </w:t>
      </w:r>
      <w:proofErr w:type="spellStart"/>
      <w:r>
        <w:t>MoRD</w:t>
      </w:r>
      <w:proofErr w:type="spellEnd"/>
      <w:r>
        <w:t xml:space="preserve"> Housing Policy Division, with the professional public, potential co-financing entities and representatives of potential IROP beneficiaries were used to verify the relevance of the Contractor's conclusion.</w:t>
      </w:r>
    </w:p>
    <w:p w:rsidR="00065632" w:rsidRDefault="00065632" w:rsidP="0014724F">
      <w:r>
        <w:t>As regards mapping the interest of potential co-financing entities, a meeting was held with representatives of the Czech Banking Association, which provided key information (summary in Chapter 4.3). Representatives of the main banking house attended:</w:t>
      </w:r>
    </w:p>
    <w:tbl>
      <w:tblPr>
        <w:tblpPr w:leftFromText="141" w:rightFromText="141" w:vertAnchor="text" w:tblpY="1"/>
        <w:tblOverlap w:val="never"/>
        <w:tblW w:w="9180" w:type="dxa"/>
        <w:tblBorders>
          <w:top w:val="single" w:sz="4" w:space="0" w:color="C6FF4C"/>
          <w:left w:val="single" w:sz="4" w:space="0" w:color="C6FF4C"/>
          <w:bottom w:val="single" w:sz="4" w:space="0" w:color="C6FF4C"/>
          <w:right w:val="single" w:sz="4" w:space="0" w:color="C6FF4C"/>
          <w:insideH w:val="single" w:sz="4" w:space="0" w:color="C6FF4C"/>
          <w:insideV w:val="single" w:sz="4" w:space="0" w:color="C6FF4C"/>
        </w:tblBorders>
        <w:tblLook w:val="00A0" w:firstRow="1" w:lastRow="0" w:firstColumn="1" w:lastColumn="0" w:noHBand="0" w:noVBand="0"/>
      </w:tblPr>
      <w:tblGrid>
        <w:gridCol w:w="5559"/>
        <w:gridCol w:w="3621"/>
      </w:tblGrid>
      <w:tr w:rsidR="00065632">
        <w:tc>
          <w:tcPr>
            <w:tcW w:w="5559" w:type="dxa"/>
            <w:tcBorders>
              <w:top w:val="single" w:sz="4" w:space="0" w:color="92D400"/>
              <w:left w:val="single" w:sz="4" w:space="0" w:color="92D400"/>
              <w:bottom w:val="single" w:sz="4" w:space="0" w:color="92D400"/>
              <w:right w:val="nil"/>
            </w:tcBorders>
            <w:shd w:val="clear" w:color="auto" w:fill="92D400"/>
            <w:vAlign w:val="center"/>
          </w:tcPr>
          <w:p w:rsidR="00065632" w:rsidRPr="00693AAF" w:rsidRDefault="00065632" w:rsidP="00693AAF">
            <w:pPr>
              <w:spacing w:after="0"/>
              <w:jc w:val="center"/>
              <w:rPr>
                <w:b/>
                <w:bCs/>
                <w:color w:val="FFFFFF"/>
              </w:rPr>
            </w:pPr>
            <w:r w:rsidRPr="00693AAF">
              <w:rPr>
                <w:b/>
                <w:bCs/>
                <w:color w:val="FFFFFF"/>
              </w:rPr>
              <w:t>Name of the institution</w:t>
            </w:r>
          </w:p>
        </w:tc>
        <w:tc>
          <w:tcPr>
            <w:tcW w:w="3621" w:type="dxa"/>
            <w:tcBorders>
              <w:top w:val="single" w:sz="4" w:space="0" w:color="92D400"/>
              <w:left w:val="nil"/>
              <w:bottom w:val="single" w:sz="4" w:space="0" w:color="92D400"/>
              <w:right w:val="single" w:sz="4" w:space="0" w:color="92D400"/>
            </w:tcBorders>
            <w:shd w:val="clear" w:color="auto" w:fill="92D400"/>
            <w:vAlign w:val="center"/>
          </w:tcPr>
          <w:p w:rsidR="00065632" w:rsidRPr="00693AAF" w:rsidRDefault="00065632" w:rsidP="00693AAF">
            <w:pPr>
              <w:spacing w:after="0"/>
              <w:jc w:val="center"/>
              <w:rPr>
                <w:b/>
                <w:bCs/>
                <w:color w:val="FFFFFF"/>
              </w:rPr>
            </w:pPr>
            <w:r w:rsidRPr="00693AAF">
              <w:rPr>
                <w:b/>
                <w:bCs/>
                <w:color w:val="FFFFFF"/>
              </w:rPr>
              <w:t>Name and surname</w:t>
            </w:r>
          </w:p>
        </w:tc>
      </w:tr>
      <w:tr w:rsidR="00065632">
        <w:tc>
          <w:tcPr>
            <w:tcW w:w="5559" w:type="dxa"/>
            <w:shd w:val="clear" w:color="auto" w:fill="ECFFC3"/>
            <w:vAlign w:val="center"/>
          </w:tcPr>
          <w:p w:rsidR="00065632" w:rsidRPr="00693AAF" w:rsidRDefault="00065632" w:rsidP="00693AAF">
            <w:pPr>
              <w:spacing w:after="0"/>
              <w:jc w:val="left"/>
              <w:rPr>
                <w:b/>
                <w:bCs/>
              </w:rPr>
            </w:pPr>
            <w:proofErr w:type="spellStart"/>
            <w:r w:rsidRPr="00693AAF">
              <w:rPr>
                <w:b/>
                <w:bCs/>
              </w:rPr>
              <w:t>Českomoravská</w:t>
            </w:r>
            <w:proofErr w:type="spellEnd"/>
            <w:r w:rsidRPr="00693AAF">
              <w:rPr>
                <w:b/>
                <w:bCs/>
              </w:rPr>
              <w:t xml:space="preserve"> </w:t>
            </w:r>
            <w:proofErr w:type="spellStart"/>
            <w:r w:rsidRPr="00693AAF">
              <w:rPr>
                <w:b/>
                <w:bCs/>
              </w:rPr>
              <w:t>záruční</w:t>
            </w:r>
            <w:proofErr w:type="spellEnd"/>
            <w:r w:rsidRPr="00693AAF">
              <w:rPr>
                <w:b/>
                <w:bCs/>
              </w:rPr>
              <w:t xml:space="preserve"> a </w:t>
            </w:r>
            <w:proofErr w:type="spellStart"/>
            <w:r w:rsidRPr="00693AAF">
              <w:rPr>
                <w:b/>
                <w:bCs/>
              </w:rPr>
              <w:t>rozvojová</w:t>
            </w:r>
            <w:proofErr w:type="spellEnd"/>
            <w:r w:rsidRPr="00693AAF">
              <w:rPr>
                <w:b/>
                <w:bCs/>
              </w:rPr>
              <w:t xml:space="preserve"> </w:t>
            </w:r>
            <w:proofErr w:type="spellStart"/>
            <w:r w:rsidRPr="00693AAF">
              <w:rPr>
                <w:b/>
                <w:bCs/>
              </w:rPr>
              <w:t>banka</w:t>
            </w:r>
            <w:proofErr w:type="spellEnd"/>
            <w:r w:rsidRPr="00693AAF">
              <w:rPr>
                <w:b/>
                <w:bCs/>
              </w:rPr>
              <w:t xml:space="preserve"> </w:t>
            </w:r>
            <w:proofErr w:type="spellStart"/>
            <w:r w:rsidRPr="00693AAF">
              <w:rPr>
                <w:b/>
                <w:bCs/>
              </w:rPr>
              <w:t>a.s</w:t>
            </w:r>
            <w:proofErr w:type="spellEnd"/>
            <w:r w:rsidRPr="00693AAF">
              <w:rPr>
                <w:b/>
                <w:bCs/>
              </w:rPr>
              <w:t>.</w:t>
            </w:r>
          </w:p>
        </w:tc>
        <w:tc>
          <w:tcPr>
            <w:tcW w:w="3621" w:type="dxa"/>
            <w:shd w:val="clear" w:color="auto" w:fill="ECFFC3"/>
            <w:vAlign w:val="center"/>
          </w:tcPr>
          <w:p w:rsidR="00065632" w:rsidRPr="00693AAF" w:rsidRDefault="00065632" w:rsidP="00693AAF">
            <w:pPr>
              <w:spacing w:after="0"/>
              <w:jc w:val="left"/>
            </w:pPr>
            <w:proofErr w:type="spellStart"/>
            <w:r w:rsidRPr="00693AAF">
              <w:t>Lubomír</w:t>
            </w:r>
            <w:proofErr w:type="spellEnd"/>
            <w:r w:rsidRPr="00693AAF">
              <w:t xml:space="preserve"> </w:t>
            </w:r>
            <w:proofErr w:type="spellStart"/>
            <w:r w:rsidRPr="00693AAF">
              <w:t>Rajdl</w:t>
            </w:r>
            <w:proofErr w:type="spellEnd"/>
          </w:p>
        </w:tc>
      </w:tr>
      <w:tr w:rsidR="00065632">
        <w:tc>
          <w:tcPr>
            <w:tcW w:w="5559" w:type="dxa"/>
            <w:vAlign w:val="center"/>
          </w:tcPr>
          <w:p w:rsidR="00065632" w:rsidRPr="00693AAF" w:rsidRDefault="00065632" w:rsidP="00693AAF">
            <w:pPr>
              <w:spacing w:after="0"/>
              <w:jc w:val="left"/>
              <w:rPr>
                <w:b/>
                <w:bCs/>
              </w:rPr>
            </w:pPr>
            <w:proofErr w:type="spellStart"/>
            <w:r w:rsidRPr="00693AAF">
              <w:rPr>
                <w:b/>
                <w:bCs/>
              </w:rPr>
              <w:t>Česká</w:t>
            </w:r>
            <w:proofErr w:type="spellEnd"/>
            <w:r w:rsidRPr="00693AAF">
              <w:rPr>
                <w:b/>
                <w:bCs/>
              </w:rPr>
              <w:t xml:space="preserve"> </w:t>
            </w:r>
            <w:proofErr w:type="spellStart"/>
            <w:r w:rsidRPr="00693AAF">
              <w:rPr>
                <w:b/>
                <w:bCs/>
              </w:rPr>
              <w:t>spořitelna</w:t>
            </w:r>
            <w:proofErr w:type="spellEnd"/>
            <w:r w:rsidRPr="00693AAF">
              <w:rPr>
                <w:b/>
                <w:bCs/>
              </w:rPr>
              <w:t xml:space="preserve"> </w:t>
            </w:r>
            <w:proofErr w:type="spellStart"/>
            <w:r w:rsidRPr="00693AAF">
              <w:rPr>
                <w:b/>
                <w:bCs/>
              </w:rPr>
              <w:t>a.s</w:t>
            </w:r>
            <w:proofErr w:type="spellEnd"/>
            <w:r w:rsidRPr="00693AAF">
              <w:rPr>
                <w:b/>
                <w:bCs/>
              </w:rPr>
              <w:t>.</w:t>
            </w:r>
          </w:p>
        </w:tc>
        <w:tc>
          <w:tcPr>
            <w:tcW w:w="3621" w:type="dxa"/>
            <w:vAlign w:val="center"/>
          </w:tcPr>
          <w:p w:rsidR="00065632" w:rsidRPr="00693AAF" w:rsidRDefault="00065632" w:rsidP="00693AAF">
            <w:pPr>
              <w:spacing w:after="0"/>
              <w:jc w:val="left"/>
            </w:pPr>
            <w:proofErr w:type="spellStart"/>
            <w:r w:rsidRPr="00693AAF">
              <w:t>Ladislav</w:t>
            </w:r>
            <w:proofErr w:type="spellEnd"/>
            <w:r w:rsidRPr="00693AAF">
              <w:t xml:space="preserve"> </w:t>
            </w:r>
            <w:proofErr w:type="spellStart"/>
            <w:r w:rsidRPr="00693AAF">
              <w:t>Dvořák</w:t>
            </w:r>
            <w:proofErr w:type="spellEnd"/>
          </w:p>
        </w:tc>
      </w:tr>
      <w:tr w:rsidR="00065632">
        <w:tc>
          <w:tcPr>
            <w:tcW w:w="5559" w:type="dxa"/>
            <w:shd w:val="clear" w:color="auto" w:fill="ECFFC3"/>
            <w:vAlign w:val="center"/>
          </w:tcPr>
          <w:p w:rsidR="00065632" w:rsidRPr="00693AAF" w:rsidRDefault="00065632" w:rsidP="00693AAF">
            <w:pPr>
              <w:spacing w:after="0"/>
              <w:jc w:val="left"/>
              <w:rPr>
                <w:b/>
                <w:bCs/>
              </w:rPr>
            </w:pPr>
            <w:proofErr w:type="spellStart"/>
            <w:r w:rsidRPr="00693AAF">
              <w:rPr>
                <w:b/>
                <w:bCs/>
              </w:rPr>
              <w:t>Komerční</w:t>
            </w:r>
            <w:proofErr w:type="spellEnd"/>
            <w:r w:rsidRPr="00693AAF">
              <w:rPr>
                <w:b/>
                <w:bCs/>
              </w:rPr>
              <w:t xml:space="preserve"> </w:t>
            </w:r>
            <w:proofErr w:type="spellStart"/>
            <w:r w:rsidRPr="00693AAF">
              <w:rPr>
                <w:b/>
                <w:bCs/>
              </w:rPr>
              <w:t>banka</w:t>
            </w:r>
            <w:proofErr w:type="spellEnd"/>
            <w:r w:rsidRPr="00693AAF">
              <w:rPr>
                <w:b/>
                <w:bCs/>
              </w:rPr>
              <w:t xml:space="preserve"> </w:t>
            </w:r>
            <w:proofErr w:type="spellStart"/>
            <w:r w:rsidRPr="00693AAF">
              <w:rPr>
                <w:b/>
                <w:bCs/>
              </w:rPr>
              <w:t>a.s</w:t>
            </w:r>
            <w:proofErr w:type="spellEnd"/>
            <w:r w:rsidRPr="00693AAF">
              <w:rPr>
                <w:b/>
                <w:bCs/>
              </w:rPr>
              <w:t>.</w:t>
            </w:r>
          </w:p>
        </w:tc>
        <w:tc>
          <w:tcPr>
            <w:tcW w:w="3621" w:type="dxa"/>
            <w:shd w:val="clear" w:color="auto" w:fill="ECFFC3"/>
            <w:vAlign w:val="center"/>
          </w:tcPr>
          <w:p w:rsidR="00065632" w:rsidRPr="00693AAF" w:rsidRDefault="00065632" w:rsidP="00693AAF">
            <w:pPr>
              <w:spacing w:after="0"/>
              <w:jc w:val="left"/>
            </w:pPr>
            <w:r w:rsidRPr="00693AAF">
              <w:t xml:space="preserve">Jan </w:t>
            </w:r>
            <w:proofErr w:type="spellStart"/>
            <w:r w:rsidRPr="00693AAF">
              <w:t>Hanuš</w:t>
            </w:r>
            <w:proofErr w:type="spellEnd"/>
          </w:p>
        </w:tc>
      </w:tr>
      <w:tr w:rsidR="00065632">
        <w:tc>
          <w:tcPr>
            <w:tcW w:w="5559" w:type="dxa"/>
            <w:vAlign w:val="center"/>
          </w:tcPr>
          <w:p w:rsidR="00065632" w:rsidRPr="00693AAF" w:rsidRDefault="00065632" w:rsidP="00693AAF">
            <w:pPr>
              <w:spacing w:after="0"/>
              <w:jc w:val="left"/>
              <w:rPr>
                <w:b/>
                <w:bCs/>
              </w:rPr>
            </w:pPr>
            <w:proofErr w:type="spellStart"/>
            <w:r w:rsidRPr="00693AAF">
              <w:rPr>
                <w:b/>
                <w:bCs/>
              </w:rPr>
              <w:t>UniCredit</w:t>
            </w:r>
            <w:proofErr w:type="spellEnd"/>
            <w:r w:rsidRPr="00693AAF">
              <w:rPr>
                <w:b/>
                <w:bCs/>
              </w:rPr>
              <w:t xml:space="preserve"> Bank </w:t>
            </w:r>
            <w:proofErr w:type="spellStart"/>
            <w:r w:rsidRPr="00693AAF">
              <w:rPr>
                <w:b/>
                <w:bCs/>
              </w:rPr>
              <w:t>a.s</w:t>
            </w:r>
            <w:proofErr w:type="spellEnd"/>
            <w:r w:rsidRPr="00693AAF">
              <w:rPr>
                <w:b/>
                <w:bCs/>
              </w:rPr>
              <w:t>.</w:t>
            </w:r>
          </w:p>
        </w:tc>
        <w:tc>
          <w:tcPr>
            <w:tcW w:w="3621" w:type="dxa"/>
            <w:vAlign w:val="center"/>
          </w:tcPr>
          <w:p w:rsidR="00065632" w:rsidRPr="00693AAF" w:rsidRDefault="00065632" w:rsidP="00693AAF">
            <w:pPr>
              <w:spacing w:after="0"/>
              <w:jc w:val="left"/>
            </w:pPr>
            <w:proofErr w:type="spellStart"/>
            <w:r w:rsidRPr="00693AAF">
              <w:t>Zdeněk</w:t>
            </w:r>
            <w:proofErr w:type="spellEnd"/>
            <w:r w:rsidRPr="00693AAF">
              <w:t xml:space="preserve"> Jana, </w:t>
            </w:r>
            <w:proofErr w:type="spellStart"/>
            <w:r w:rsidRPr="00693AAF">
              <w:t>Jitka</w:t>
            </w:r>
            <w:proofErr w:type="spellEnd"/>
            <w:r w:rsidRPr="00693AAF">
              <w:t xml:space="preserve"> </w:t>
            </w:r>
            <w:proofErr w:type="spellStart"/>
            <w:r w:rsidRPr="00693AAF">
              <w:t>Rakušanová</w:t>
            </w:r>
            <w:proofErr w:type="spellEnd"/>
          </w:p>
        </w:tc>
      </w:tr>
      <w:tr w:rsidR="00065632">
        <w:tc>
          <w:tcPr>
            <w:tcW w:w="5559" w:type="dxa"/>
            <w:shd w:val="clear" w:color="auto" w:fill="ECFFC3"/>
            <w:vAlign w:val="center"/>
          </w:tcPr>
          <w:p w:rsidR="00065632" w:rsidRPr="00693AAF" w:rsidRDefault="00065632" w:rsidP="00693AAF">
            <w:pPr>
              <w:spacing w:after="0"/>
              <w:jc w:val="left"/>
              <w:rPr>
                <w:b/>
                <w:bCs/>
              </w:rPr>
            </w:pPr>
            <w:r w:rsidRPr="00693AAF">
              <w:rPr>
                <w:b/>
                <w:bCs/>
              </w:rPr>
              <w:t xml:space="preserve">ERSTE </w:t>
            </w:r>
            <w:proofErr w:type="spellStart"/>
            <w:r w:rsidRPr="00693AAF">
              <w:rPr>
                <w:b/>
                <w:bCs/>
              </w:rPr>
              <w:t>Grantika</w:t>
            </w:r>
            <w:proofErr w:type="spellEnd"/>
            <w:r w:rsidRPr="00693AAF">
              <w:rPr>
                <w:b/>
                <w:bCs/>
              </w:rPr>
              <w:t xml:space="preserve"> Advisory, </w:t>
            </w:r>
            <w:proofErr w:type="spellStart"/>
            <w:r w:rsidRPr="00693AAF">
              <w:rPr>
                <w:b/>
                <w:bCs/>
              </w:rPr>
              <w:t>a.s</w:t>
            </w:r>
            <w:proofErr w:type="spellEnd"/>
            <w:r w:rsidRPr="00693AAF">
              <w:rPr>
                <w:b/>
                <w:bCs/>
              </w:rPr>
              <w:t>.</w:t>
            </w:r>
          </w:p>
        </w:tc>
        <w:tc>
          <w:tcPr>
            <w:tcW w:w="3621" w:type="dxa"/>
            <w:shd w:val="clear" w:color="auto" w:fill="ECFFC3"/>
            <w:vAlign w:val="center"/>
          </w:tcPr>
          <w:p w:rsidR="00065632" w:rsidRPr="00693AAF" w:rsidRDefault="00065632" w:rsidP="00693AAF">
            <w:pPr>
              <w:spacing w:after="0"/>
              <w:jc w:val="left"/>
            </w:pPr>
            <w:r w:rsidRPr="00693AAF">
              <w:t xml:space="preserve">Petr </w:t>
            </w:r>
            <w:proofErr w:type="spellStart"/>
            <w:r w:rsidRPr="00693AAF">
              <w:t>Skalický</w:t>
            </w:r>
            <w:proofErr w:type="spellEnd"/>
          </w:p>
        </w:tc>
      </w:tr>
      <w:tr w:rsidR="00065632">
        <w:tc>
          <w:tcPr>
            <w:tcW w:w="5559" w:type="dxa"/>
            <w:vAlign w:val="center"/>
          </w:tcPr>
          <w:p w:rsidR="00065632" w:rsidRPr="00693AAF" w:rsidRDefault="00065632" w:rsidP="00693AAF">
            <w:pPr>
              <w:spacing w:after="0"/>
              <w:jc w:val="left"/>
              <w:rPr>
                <w:b/>
                <w:bCs/>
              </w:rPr>
            </w:pPr>
            <w:proofErr w:type="spellStart"/>
            <w:r w:rsidRPr="00693AAF">
              <w:rPr>
                <w:b/>
                <w:bCs/>
              </w:rPr>
              <w:t>Československá</w:t>
            </w:r>
            <w:proofErr w:type="spellEnd"/>
            <w:r w:rsidRPr="00693AAF">
              <w:rPr>
                <w:b/>
                <w:bCs/>
              </w:rPr>
              <w:t xml:space="preserve"> </w:t>
            </w:r>
            <w:proofErr w:type="spellStart"/>
            <w:r w:rsidRPr="00693AAF">
              <w:rPr>
                <w:b/>
                <w:bCs/>
              </w:rPr>
              <w:t>obchodní</w:t>
            </w:r>
            <w:proofErr w:type="spellEnd"/>
            <w:r w:rsidRPr="00693AAF">
              <w:rPr>
                <w:b/>
                <w:bCs/>
              </w:rPr>
              <w:t xml:space="preserve"> </w:t>
            </w:r>
            <w:proofErr w:type="spellStart"/>
            <w:r w:rsidRPr="00693AAF">
              <w:rPr>
                <w:b/>
                <w:bCs/>
              </w:rPr>
              <w:t>banka</w:t>
            </w:r>
            <w:proofErr w:type="spellEnd"/>
            <w:r w:rsidRPr="00693AAF">
              <w:rPr>
                <w:b/>
                <w:bCs/>
              </w:rPr>
              <w:t xml:space="preserve">, </w:t>
            </w:r>
            <w:proofErr w:type="spellStart"/>
            <w:r w:rsidRPr="00693AAF">
              <w:rPr>
                <w:b/>
                <w:bCs/>
              </w:rPr>
              <w:t>a.s</w:t>
            </w:r>
            <w:proofErr w:type="spellEnd"/>
            <w:r w:rsidRPr="00693AAF">
              <w:rPr>
                <w:b/>
                <w:bCs/>
              </w:rPr>
              <w:t>.</w:t>
            </w:r>
          </w:p>
        </w:tc>
        <w:tc>
          <w:tcPr>
            <w:tcW w:w="3621" w:type="dxa"/>
            <w:vAlign w:val="center"/>
          </w:tcPr>
          <w:p w:rsidR="00065632" w:rsidRPr="00693AAF" w:rsidRDefault="00065632" w:rsidP="00693AAF">
            <w:pPr>
              <w:spacing w:after="0"/>
              <w:jc w:val="left"/>
            </w:pPr>
            <w:r w:rsidRPr="00693AAF">
              <w:t xml:space="preserve">David </w:t>
            </w:r>
            <w:proofErr w:type="spellStart"/>
            <w:r w:rsidRPr="00693AAF">
              <w:t>Pospíšil</w:t>
            </w:r>
            <w:proofErr w:type="spellEnd"/>
          </w:p>
        </w:tc>
      </w:tr>
      <w:tr w:rsidR="00065632">
        <w:tc>
          <w:tcPr>
            <w:tcW w:w="5559" w:type="dxa"/>
            <w:shd w:val="clear" w:color="auto" w:fill="ECFFC3"/>
            <w:vAlign w:val="center"/>
          </w:tcPr>
          <w:p w:rsidR="00065632" w:rsidRPr="00693AAF" w:rsidRDefault="00065632" w:rsidP="00693AAF">
            <w:pPr>
              <w:spacing w:after="0"/>
              <w:jc w:val="left"/>
              <w:rPr>
                <w:b/>
                <w:bCs/>
              </w:rPr>
            </w:pPr>
            <w:r w:rsidRPr="00693AAF">
              <w:rPr>
                <w:b/>
                <w:bCs/>
              </w:rPr>
              <w:t>Czech Banking Association</w:t>
            </w:r>
          </w:p>
        </w:tc>
        <w:tc>
          <w:tcPr>
            <w:tcW w:w="3621" w:type="dxa"/>
            <w:shd w:val="clear" w:color="auto" w:fill="ECFFC3"/>
            <w:vAlign w:val="center"/>
          </w:tcPr>
          <w:p w:rsidR="00065632" w:rsidRPr="00693AAF" w:rsidRDefault="00065632" w:rsidP="00693AAF">
            <w:pPr>
              <w:spacing w:after="0"/>
              <w:jc w:val="left"/>
            </w:pPr>
            <w:r w:rsidRPr="00693AAF">
              <w:t xml:space="preserve">Helena </w:t>
            </w:r>
            <w:proofErr w:type="spellStart"/>
            <w:r w:rsidRPr="00693AAF">
              <w:t>Zavázalová</w:t>
            </w:r>
            <w:proofErr w:type="spellEnd"/>
          </w:p>
        </w:tc>
      </w:tr>
    </w:tbl>
    <w:p w:rsidR="00065632" w:rsidRDefault="00065632" w:rsidP="0097463A">
      <w:pPr>
        <w:spacing w:after="0"/>
      </w:pPr>
    </w:p>
    <w:p w:rsidR="00065632" w:rsidRDefault="00065632" w:rsidP="0014724F">
      <w:r>
        <w:t>In addition to personal consultations, the Contractor took advantage of long distance consultation with the representatives other managing authorities whose programmes are thematically linked to the IROP and last but not least, the Contractor consulted colleagues from Deloitte offices abroad who specialise in the monitored issues.</w:t>
      </w:r>
    </w:p>
    <w:p w:rsidR="00065632" w:rsidRDefault="00065632" w:rsidP="00BD1C99">
      <w:pPr>
        <w:pStyle w:val="Highlight3"/>
      </w:pPr>
      <w:r>
        <w:t>Questionnaire survey</w:t>
      </w:r>
    </w:p>
    <w:p w:rsidR="00065632" w:rsidRDefault="00065632" w:rsidP="0014724F">
      <w:r>
        <w:t>A questionnaire survey was conducted upon agreement with representatives of the project management, aimed to evaluate the existing results of investment activities in the monitored area, to quantify the potential demand for IROP state aid and evaluation of interest in the proposed loan financial instrument. In ensuring the implementation of the questionnaire survey, the Contractor cooperated with the Union of Czech and Moravian Housing Co-operatives, the Czech Union of Housing Cooperatives and Owners' Partnerships and with representatives of the State Fund for Housing Development.</w:t>
      </w:r>
    </w:p>
    <w:p w:rsidR="00065632" w:rsidRPr="005826DF" w:rsidRDefault="00065632" w:rsidP="00BD1C99">
      <w:pPr>
        <w:pStyle w:val="Highlight3"/>
      </w:pPr>
      <w:r>
        <w:t>Evaluation of the economic impact</w:t>
      </w:r>
    </w:p>
    <w:p w:rsidR="00065632" w:rsidRDefault="00065632" w:rsidP="008848F7">
      <w:r>
        <w:t xml:space="preserve">The Contractor’s project team used standard methodology to model the economic impact of deploying IFIs in IROP when updating the evaluation of the potential of the added value and leverage of the proposed instrument. To this end, the best available techniques and instruments were used, in accordance with the methodological guidelines for IFIs in the programming period 2014–2020 as required by the </w:t>
      </w:r>
      <w:proofErr w:type="spellStart"/>
      <w:r>
        <w:t>MoRD</w:t>
      </w:r>
      <w:proofErr w:type="spellEnd"/>
      <w:r>
        <w:t>-NCA. A model used for these purposes is attached to the report.</w:t>
      </w:r>
    </w:p>
    <w:p w:rsidR="00065632" w:rsidRDefault="00065632" w:rsidP="00BD1C99">
      <w:r>
        <w:t xml:space="preserve">The Contractor also used economic modelling to compare various forms of financing a typical project—this involved a comparison of investment using only the applicant's own sources, impacts of granting a 40% subsidy and results of provision of a 100% soft loan. </w:t>
      </w:r>
    </w:p>
    <w:p w:rsidR="00065632" w:rsidRDefault="00065632" w:rsidP="00BD1C99">
      <w:r>
        <w:lastRenderedPageBreak/>
        <w:t>Finally, the Contractor carried out modelling of economic impact as regards provision of state aid, expressed by gross grant equivalent, which is crucial for the possibility of assessment whether the maximum limits of aid intensity of the selected regime of state aid guidelines have been complied with. A model used for these purposes is attached to the report.</w:t>
      </w:r>
    </w:p>
    <w:p w:rsidR="00065632" w:rsidRDefault="00065632" w:rsidP="00BD1C99"/>
    <w:p w:rsidR="00065632" w:rsidRPr="005826DF" w:rsidRDefault="00065632" w:rsidP="00BD1C99">
      <w:pPr>
        <w:pStyle w:val="Highlight3"/>
      </w:pPr>
      <w:r>
        <w:t>Benchmarking methods</w:t>
      </w:r>
    </w:p>
    <w:p w:rsidR="00065632" w:rsidRDefault="00065632" w:rsidP="0089637B">
      <w:r>
        <w:t>Best practice abroad was compared, and based on the acquired information changes were made to the IFI proposal for the IROP. The Contractor worked closely with the Deloitte offices in Belgium, Luxembourg and Great Britain, which ensured sharing of essential news and best practice within the (creation of) measures and regulations directly in the European Commission and sharing of experience with creation of financial instruments in the past in the aforementioned states. Moreover, these colleagues were used for additional consultations of methodological uncertainties and open questions, which would regularly arise in the proposal stage of the Project implementation.</w:t>
      </w:r>
    </w:p>
    <w:p w:rsidR="00065632" w:rsidRPr="00CB5ED7" w:rsidRDefault="00065632" w:rsidP="00DA4E52">
      <w:pPr>
        <w:pStyle w:val="Nadpis1"/>
        <w:ind w:left="567" w:hanging="567"/>
      </w:pPr>
      <w:bookmarkStart w:id="20" w:name="_Toc386460029"/>
      <w:bookmarkStart w:id="21" w:name="_Toc397701280"/>
      <w:bookmarkStart w:id="22" w:name="_Toc401150097"/>
      <w:bookmarkStart w:id="23" w:name="_Toc409797478"/>
      <w:bookmarkStart w:id="24" w:name="_Toc418767136"/>
      <w:bookmarkStart w:id="25" w:name="_Toc426033646"/>
      <w:bookmarkEnd w:id="2"/>
      <w:r>
        <w:lastRenderedPageBreak/>
        <w:t>Possibilities for use of IFIs</w:t>
      </w:r>
      <w:bookmarkEnd w:id="20"/>
      <w:bookmarkEnd w:id="21"/>
      <w:bookmarkEnd w:id="22"/>
      <w:bookmarkEnd w:id="23"/>
      <w:bookmarkEnd w:id="24"/>
      <w:bookmarkEnd w:id="25"/>
    </w:p>
    <w:p w:rsidR="00065632" w:rsidRPr="00CB5ED7" w:rsidRDefault="00065632" w:rsidP="00DA4E52">
      <w:pPr>
        <w:pStyle w:val="Nadpis2"/>
      </w:pPr>
      <w:bookmarkStart w:id="26" w:name="_Toc386460031"/>
      <w:bookmarkStart w:id="27" w:name="_Toc397701282"/>
      <w:bookmarkStart w:id="28" w:name="_Toc400570370"/>
      <w:bookmarkStart w:id="29" w:name="_Toc401150099"/>
      <w:bookmarkStart w:id="30" w:name="_Toc409797479"/>
      <w:bookmarkStart w:id="31" w:name="_Toc418767137"/>
      <w:bookmarkStart w:id="32" w:name="_Toc426033647"/>
      <w:r>
        <w:t>Innovative financial instruments</w:t>
      </w:r>
      <w:bookmarkEnd w:id="26"/>
      <w:bookmarkEnd w:id="27"/>
      <w:bookmarkEnd w:id="28"/>
      <w:bookmarkEnd w:id="29"/>
      <w:bookmarkEnd w:id="30"/>
      <w:bookmarkEnd w:id="31"/>
      <w:bookmarkEnd w:id="32"/>
    </w:p>
    <w:p w:rsidR="00065632" w:rsidRPr="00CB5ED7" w:rsidRDefault="00065632" w:rsidP="00DA4E52">
      <w:r>
        <w:rPr>
          <w:b/>
          <w:bCs/>
        </w:rPr>
        <w:t xml:space="preserve">The term innovative financial </w:t>
      </w:r>
      <w:proofErr w:type="gramStart"/>
      <w:r>
        <w:rPr>
          <w:b/>
          <w:bCs/>
        </w:rPr>
        <w:t>instruments ("IFIs) covers</w:t>
      </w:r>
      <w:proofErr w:type="gramEnd"/>
      <w:r>
        <w:rPr>
          <w:b/>
          <w:bCs/>
        </w:rPr>
        <w:t xml:space="preserve"> various forms of capital, guarantee and debt instruments. Compared to grant financing, one of the main advantages of the IFIs</w:t>
      </w:r>
      <w:r>
        <w:t xml:space="preserve"> is the fact that </w:t>
      </w:r>
      <w:r>
        <w:rPr>
          <w:b/>
          <w:bCs/>
        </w:rPr>
        <w:t>financial instruments are repayable</w:t>
      </w:r>
      <w:r>
        <w:t xml:space="preserve">. This is due to the contemplated </w:t>
      </w:r>
      <w:r>
        <w:rPr>
          <w:b/>
          <w:bCs/>
        </w:rPr>
        <w:t>construction which enables return on investment</w:t>
      </w:r>
      <w:r>
        <w:t xml:space="preserve"> in the form of payments of principal, interests on the provided loans, dividend and interest income from investments into equity and quasi entity capital, and in the form of principal payments of the subordinate debt and income from the sale of some, or all contributions to the project. Funds that have been used once can be repeatedly used in the same or different IFI.</w:t>
      </w:r>
    </w:p>
    <w:p w:rsidR="00065632" w:rsidRPr="00CB5ED7" w:rsidRDefault="00065632" w:rsidP="00DA4E52">
      <w:r>
        <w:rPr>
          <w:b/>
          <w:bCs/>
        </w:rPr>
        <w:t>IFIs represent the most suitable form of aid for projects and areas</w:t>
      </w:r>
      <w:r>
        <w:t xml:space="preserve"> where there is </w:t>
      </w:r>
      <w:r>
        <w:rPr>
          <w:b/>
          <w:bCs/>
        </w:rPr>
        <w:t>at least some return on investment</w:t>
      </w:r>
      <w:r>
        <w:t xml:space="preserve">, or savings. Individual grants distort the market by providing to selected entities not only the comparative but also absolute advantage compared to the competition. By providing grants, the entities' profit is actually subsidised (i.e. there is a surplus of funds) and the entities have no incentive to manage the funds efficiently. The return on IFIs should decrease this </w:t>
      </w:r>
      <w:proofErr w:type="gramStart"/>
      <w:r>
        <w:t>deformation,</w:t>
      </w:r>
      <w:proofErr w:type="gramEnd"/>
      <w:r>
        <w:t xml:space="preserve"> motivate the entities to display better market behaviour and to increase their competitiveness. </w:t>
      </w:r>
    </w:p>
    <w:p w:rsidR="00065632" w:rsidRPr="00CB5ED7" w:rsidRDefault="00065632" w:rsidP="00DA4E52">
      <w:pPr>
        <w:pStyle w:val="Highlight3"/>
      </w:pPr>
      <w:r>
        <w:t>Using IFIs in the CR</w:t>
      </w:r>
    </w:p>
    <w:p w:rsidR="00065632" w:rsidRDefault="00065632" w:rsidP="00DA4E52">
      <w:r>
        <w:t>In the programming period 2007–2013, the most common example of use of financial instruments was implementation of the JESSICA programme—Joint European Support for Sustainable Investment in City Areas. Selected managing authorities transferred part of the operational programme funds to established urban development funds which invest in the public-private partnerships or other projects included in the integrated plan of sustainable urban development (also referred to as IUDP). The use of this instrument in Czech condition meant provision of soft loans to eligible projects in two specific cases:</w:t>
      </w:r>
    </w:p>
    <w:p w:rsidR="00065632" w:rsidRPr="00CD06E0" w:rsidRDefault="00065632" w:rsidP="00065632">
      <w:pPr>
        <w:pStyle w:val="Odstavecseseznamem"/>
        <w:numPr>
          <w:ilvl w:val="0"/>
          <w:numId w:val="36"/>
        </w:numPr>
      </w:pPr>
      <w:r>
        <w:t xml:space="preserve">Under the </w:t>
      </w:r>
      <w:r>
        <w:rPr>
          <w:b/>
          <w:bCs/>
        </w:rPr>
        <w:t>Integrated Operational Programme</w:t>
      </w:r>
      <w:r>
        <w:t xml:space="preserve">, part of the allocation to support housing policy and regeneration of deprived zones was earmarked for a </w:t>
      </w:r>
      <w:r>
        <w:rPr>
          <w:b/>
          <w:bCs/>
        </w:rPr>
        <w:t xml:space="preserve">holding fund (i.e. FI JESSICA) established by the State Fund for Housing Development </w:t>
      </w:r>
      <w:r>
        <w:t xml:space="preserve">(also referred to as SFHD), which </w:t>
      </w:r>
      <w:r>
        <w:rPr>
          <w:b/>
          <w:bCs/>
        </w:rPr>
        <w:t>provides long-term low-interest loans for revitalisation of housing in deprived zones in cities with IUDP</w:t>
      </w:r>
      <w:r>
        <w:t xml:space="preserve">. Loans can be used for reconstructions and modernisations of the external walls and common parts of residential buildings or for the establishment or reconstruction of social housing. Submission of loan applications commenced in January 2014. Administration and provision of loans under the JESSICA programme is ensured by the Urban Development Fund Administrator, which is, based on the results of a tender, </w:t>
      </w:r>
      <w:proofErr w:type="spellStart"/>
      <w:r>
        <w:t>Komerční</w:t>
      </w:r>
      <w:proofErr w:type="spellEnd"/>
      <w:r>
        <w:t xml:space="preserve"> </w:t>
      </w:r>
      <w:proofErr w:type="spellStart"/>
      <w:proofErr w:type="gramStart"/>
      <w:r>
        <w:t>banka</w:t>
      </w:r>
      <w:proofErr w:type="spellEnd"/>
      <w:proofErr w:type="gramEnd"/>
      <w:r>
        <w:t xml:space="preserve">, </w:t>
      </w:r>
      <w:proofErr w:type="spellStart"/>
      <w:r>
        <w:t>a.s</w:t>
      </w:r>
      <w:proofErr w:type="spellEnd"/>
      <w:r>
        <w:t>. The limit of the total allocation, which is distributed among individual recipients of soft loans, was set as CZK 570 million.</w:t>
      </w:r>
    </w:p>
    <w:p w:rsidR="00065632" w:rsidRPr="00CD06E0" w:rsidRDefault="00065632" w:rsidP="00065632">
      <w:pPr>
        <w:pStyle w:val="Odstavecseseznamem"/>
        <w:numPr>
          <w:ilvl w:val="0"/>
          <w:numId w:val="36"/>
        </w:numPr>
      </w:pPr>
      <w:r>
        <w:t xml:space="preserve">Under the </w:t>
      </w:r>
      <w:r>
        <w:rPr>
          <w:b/>
          <w:bCs/>
        </w:rPr>
        <w:t>Regional Operational Programme of the Moravian-Silesian Region, two urban development funds were established</w:t>
      </w:r>
      <w:r>
        <w:t xml:space="preserve"> with the aim to invest into the development of urban areas and to ensure return on the invested funds. On the basis of the signed agreement, the total volume of the invested funds should reach EUR 20 million, circa CZK 507 million.</w:t>
      </w:r>
    </w:p>
    <w:p w:rsidR="00065632" w:rsidRDefault="00065632" w:rsidP="00065632">
      <w:pPr>
        <w:pStyle w:val="Odstavecseseznamem"/>
        <w:numPr>
          <w:ilvl w:val="0"/>
          <w:numId w:val="36"/>
        </w:numPr>
      </w:pPr>
      <w:r>
        <w:rPr>
          <w:b/>
          <w:bCs/>
        </w:rPr>
        <w:t>In Prague City efforts were made to use the JESSICA instrument</w:t>
      </w:r>
      <w:r>
        <w:t xml:space="preserve"> for the Operational Programme Prague Competitiveness; however, </w:t>
      </w:r>
      <w:r>
        <w:rPr>
          <w:b/>
          <w:bCs/>
        </w:rPr>
        <w:t>the instrument was not implemented in the Operational Programme Prague Competitiveness due to problems with the tender for the fund administrator</w:t>
      </w:r>
      <w:r>
        <w:t xml:space="preserve">, which had to be cancelled, and since the programming period was coming to an end, a new tender could not have been organised. There were similar efforts to establish the JESSICA programme under the </w:t>
      </w:r>
      <w:r>
        <w:rPr>
          <w:b/>
          <w:bCs/>
        </w:rPr>
        <w:t>Regional Operational Programme Central Moravia</w:t>
      </w:r>
      <w:r>
        <w:t xml:space="preserve">; however, the </w:t>
      </w:r>
      <w:r>
        <w:rPr>
          <w:b/>
          <w:bCs/>
        </w:rPr>
        <w:t>financial instrument was not implemented eventually</w:t>
      </w:r>
      <w:r>
        <w:t xml:space="preserve"> after several rounds of postponing the establishment and launch.</w:t>
      </w:r>
    </w:p>
    <w:p w:rsidR="00065632" w:rsidRPr="00A757FE" w:rsidRDefault="00065632" w:rsidP="00DA4E52">
      <w:r>
        <w:t>In addition to financial instruments used through the implementation of the JESSICA programme, the Ministry of Industry and Trade, the managing authority of the Operational Programme Enterprise and Innovation ("OP EI") was also active in the monitored area in the period 2007–2013, with the following results:</w:t>
      </w:r>
    </w:p>
    <w:p w:rsidR="00065632" w:rsidRDefault="00065632" w:rsidP="00065632">
      <w:pPr>
        <w:pStyle w:val="Odstavecseseznamem"/>
        <w:numPr>
          <w:ilvl w:val="0"/>
          <w:numId w:val="36"/>
        </w:numPr>
      </w:pPr>
      <w:r>
        <w:lastRenderedPageBreak/>
        <w:t xml:space="preserve">The Operational Programme Enterprise and Innovation earmarked part of its allocation for </w:t>
      </w:r>
      <w:r>
        <w:rPr>
          <w:b/>
          <w:bCs/>
        </w:rPr>
        <w:t>programmes GUARANTEE and PROGRESS</w:t>
      </w:r>
      <w:r>
        <w:t xml:space="preserve">, which operated on the basis of a financial instrument—they provided soft loans and guarantee to enterprises which met selected conditions. The </w:t>
      </w:r>
      <w:r>
        <w:rPr>
          <w:b/>
          <w:bCs/>
        </w:rPr>
        <w:t>Czech-Moravian Guarantee and Development Bank</w:t>
      </w:r>
      <w:r>
        <w:t xml:space="preserve"> </w:t>
      </w:r>
      <w:proofErr w:type="gramStart"/>
      <w:r>
        <w:t>was</w:t>
      </w:r>
      <w:proofErr w:type="gramEnd"/>
      <w:r>
        <w:t xml:space="preserve"> used as the instrument administrator—the set-up of the implementation structure was disputed by the European Commission and the </w:t>
      </w:r>
      <w:r>
        <w:rPr>
          <w:b/>
          <w:bCs/>
        </w:rPr>
        <w:t>monitored instrument was subsequently suspended for suspected irregularities</w:t>
      </w:r>
      <w:r>
        <w:t>.</w:t>
      </w:r>
    </w:p>
    <w:p w:rsidR="00065632" w:rsidRPr="00CB5ED7" w:rsidRDefault="00065632" w:rsidP="00065632">
      <w:pPr>
        <w:pStyle w:val="Odstavecseseznamem"/>
        <w:numPr>
          <w:ilvl w:val="0"/>
          <w:numId w:val="36"/>
        </w:numPr>
        <w:ind w:left="714" w:hanging="357"/>
      </w:pPr>
      <w:r>
        <w:t xml:space="preserve">The OP EI objectives included establishment of the Czech Development Closed-End Investment Fund (hereinafter the "CDCEIF") was set up by the Ministry of Industry and Trade with the aim of </w:t>
      </w:r>
      <w:r>
        <w:rPr>
          <w:b/>
          <w:bCs/>
        </w:rPr>
        <w:t>investing risk capital into the SMEs, in particular in the form of capital and quasi capital instruments</w:t>
      </w:r>
      <w:r>
        <w:t xml:space="preserve"> and other types of aid. Funds for the implementation of the CDCEIF were earmarked from the Operational Programme Enterprise and Innovation; </w:t>
      </w:r>
      <w:r>
        <w:rPr>
          <w:b/>
          <w:bCs/>
        </w:rPr>
        <w:t>the total allocation should reach circa approx. EUR 53 million</w:t>
      </w:r>
      <w:r>
        <w:t xml:space="preserve">. Due to the delays in the tender proceedings, </w:t>
      </w:r>
      <w:r>
        <w:rPr>
          <w:b/>
          <w:bCs/>
        </w:rPr>
        <w:t>the CDCEIF has not started its operation as of today.</w:t>
      </w:r>
    </w:p>
    <w:p w:rsidR="00065632" w:rsidRPr="00CB5ED7" w:rsidRDefault="00065632" w:rsidP="00DA4E52">
      <w:r>
        <w:t xml:space="preserve">In general, </w:t>
      </w:r>
      <w:r>
        <w:rPr>
          <w:b/>
          <w:bCs/>
        </w:rPr>
        <w:t>the use of IFIs in the programming period 2007-2013</w:t>
      </w:r>
      <w:r>
        <w:t xml:space="preserve"> can be seen as </w:t>
      </w:r>
      <w:r>
        <w:rPr>
          <w:b/>
          <w:bCs/>
        </w:rPr>
        <w:t>marginal</w:t>
      </w:r>
      <w:r>
        <w:rPr>
          <w:rStyle w:val="Znakapoznpodarou"/>
          <w:b/>
          <w:bCs/>
        </w:rPr>
        <w:footnoteReference w:id="1"/>
      </w:r>
      <w:r>
        <w:t xml:space="preserve"> in comparison with the overall volume of EU funds; this is due to their relative complexity and inadequate promotion by public entities. Furthermore, these are </w:t>
      </w:r>
      <w:r>
        <w:rPr>
          <w:b/>
          <w:bCs/>
        </w:rPr>
        <w:t>almost exclusively</w:t>
      </w:r>
      <w:r>
        <w:t xml:space="preserve"> IFIs in </w:t>
      </w:r>
      <w:r>
        <w:rPr>
          <w:b/>
          <w:bCs/>
        </w:rPr>
        <w:t>the form of provided loans and guarantees.</w:t>
      </w:r>
      <w:r>
        <w:t xml:space="preserve"> </w:t>
      </w:r>
    </w:p>
    <w:p w:rsidR="00065632" w:rsidRPr="00CB5ED7" w:rsidRDefault="00065632" w:rsidP="00DA4E52">
      <w:pPr>
        <w:pStyle w:val="Nadpis2"/>
      </w:pPr>
      <w:bookmarkStart w:id="33" w:name="_Toc386460035"/>
      <w:bookmarkStart w:id="34" w:name="_Toc397701286"/>
      <w:bookmarkStart w:id="35" w:name="_Toc400570374"/>
      <w:bookmarkStart w:id="36" w:name="_Toc401150103"/>
      <w:bookmarkStart w:id="37" w:name="_Toc409797480"/>
      <w:bookmarkStart w:id="38" w:name="_Toc418767138"/>
      <w:bookmarkStart w:id="39" w:name="_Toc426033648"/>
      <w:r>
        <w:t>Comparing IFIs with grant financing</w:t>
      </w:r>
      <w:bookmarkEnd w:id="33"/>
      <w:bookmarkEnd w:id="34"/>
      <w:bookmarkEnd w:id="35"/>
      <w:bookmarkEnd w:id="36"/>
      <w:bookmarkEnd w:id="37"/>
      <w:bookmarkEnd w:id="38"/>
      <w:bookmarkEnd w:id="39"/>
    </w:p>
    <w:p w:rsidR="00065632" w:rsidRPr="00CB5ED7" w:rsidRDefault="00065632" w:rsidP="00DA4E52">
      <w:r>
        <w:rPr>
          <w:b/>
          <w:bCs/>
        </w:rPr>
        <w:t>Compared with grant financing, IFIs show many major differences</w:t>
      </w:r>
      <w:r>
        <w:t>; the main ones are, in particular, as follows:</w:t>
      </w:r>
    </w:p>
    <w:p w:rsidR="00065632" w:rsidRPr="00CB5ED7" w:rsidRDefault="00065632" w:rsidP="00065632">
      <w:pPr>
        <w:pStyle w:val="Odstavecseseznamem"/>
        <w:numPr>
          <w:ilvl w:val="0"/>
          <w:numId w:val="36"/>
        </w:numPr>
        <w:rPr>
          <w:b/>
          <w:bCs/>
        </w:rPr>
      </w:pPr>
      <w:r>
        <w:rPr>
          <w:b/>
          <w:bCs/>
        </w:rPr>
        <w:t>Repayable sources</w:t>
      </w:r>
      <w:r>
        <w:t xml:space="preserve"> - with regards to the payback character of individual IFIs it is possible to use these allocated funds in future to finance selected areas and projects. According to Article 45 of the Common Provisions Regulation, Member States must ensure that resources paid back are used in accordance with the aims of the programme or programmes within 8 years after the end of the eligibility period. After the expiry of this period, funds can be used in another way. IFIs contribute to long-term stimulation of economic activities.</w:t>
      </w:r>
    </w:p>
    <w:p w:rsidR="00065632" w:rsidRPr="00CB5ED7" w:rsidRDefault="00065632" w:rsidP="00065632">
      <w:pPr>
        <w:pStyle w:val="Odstavecseseznamem"/>
        <w:numPr>
          <w:ilvl w:val="0"/>
          <w:numId w:val="36"/>
        </w:numPr>
        <w:rPr>
          <w:b/>
          <w:bCs/>
        </w:rPr>
      </w:pPr>
      <w:r>
        <w:rPr>
          <w:b/>
          <w:bCs/>
        </w:rPr>
        <w:t>Leverage</w:t>
      </w:r>
      <w:r>
        <w:t xml:space="preserve"> - one of the main preconditions of the implementation of the IFI is the use of the leverage, i.e. including additional sources to finance selected areas/projects. These sources can be both public and private. It is preferential to include private sources in order to reinforce and develop financial and capital markets in individual member states. In order to involve private sources, it is essential to implement a mechanism which will be attractive for investors, i.e. it will decrease the risk of private investors or increase their profit, alternatively a combination of both. By implementing the leverage it is possible to increase the overall volume of investment into economy, to enable efficient allocation of capital.</w:t>
      </w:r>
    </w:p>
    <w:p w:rsidR="00065632" w:rsidRPr="00D64861" w:rsidRDefault="00065632" w:rsidP="00065632">
      <w:pPr>
        <w:pStyle w:val="Odstavecseseznamem"/>
        <w:numPr>
          <w:ilvl w:val="0"/>
          <w:numId w:val="36"/>
        </w:numPr>
        <w:rPr>
          <w:b/>
          <w:bCs/>
        </w:rPr>
      </w:pPr>
      <w:r>
        <w:rPr>
          <w:b/>
          <w:bCs/>
        </w:rPr>
        <w:t xml:space="preserve">Combinations with other forms of aid </w:t>
      </w:r>
      <w:r>
        <w:t>- in the programming period 2014-2020 it is possible to combine IFIs and to combine IFIs with grants, loan rate subsidies and guarantee fee subsidies. If aid is provided through a combination of IFIs and other forms of aid (including technical assistance), that are directly linked to the IFIs in relation to the same beneficiaries, all provisions applicable to IFIs will also apply to all forms of aid.</w:t>
      </w:r>
    </w:p>
    <w:p w:rsidR="00065632" w:rsidRPr="0085756F" w:rsidRDefault="00065632" w:rsidP="00065632">
      <w:pPr>
        <w:pStyle w:val="Odstavecseseznamem"/>
        <w:numPr>
          <w:ilvl w:val="0"/>
          <w:numId w:val="36"/>
        </w:numPr>
        <w:rPr>
          <w:b/>
          <w:bCs/>
        </w:rPr>
      </w:pPr>
      <w:r>
        <w:rPr>
          <w:b/>
          <w:bCs/>
        </w:rPr>
        <w:t>Flexibility</w:t>
      </w:r>
      <w:r>
        <w:t xml:space="preserve"> – when using financial instruments, it is possible to prepare </w:t>
      </w:r>
      <w:r>
        <w:rPr>
          <w:i/>
          <w:iCs/>
        </w:rPr>
        <w:t>tailor made</w:t>
      </w:r>
      <w:r>
        <w:t xml:space="preserve"> terms and conditions in the contract in order to achieve the best set up for the attainment of desirable objectives, both from the point of view of the provider, but also from the point of view of the potential co-financing entity, and the beneficiary. In comparison with subsidies, a lower level of administrative burden for applicants/beneficiaries is typical of IFIs which enables to respond to the needs of the target group, or aid beneficiaries, quickly and efficiently.</w:t>
      </w:r>
    </w:p>
    <w:p w:rsidR="00065632" w:rsidRPr="00CB5ED7" w:rsidRDefault="00065632" w:rsidP="00065632">
      <w:pPr>
        <w:pStyle w:val="Odstavecseseznamem"/>
        <w:numPr>
          <w:ilvl w:val="0"/>
          <w:numId w:val="36"/>
        </w:numPr>
        <w:rPr>
          <w:b/>
          <w:bCs/>
        </w:rPr>
      </w:pPr>
      <w:r>
        <w:rPr>
          <w:b/>
          <w:bCs/>
        </w:rPr>
        <w:t>Binding nature and volume of national sources</w:t>
      </w:r>
      <w:r>
        <w:t xml:space="preserve"> - whilst grant financing required "pre-financing" of individual projects from national sources due to their character and procedures, funds from IFIs </w:t>
      </w:r>
      <w:r>
        <w:lastRenderedPageBreak/>
        <w:t xml:space="preserve">are available (certified) before the implementation of individual </w:t>
      </w:r>
      <w:proofErr w:type="gramStart"/>
      <w:r>
        <w:t>projects.</w:t>
      </w:r>
      <w:proofErr w:type="gramEnd"/>
      <w:r>
        <w:t xml:space="preserve"> It is also possible to use sources from the private sector to co-finance funds from the EU funds.</w:t>
      </w:r>
    </w:p>
    <w:p w:rsidR="00065632" w:rsidRPr="00D96C1A" w:rsidRDefault="00065632" w:rsidP="00065632">
      <w:pPr>
        <w:pStyle w:val="Odstavecseseznamem"/>
        <w:numPr>
          <w:ilvl w:val="0"/>
          <w:numId w:val="36"/>
        </w:numPr>
        <w:rPr>
          <w:b/>
          <w:bCs/>
        </w:rPr>
      </w:pPr>
      <w:r>
        <w:rPr>
          <w:b/>
          <w:bCs/>
        </w:rPr>
        <w:t>Private sector know-how</w:t>
      </w:r>
      <w:r>
        <w:t xml:space="preserve"> - in view of its mission, the public sector does not have and cannot have the knowledge of specific areas and the method of suitable investment of funds. The implementation of IFIs enables the use of specific knowledge and know-how of the private sector as part of the investment process.</w:t>
      </w:r>
    </w:p>
    <w:p w:rsidR="00065632" w:rsidRPr="00B56019" w:rsidRDefault="00065632" w:rsidP="00065632">
      <w:pPr>
        <w:pStyle w:val="Odstavecseseznamem"/>
        <w:numPr>
          <w:ilvl w:val="0"/>
          <w:numId w:val="36"/>
        </w:numPr>
        <w:rPr>
          <w:b/>
          <w:bCs/>
        </w:rPr>
      </w:pPr>
      <w:r>
        <w:rPr>
          <w:b/>
          <w:bCs/>
        </w:rPr>
        <w:t>Monitoring</w:t>
      </w:r>
      <w:r>
        <w:t xml:space="preserve"> - in contrast to subsidies, repayable financial instruments will be monitoring not only the input but also the output which will lead to a much bigger/more suitable monitoring of the aided projects (in particular applicability of their outputs).</w:t>
      </w:r>
    </w:p>
    <w:p w:rsidR="00065632" w:rsidRPr="00CB5ED7" w:rsidRDefault="00065632" w:rsidP="00065632">
      <w:pPr>
        <w:pStyle w:val="Odstavecseseznamem"/>
        <w:numPr>
          <w:ilvl w:val="0"/>
          <w:numId w:val="36"/>
        </w:numPr>
        <w:rPr>
          <w:b/>
          <w:bCs/>
        </w:rPr>
      </w:pPr>
      <w:r>
        <w:rPr>
          <w:b/>
          <w:bCs/>
        </w:rPr>
        <w:t>Macroeconomic impacts</w:t>
      </w:r>
      <w:r>
        <w:t xml:space="preserve"> - as stated above grant financing will subsidise the profit of private sector final beneficiaries. On the other hand, IFIs, as a repayable source, stimulate final beneficiaries to minimise the cost and to manage funds in an efficient and economic manner. Moreover, IFIs support projects which have at least the minimum return on investment. From the macroeconomic point of view, IFIs distort the market far less than grant financing, and they enhance economic activity due to the multiplier effect. </w:t>
      </w:r>
    </w:p>
    <w:p w:rsidR="00065632" w:rsidRPr="00CB5ED7" w:rsidRDefault="00065632" w:rsidP="00DA4E52">
      <w:pPr>
        <w:rPr>
          <w:b/>
          <w:bCs/>
        </w:rPr>
      </w:pPr>
      <w:r>
        <w:t xml:space="preserve">Based on the stated above, </w:t>
      </w:r>
      <w:r>
        <w:rPr>
          <w:b/>
          <w:bCs/>
        </w:rPr>
        <w:t>it may be noted that compared to grant financing IFIs present a major advantage.</w:t>
      </w:r>
      <w:r>
        <w:t xml:space="preserve"> In addition to the aforementioned, the implementation of IFIs can contribute to many other positive effects such as, for example increasing the awareness of foreign investors about the CR, connection of the CR to the "Junker's package", development of the capital market, development of new investment instruments etc. </w:t>
      </w:r>
      <w:r>
        <w:rPr>
          <w:b/>
          <w:bCs/>
        </w:rPr>
        <w:t xml:space="preserve">The objective of the </w:t>
      </w:r>
      <w:proofErr w:type="spellStart"/>
      <w:r>
        <w:rPr>
          <w:b/>
          <w:bCs/>
        </w:rPr>
        <w:t>MoRD</w:t>
      </w:r>
      <w:proofErr w:type="spellEnd"/>
      <w:r>
        <w:t xml:space="preserve"> and the CR in general should be </w:t>
      </w:r>
      <w:r>
        <w:rPr>
          <w:b/>
          <w:bCs/>
        </w:rPr>
        <w:t xml:space="preserve">to maximise the use of the IFIs during the new programming period </w:t>
      </w:r>
      <w:r>
        <w:t xml:space="preserve">in view of the fact that </w:t>
      </w:r>
      <w:r>
        <w:rPr>
          <w:b/>
          <w:bCs/>
        </w:rPr>
        <w:t>the total allocation of funds from the EU is most likely to drop in the next programming periods.</w:t>
      </w:r>
    </w:p>
    <w:p w:rsidR="00065632" w:rsidRPr="00492465" w:rsidRDefault="00065632" w:rsidP="00DA4E52">
      <w:pPr>
        <w:pStyle w:val="CaptionIntroductionparagraph"/>
        <w:sectPr w:rsidR="00065632" w:rsidRPr="00492465" w:rsidSect="009F4CD7">
          <w:headerReference w:type="default" r:id="rId15"/>
          <w:pgSz w:w="11906" w:h="16838" w:code="9"/>
          <w:pgMar w:top="1418" w:right="1418" w:bottom="1418" w:left="1418" w:header="709" w:footer="709" w:gutter="0"/>
          <w:paperSrc w:first="15" w:other="15"/>
          <w:cols w:space="708"/>
          <w:docGrid w:linePitch="360"/>
        </w:sectPr>
      </w:pPr>
    </w:p>
    <w:p w:rsidR="00065632" w:rsidRDefault="00065632" w:rsidP="00DA4E52">
      <w:pPr>
        <w:pStyle w:val="Nadpis1"/>
      </w:pPr>
      <w:bookmarkStart w:id="40" w:name="_Toc397701290"/>
      <w:bookmarkStart w:id="41" w:name="_Toc401150107"/>
      <w:bookmarkStart w:id="42" w:name="_Toc409797481"/>
      <w:bookmarkStart w:id="43" w:name="_Toc418767139"/>
      <w:bookmarkStart w:id="44" w:name="_Toc426033649"/>
      <w:r>
        <w:lastRenderedPageBreak/>
        <w:t>Block A - Mapping market characteristics</w:t>
      </w:r>
      <w:bookmarkEnd w:id="40"/>
      <w:bookmarkEnd w:id="41"/>
      <w:bookmarkEnd w:id="42"/>
      <w:bookmarkEnd w:id="43"/>
      <w:bookmarkEnd w:id="44"/>
    </w:p>
    <w:p w:rsidR="00065632" w:rsidRPr="00693AAF" w:rsidRDefault="00065632" w:rsidP="00460219">
      <w:r>
        <w:t xml:space="preserve">The following chapter summarizes the conclusions regarding topics 1–3 and topic 5 in accordance with the Project instructions, as confirmed in the Initial Report, dealing with </w:t>
      </w:r>
      <w:bookmarkStart w:id="45" w:name="_Toc397701291"/>
      <w:bookmarkStart w:id="46" w:name="_Toc400570379"/>
      <w:bookmarkStart w:id="47" w:name="_Toc401150108"/>
      <w:r>
        <w:rPr>
          <w:b/>
          <w:bCs/>
        </w:rPr>
        <w:t>analysis of market failure, sub-optimal investment situations, investment needs; assessment of the added value of financial instruments; estimate of additional public and private sources, and a brief overview of existing experience with financial instruments</w:t>
      </w:r>
      <w:r>
        <w:t>.</w:t>
      </w:r>
    </w:p>
    <w:p w:rsidR="00065632" w:rsidRDefault="00065632" w:rsidP="00DA4E52">
      <w:pPr>
        <w:pStyle w:val="Nadpis2"/>
      </w:pPr>
      <w:bookmarkStart w:id="48" w:name="_Toc409797482"/>
      <w:bookmarkStart w:id="49" w:name="_Toc418767140"/>
      <w:bookmarkStart w:id="50" w:name="_Toc426033650"/>
      <w:r>
        <w:t xml:space="preserve">Pre-screening the areas of aid suitable for the deployment of </w:t>
      </w:r>
      <w:bookmarkEnd w:id="45"/>
      <w:r>
        <w:t>IFIs</w:t>
      </w:r>
      <w:bookmarkEnd w:id="46"/>
      <w:bookmarkEnd w:id="47"/>
      <w:bookmarkEnd w:id="48"/>
      <w:bookmarkEnd w:id="49"/>
      <w:bookmarkEnd w:id="50"/>
    </w:p>
    <w:p w:rsidR="00065632" w:rsidRDefault="00065632" w:rsidP="00DA4E52">
      <w:r>
        <w:t xml:space="preserve">On the basis of the programming document of the IROP the Contractor carried out an initial evaluation of the individual areas of aid in order to avoid mapping out areas which do not have the suitable parameters for using IFIs. A pre-screening survey was prepared for the initial assessment which includes seven attributes which are generally considered, on the basis of best practice, to be of key importance for the general assessment of the potential use of IFIs. </w:t>
      </w:r>
    </w:p>
    <w:p w:rsidR="00065632" w:rsidRDefault="00560258" w:rsidP="00460219">
      <w:pPr>
        <w:jc w:val="center"/>
      </w:pPr>
      <w:r>
        <w:rPr>
          <w:noProof/>
          <w:lang w:val="cs-CZ" w:eastAsia="cs-CZ"/>
        </w:rPr>
        <w:drawing>
          <wp:inline distT="0" distB="0" distL="0" distR="0">
            <wp:extent cx="6848475" cy="2714625"/>
            <wp:effectExtent l="0" t="0" r="9525" b="9525"/>
            <wp:docPr id="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848475" cy="2714625"/>
                    </a:xfrm>
                    <a:prstGeom prst="rect">
                      <a:avLst/>
                    </a:prstGeom>
                    <a:noFill/>
                    <a:ln>
                      <a:noFill/>
                    </a:ln>
                  </pic:spPr>
                </pic:pic>
              </a:graphicData>
            </a:graphic>
          </wp:inline>
        </w:drawing>
      </w:r>
    </w:p>
    <w:p w:rsidR="00065632" w:rsidRDefault="00065632" w:rsidP="00460219">
      <w:pPr>
        <w:pStyle w:val="Titulek"/>
        <w:jc w:val="center"/>
      </w:pPr>
      <w:bookmarkStart w:id="51" w:name="_Toc417655515"/>
      <w:bookmarkStart w:id="52" w:name="_Toc426033926"/>
      <w:r>
        <w:lastRenderedPageBreak/>
        <w:t xml:space="preserve">Figure </w:t>
      </w:r>
      <w:r>
        <w:fldChar w:fldCharType="begin"/>
      </w:r>
      <w:r>
        <w:instrText xml:space="preserve"> SEQ Obrázek \* ARABIC </w:instrText>
      </w:r>
      <w:r>
        <w:fldChar w:fldCharType="separate"/>
      </w:r>
      <w:r>
        <w:rPr>
          <w:noProof/>
        </w:rPr>
        <w:t>1</w:t>
      </w:r>
      <w:r>
        <w:fldChar w:fldCharType="end"/>
      </w:r>
      <w:r>
        <w:t>: Procedure of assessment of IROP targeting with the logic of division of projects into subsidy-based, commercial ones and those suitable for the use of financial instruments</w:t>
      </w:r>
      <w:bookmarkEnd w:id="51"/>
      <w:bookmarkEnd w:id="52"/>
    </w:p>
    <w:p w:rsidR="00065632" w:rsidRDefault="00065632" w:rsidP="00912E5D"/>
    <w:p w:rsidR="00065632" w:rsidRPr="00912E5D" w:rsidRDefault="00065632" w:rsidP="00912E5D">
      <w:pPr>
        <w:rPr>
          <w:highlight w:val="yellow"/>
        </w:rPr>
      </w:pPr>
      <w:r w:rsidRPr="00912E5D">
        <w:rPr>
          <w:highlight w:val="yellow"/>
        </w:rPr>
        <w:t>Increasing profitability rate and market character of the investment</w:t>
      </w:r>
    </w:p>
    <w:p w:rsidR="00065632" w:rsidRPr="00912E5D" w:rsidRDefault="00065632" w:rsidP="00912E5D">
      <w:pPr>
        <w:rPr>
          <w:highlight w:val="yellow"/>
        </w:rPr>
      </w:pPr>
    </w:p>
    <w:p w:rsidR="00065632" w:rsidRPr="00912E5D" w:rsidRDefault="00065632" w:rsidP="00912E5D">
      <w:pPr>
        <w:rPr>
          <w:highlight w:val="yellow"/>
        </w:rPr>
      </w:pPr>
      <w:r w:rsidRPr="00912E5D">
        <w:rPr>
          <w:highlight w:val="yellow"/>
        </w:rPr>
        <w:t>Subsidies</w:t>
      </w:r>
    </w:p>
    <w:p w:rsidR="00065632" w:rsidRPr="00912E5D" w:rsidRDefault="00065632" w:rsidP="00065632">
      <w:pPr>
        <w:numPr>
          <w:ilvl w:val="0"/>
          <w:numId w:val="72"/>
        </w:numPr>
        <w:spacing w:after="0"/>
        <w:jc w:val="left"/>
        <w:rPr>
          <w:highlight w:val="yellow"/>
        </w:rPr>
      </w:pPr>
      <w:r w:rsidRPr="00912E5D">
        <w:rPr>
          <w:highlight w:val="yellow"/>
        </w:rPr>
        <w:t>High risk, very limited market demand for implementation (public interest), inability to guarantee results (CCC rating)</w:t>
      </w:r>
    </w:p>
    <w:p w:rsidR="00065632" w:rsidRPr="00912E5D" w:rsidRDefault="00065632" w:rsidP="00065632">
      <w:pPr>
        <w:numPr>
          <w:ilvl w:val="0"/>
          <w:numId w:val="72"/>
        </w:numPr>
        <w:spacing w:after="0"/>
        <w:jc w:val="left"/>
        <w:rPr>
          <w:highlight w:val="yellow"/>
        </w:rPr>
      </w:pPr>
      <w:r w:rsidRPr="00912E5D">
        <w:rPr>
          <w:highlight w:val="yellow"/>
        </w:rPr>
        <w:t>Benefits (and return) of the implementation are non-financial</w:t>
      </w:r>
    </w:p>
    <w:p w:rsidR="00065632" w:rsidRPr="00912E5D" w:rsidRDefault="00065632" w:rsidP="00065632">
      <w:pPr>
        <w:numPr>
          <w:ilvl w:val="0"/>
          <w:numId w:val="72"/>
        </w:numPr>
        <w:spacing w:after="0"/>
        <w:jc w:val="left"/>
        <w:rPr>
          <w:highlight w:val="yellow"/>
        </w:rPr>
      </w:pPr>
      <w:r w:rsidRPr="00912E5D">
        <w:rPr>
          <w:highlight w:val="yellow"/>
        </w:rPr>
        <w:t>The outcomes are important to fulfil the national strategy in the monitored area; public interest</w:t>
      </w:r>
    </w:p>
    <w:p w:rsidR="00065632" w:rsidRPr="00912E5D" w:rsidRDefault="00065632" w:rsidP="00065632">
      <w:pPr>
        <w:numPr>
          <w:ilvl w:val="0"/>
          <w:numId w:val="72"/>
        </w:numPr>
        <w:spacing w:after="0"/>
        <w:jc w:val="left"/>
        <w:rPr>
          <w:highlight w:val="yellow"/>
        </w:rPr>
      </w:pPr>
      <w:r w:rsidRPr="00912E5D">
        <w:rPr>
          <w:highlight w:val="yellow"/>
        </w:rPr>
        <w:t>Unavailability of alternative sources other than state aid</w:t>
      </w:r>
    </w:p>
    <w:p w:rsidR="00065632" w:rsidRPr="00912E5D" w:rsidRDefault="00065632" w:rsidP="00912E5D">
      <w:pPr>
        <w:rPr>
          <w:highlight w:val="yellow"/>
        </w:rPr>
      </w:pPr>
    </w:p>
    <w:p w:rsidR="00065632" w:rsidRPr="00912E5D" w:rsidRDefault="00065632" w:rsidP="00912E5D">
      <w:pPr>
        <w:rPr>
          <w:highlight w:val="yellow"/>
        </w:rPr>
      </w:pPr>
      <w:r w:rsidRPr="00912E5D">
        <w:rPr>
          <w:highlight w:val="yellow"/>
        </w:rPr>
        <w:t>Financial instruments with state aid</w:t>
      </w:r>
    </w:p>
    <w:p w:rsidR="00065632" w:rsidRPr="00912E5D" w:rsidRDefault="00065632" w:rsidP="00065632">
      <w:pPr>
        <w:numPr>
          <w:ilvl w:val="0"/>
          <w:numId w:val="73"/>
        </w:numPr>
        <w:spacing w:after="0"/>
        <w:jc w:val="left"/>
        <w:rPr>
          <w:highlight w:val="yellow"/>
        </w:rPr>
      </w:pPr>
      <w:r w:rsidRPr="00912E5D">
        <w:rPr>
          <w:highlight w:val="yellow"/>
        </w:rPr>
        <w:t>“Unattractive” risk rating of the implementer/project, uncertain profitability and sustainability (BBB rating)</w:t>
      </w:r>
    </w:p>
    <w:p w:rsidR="00065632" w:rsidRPr="00912E5D" w:rsidRDefault="00065632" w:rsidP="00065632">
      <w:pPr>
        <w:numPr>
          <w:ilvl w:val="0"/>
          <w:numId w:val="73"/>
        </w:numPr>
        <w:spacing w:after="0"/>
        <w:jc w:val="left"/>
        <w:rPr>
          <w:highlight w:val="yellow"/>
        </w:rPr>
      </w:pPr>
      <w:r w:rsidRPr="00912E5D">
        <w:rPr>
          <w:highlight w:val="yellow"/>
        </w:rPr>
        <w:t>Limited public demand (public interest)</w:t>
      </w:r>
    </w:p>
    <w:p w:rsidR="00065632" w:rsidRPr="00912E5D" w:rsidRDefault="00065632" w:rsidP="00065632">
      <w:pPr>
        <w:numPr>
          <w:ilvl w:val="0"/>
          <w:numId w:val="73"/>
        </w:numPr>
        <w:spacing w:after="0"/>
        <w:jc w:val="left"/>
        <w:rPr>
          <w:highlight w:val="yellow"/>
        </w:rPr>
      </w:pPr>
      <w:r w:rsidRPr="00912E5D">
        <w:rPr>
          <w:highlight w:val="yellow"/>
        </w:rPr>
        <w:t>Typically a long repayment period, need to postpone instalments with the implementation, inability to fulfil requirements for guarantee due to insufficient assets or short history</w:t>
      </w:r>
    </w:p>
    <w:p w:rsidR="00065632" w:rsidRPr="00912E5D" w:rsidRDefault="00065632" w:rsidP="00912E5D">
      <w:pPr>
        <w:rPr>
          <w:highlight w:val="yellow"/>
        </w:rPr>
      </w:pPr>
    </w:p>
    <w:p w:rsidR="00065632" w:rsidRPr="00912E5D" w:rsidRDefault="00065632" w:rsidP="00912E5D">
      <w:pPr>
        <w:rPr>
          <w:highlight w:val="yellow"/>
        </w:rPr>
      </w:pPr>
      <w:r w:rsidRPr="00912E5D">
        <w:rPr>
          <w:highlight w:val="yellow"/>
        </w:rPr>
        <w:t>Market projects</w:t>
      </w:r>
    </w:p>
    <w:p w:rsidR="00065632" w:rsidRPr="00912E5D" w:rsidRDefault="00065632" w:rsidP="00065632">
      <w:pPr>
        <w:numPr>
          <w:ilvl w:val="0"/>
          <w:numId w:val="74"/>
        </w:numPr>
        <w:spacing w:after="0"/>
        <w:jc w:val="left"/>
        <w:rPr>
          <w:highlight w:val="yellow"/>
        </w:rPr>
      </w:pPr>
      <w:r w:rsidRPr="00912E5D">
        <w:rPr>
          <w:highlight w:val="yellow"/>
        </w:rPr>
        <w:t>Apparent economic sustainability of the implementer and the project, good risk profile (AAA rating)</w:t>
      </w:r>
    </w:p>
    <w:p w:rsidR="00065632" w:rsidRPr="00912E5D" w:rsidRDefault="00065632" w:rsidP="00065632">
      <w:pPr>
        <w:numPr>
          <w:ilvl w:val="0"/>
          <w:numId w:val="74"/>
        </w:numPr>
        <w:spacing w:after="0"/>
        <w:jc w:val="left"/>
        <w:rPr>
          <w:highlight w:val="yellow"/>
        </w:rPr>
      </w:pPr>
      <w:r w:rsidRPr="00912E5D">
        <w:rPr>
          <w:highlight w:val="yellow"/>
        </w:rPr>
        <w:t>Strong market demand, indicating the need for implementation, i.e. interest of banks in financing</w:t>
      </w:r>
    </w:p>
    <w:p w:rsidR="00065632" w:rsidRPr="00912E5D" w:rsidRDefault="00065632" w:rsidP="00065632">
      <w:pPr>
        <w:numPr>
          <w:ilvl w:val="0"/>
          <w:numId w:val="74"/>
        </w:numPr>
        <w:spacing w:after="0"/>
        <w:jc w:val="left"/>
        <w:rPr>
          <w:highlight w:val="yellow"/>
        </w:rPr>
      </w:pPr>
      <w:r w:rsidRPr="00912E5D">
        <w:rPr>
          <w:highlight w:val="yellow"/>
        </w:rPr>
        <w:t>Common returns associated with acceptable share of the project’s risk</w:t>
      </w:r>
    </w:p>
    <w:p w:rsidR="00065632" w:rsidRPr="00912E5D" w:rsidRDefault="00065632" w:rsidP="00912E5D"/>
    <w:p w:rsidR="00065632" w:rsidRDefault="00065632" w:rsidP="00460219">
      <w:r>
        <w:t xml:space="preserve">The aim of the pre-screening assessment was to find specific objectives or sub-areas of intervention showing characteristics suitable for involvement of a financial instrument as described by the above scheme. The value of 0-5 was allocated to each of the survey attributes and their proportional weight is 0-1 with regards to the importance of the attribute; the evaluation format is shown in the explanatory notes in the evaluation sheet (Annex 1 to this Report). This chapter summarises the results of assessment by the Contractor's team, selected representatives of the individual </w:t>
      </w:r>
      <w:proofErr w:type="spellStart"/>
      <w:r>
        <w:t>MoRD</w:t>
      </w:r>
      <w:proofErr w:type="spellEnd"/>
      <w:r>
        <w:t xml:space="preserve"> responsible parties and assessment by representatives of the </w:t>
      </w:r>
      <w:proofErr w:type="spellStart"/>
      <w:r>
        <w:t>MoRD</w:t>
      </w:r>
      <w:proofErr w:type="spellEnd"/>
      <w:r>
        <w:t xml:space="preserve"> Management Division of Operational Programmes. The evaluation results are summarized in the tables below.</w:t>
      </w:r>
    </w:p>
    <w:p w:rsidR="00065632" w:rsidRDefault="00065632" w:rsidP="00DA4E52">
      <w:r>
        <w:t>The names of supported activities are stated as per the 15/12/2014 version of the programming document.</w:t>
      </w:r>
    </w:p>
    <w:tbl>
      <w:tblPr>
        <w:tblW w:w="14040" w:type="dxa"/>
        <w:tblInd w:w="-101" w:type="dxa"/>
        <w:tblLayout w:type="fixed"/>
        <w:tblCellMar>
          <w:left w:w="70" w:type="dxa"/>
          <w:right w:w="70" w:type="dxa"/>
        </w:tblCellMar>
        <w:tblLook w:val="00A0" w:firstRow="1" w:lastRow="0" w:firstColumn="1" w:lastColumn="0" w:noHBand="0" w:noVBand="0"/>
      </w:tblPr>
      <w:tblGrid>
        <w:gridCol w:w="400"/>
        <w:gridCol w:w="1175"/>
        <w:gridCol w:w="3827"/>
        <w:gridCol w:w="8080"/>
        <w:gridCol w:w="558"/>
      </w:tblGrid>
      <w:tr w:rsidR="00065632" w:rsidRPr="0006774B">
        <w:trPr>
          <w:trHeight w:val="334"/>
        </w:trPr>
        <w:tc>
          <w:tcPr>
            <w:tcW w:w="400" w:type="dxa"/>
            <w:tcBorders>
              <w:top w:val="single" w:sz="4" w:space="0" w:color="00A1DE"/>
              <w:left w:val="single" w:sz="4" w:space="0" w:color="00A1DE"/>
              <w:bottom w:val="single" w:sz="4" w:space="0" w:color="00A1DE"/>
              <w:right w:val="single" w:sz="4" w:space="0" w:color="00A1DE"/>
            </w:tcBorders>
            <w:shd w:val="clear" w:color="000000" w:fill="DBFF88"/>
            <w:vAlign w:val="center"/>
          </w:tcPr>
          <w:p w:rsidR="00065632" w:rsidRPr="0006774B" w:rsidRDefault="00065632" w:rsidP="00A16727">
            <w:pPr>
              <w:spacing w:after="0"/>
              <w:jc w:val="center"/>
              <w:rPr>
                <w:b/>
                <w:bCs/>
                <w:sz w:val="16"/>
                <w:szCs w:val="16"/>
              </w:rPr>
            </w:pPr>
            <w:r>
              <w:rPr>
                <w:b/>
                <w:bCs/>
                <w:sz w:val="16"/>
                <w:szCs w:val="16"/>
              </w:rPr>
              <w:t>#</w:t>
            </w:r>
          </w:p>
        </w:tc>
        <w:tc>
          <w:tcPr>
            <w:tcW w:w="1175" w:type="dxa"/>
            <w:tcBorders>
              <w:top w:val="single" w:sz="4" w:space="0" w:color="00A1DE"/>
              <w:left w:val="nil"/>
              <w:bottom w:val="single" w:sz="4" w:space="0" w:color="00A1DE"/>
              <w:right w:val="single" w:sz="4" w:space="0" w:color="00A1DE"/>
            </w:tcBorders>
            <w:shd w:val="clear" w:color="000000" w:fill="DBFF88"/>
            <w:vAlign w:val="center"/>
          </w:tcPr>
          <w:p w:rsidR="00065632" w:rsidRPr="0006774B" w:rsidRDefault="00065632" w:rsidP="00A16727">
            <w:pPr>
              <w:spacing w:after="0"/>
              <w:jc w:val="center"/>
              <w:rPr>
                <w:b/>
                <w:bCs/>
                <w:sz w:val="16"/>
                <w:szCs w:val="16"/>
              </w:rPr>
            </w:pPr>
            <w:r>
              <w:rPr>
                <w:b/>
                <w:bCs/>
                <w:sz w:val="16"/>
                <w:szCs w:val="16"/>
              </w:rPr>
              <w:t>Attribute</w:t>
            </w:r>
          </w:p>
        </w:tc>
        <w:tc>
          <w:tcPr>
            <w:tcW w:w="3827" w:type="dxa"/>
            <w:tcBorders>
              <w:top w:val="single" w:sz="4" w:space="0" w:color="00A1DE"/>
              <w:left w:val="nil"/>
              <w:bottom w:val="single" w:sz="4" w:space="0" w:color="00A1DE"/>
              <w:right w:val="single" w:sz="4" w:space="0" w:color="00A1DE"/>
            </w:tcBorders>
            <w:shd w:val="clear" w:color="000000" w:fill="DBFF88"/>
            <w:vAlign w:val="center"/>
          </w:tcPr>
          <w:p w:rsidR="00065632" w:rsidRPr="0006774B" w:rsidRDefault="00065632" w:rsidP="00A16727">
            <w:pPr>
              <w:spacing w:after="0"/>
              <w:jc w:val="center"/>
              <w:rPr>
                <w:b/>
                <w:bCs/>
                <w:sz w:val="16"/>
                <w:szCs w:val="16"/>
              </w:rPr>
            </w:pPr>
            <w:r>
              <w:rPr>
                <w:b/>
                <w:bCs/>
                <w:sz w:val="16"/>
                <w:szCs w:val="16"/>
              </w:rPr>
              <w:t>Definition</w:t>
            </w:r>
          </w:p>
        </w:tc>
        <w:tc>
          <w:tcPr>
            <w:tcW w:w="8080" w:type="dxa"/>
            <w:tcBorders>
              <w:top w:val="single" w:sz="4" w:space="0" w:color="00A1DE"/>
              <w:left w:val="nil"/>
              <w:bottom w:val="single" w:sz="4" w:space="0" w:color="00A1DE"/>
              <w:right w:val="single" w:sz="4" w:space="0" w:color="00A1DE"/>
            </w:tcBorders>
            <w:shd w:val="clear" w:color="000000" w:fill="DBFF88"/>
            <w:vAlign w:val="center"/>
          </w:tcPr>
          <w:p w:rsidR="00065632" w:rsidRPr="0006774B" w:rsidRDefault="00065632" w:rsidP="00A16727">
            <w:pPr>
              <w:spacing w:after="0"/>
              <w:jc w:val="center"/>
              <w:rPr>
                <w:b/>
                <w:bCs/>
                <w:sz w:val="16"/>
                <w:szCs w:val="16"/>
              </w:rPr>
            </w:pPr>
            <w:r>
              <w:rPr>
                <w:b/>
                <w:bCs/>
                <w:sz w:val="16"/>
                <w:szCs w:val="16"/>
              </w:rPr>
              <w:t>Example of evaluation</w:t>
            </w:r>
          </w:p>
        </w:tc>
        <w:tc>
          <w:tcPr>
            <w:tcW w:w="558" w:type="dxa"/>
            <w:tcBorders>
              <w:top w:val="single" w:sz="4" w:space="0" w:color="00A1DE"/>
              <w:left w:val="nil"/>
              <w:bottom w:val="single" w:sz="4" w:space="0" w:color="00A1DE"/>
              <w:right w:val="single" w:sz="4" w:space="0" w:color="00A1DE"/>
            </w:tcBorders>
            <w:shd w:val="clear" w:color="000000" w:fill="DBFF88"/>
            <w:vAlign w:val="center"/>
          </w:tcPr>
          <w:p w:rsidR="00065632" w:rsidRPr="0006774B" w:rsidRDefault="00065632" w:rsidP="00A16727">
            <w:pPr>
              <w:spacing w:after="0"/>
              <w:jc w:val="center"/>
              <w:rPr>
                <w:b/>
                <w:bCs/>
                <w:sz w:val="16"/>
                <w:szCs w:val="16"/>
              </w:rPr>
            </w:pPr>
            <w:r>
              <w:rPr>
                <w:b/>
                <w:bCs/>
                <w:sz w:val="16"/>
                <w:szCs w:val="16"/>
              </w:rPr>
              <w:t>Weight</w:t>
            </w:r>
          </w:p>
        </w:tc>
      </w:tr>
      <w:tr w:rsidR="00065632" w:rsidRPr="0006774B">
        <w:trPr>
          <w:trHeight w:val="1843"/>
        </w:trPr>
        <w:tc>
          <w:tcPr>
            <w:tcW w:w="400" w:type="dxa"/>
            <w:tcBorders>
              <w:top w:val="nil"/>
              <w:left w:val="single" w:sz="4" w:space="0" w:color="00A1DE"/>
              <w:bottom w:val="single" w:sz="4" w:space="0" w:color="00A1DE"/>
              <w:right w:val="single" w:sz="4" w:space="0" w:color="00A1DE"/>
            </w:tcBorders>
            <w:shd w:val="clear" w:color="000000" w:fill="FFFFFF"/>
            <w:vAlign w:val="center"/>
          </w:tcPr>
          <w:p w:rsidR="00065632" w:rsidRPr="0006774B" w:rsidRDefault="00065632" w:rsidP="00A16727">
            <w:pPr>
              <w:spacing w:after="0"/>
              <w:jc w:val="center"/>
              <w:rPr>
                <w:sz w:val="16"/>
                <w:szCs w:val="16"/>
              </w:rPr>
            </w:pPr>
            <w:r>
              <w:rPr>
                <w:sz w:val="16"/>
                <w:szCs w:val="16"/>
              </w:rPr>
              <w:lastRenderedPageBreak/>
              <w:t>P1</w:t>
            </w:r>
          </w:p>
        </w:tc>
        <w:tc>
          <w:tcPr>
            <w:tcW w:w="1175" w:type="dxa"/>
            <w:tcBorders>
              <w:top w:val="nil"/>
              <w:left w:val="nil"/>
              <w:bottom w:val="single" w:sz="4" w:space="0" w:color="00A1DE"/>
              <w:right w:val="single" w:sz="4" w:space="0" w:color="00A1DE"/>
            </w:tcBorders>
            <w:shd w:val="clear" w:color="000000" w:fill="FFFFFF"/>
            <w:vAlign w:val="center"/>
          </w:tcPr>
          <w:p w:rsidR="00065632" w:rsidRPr="0006774B" w:rsidRDefault="00065632" w:rsidP="00A16727">
            <w:pPr>
              <w:spacing w:after="0"/>
              <w:jc w:val="left"/>
              <w:rPr>
                <w:sz w:val="16"/>
                <w:szCs w:val="16"/>
              </w:rPr>
            </w:pPr>
            <w:r>
              <w:rPr>
                <w:sz w:val="16"/>
                <w:szCs w:val="16"/>
              </w:rPr>
              <w:t>Existence of investment gap (Demand &gt; Supply of sources)</w:t>
            </w:r>
          </w:p>
        </w:tc>
        <w:tc>
          <w:tcPr>
            <w:tcW w:w="3827" w:type="dxa"/>
            <w:tcBorders>
              <w:top w:val="nil"/>
              <w:left w:val="nil"/>
              <w:bottom w:val="nil"/>
              <w:right w:val="single" w:sz="4" w:space="0" w:color="00A1DE"/>
            </w:tcBorders>
            <w:shd w:val="clear" w:color="000000" w:fill="FFFFFF"/>
            <w:vAlign w:val="center"/>
          </w:tcPr>
          <w:p w:rsidR="00065632" w:rsidRPr="0006774B" w:rsidRDefault="00065632" w:rsidP="00A16727">
            <w:pPr>
              <w:spacing w:after="0"/>
              <w:jc w:val="left"/>
              <w:rPr>
                <w:sz w:val="16"/>
                <w:szCs w:val="16"/>
              </w:rPr>
            </w:pPr>
            <w:r>
              <w:rPr>
                <w:sz w:val="16"/>
                <w:szCs w:val="16"/>
              </w:rPr>
              <w:t>Assessment of the level of need of the actual public intervention, scoring on the basis of a general evaluation of the level of rejected subsidy applications in 2007–2013 more than double the demand for allocation equals 5 points in the assessment). If it is not possible to evaluate, due to new activities not supported in the programming period 2007-2013, the result is an estimate.</w:t>
            </w:r>
          </w:p>
        </w:tc>
        <w:tc>
          <w:tcPr>
            <w:tcW w:w="8080" w:type="dxa"/>
            <w:tcBorders>
              <w:top w:val="nil"/>
              <w:left w:val="nil"/>
              <w:bottom w:val="nil"/>
              <w:right w:val="single" w:sz="4" w:space="0" w:color="00A1DE"/>
            </w:tcBorders>
            <w:shd w:val="clear" w:color="000000" w:fill="FFFFFF"/>
            <w:vAlign w:val="center"/>
          </w:tcPr>
          <w:p w:rsidR="00065632" w:rsidRPr="0006774B" w:rsidRDefault="00065632" w:rsidP="00A16727">
            <w:pPr>
              <w:spacing w:after="0"/>
              <w:jc w:val="left"/>
              <w:rPr>
                <w:color w:val="000000"/>
                <w:sz w:val="16"/>
                <w:szCs w:val="16"/>
              </w:rPr>
            </w:pPr>
            <w:r>
              <w:rPr>
                <w:color w:val="000000"/>
                <w:sz w:val="16"/>
                <w:szCs w:val="16"/>
              </w:rPr>
              <w:t>0 - the supply of funds significantly exceeds the demand (subsidy-related, ordinary-market demand), lack of high-quality projects</w:t>
            </w:r>
            <w:r>
              <w:rPr>
                <w:color w:val="000000"/>
                <w:sz w:val="16"/>
                <w:szCs w:val="16"/>
              </w:rPr>
              <w:br/>
              <w:t>1 - market mechanisms can fully and effectively secure the demand, the supply slightly exceeds the demand</w:t>
            </w:r>
            <w:r>
              <w:rPr>
                <w:color w:val="000000"/>
                <w:sz w:val="16"/>
                <w:szCs w:val="16"/>
              </w:rPr>
              <w:br/>
              <w:t>2 - the market is in equilibrium, the demand for sources of funding is not reported to exceed the supply</w:t>
            </w:r>
            <w:r>
              <w:rPr>
                <w:color w:val="000000"/>
                <w:sz w:val="16"/>
                <w:szCs w:val="16"/>
              </w:rPr>
              <w:br/>
              <w:t>3 - a small number of projects cannot secure funding, the demand for unavailable resources exceeds the supply</w:t>
            </w:r>
            <w:r>
              <w:rPr>
                <w:color w:val="000000"/>
                <w:sz w:val="16"/>
                <w:szCs w:val="16"/>
              </w:rPr>
              <w:br/>
              <w:t>4 - a significant number of projects cannot secure funding, the IROP significantly complements the market</w:t>
            </w:r>
            <w:r>
              <w:rPr>
                <w:color w:val="000000"/>
                <w:sz w:val="16"/>
                <w:szCs w:val="16"/>
              </w:rPr>
              <w:br/>
              <w:t>5 - a significant number of projects cannot secure funding, the IROP cannot secure the market requirements</w:t>
            </w:r>
          </w:p>
        </w:tc>
        <w:tc>
          <w:tcPr>
            <w:tcW w:w="558" w:type="dxa"/>
            <w:tcBorders>
              <w:top w:val="nil"/>
              <w:left w:val="nil"/>
              <w:bottom w:val="nil"/>
              <w:right w:val="single" w:sz="4" w:space="0" w:color="00A1DE"/>
            </w:tcBorders>
            <w:shd w:val="clear" w:color="000000" w:fill="FFFFFF"/>
            <w:vAlign w:val="center"/>
          </w:tcPr>
          <w:p w:rsidR="00065632" w:rsidRPr="0006774B" w:rsidRDefault="00065632" w:rsidP="00A16727">
            <w:pPr>
              <w:spacing w:after="0"/>
              <w:jc w:val="center"/>
              <w:rPr>
                <w:color w:val="000000"/>
                <w:sz w:val="16"/>
                <w:szCs w:val="16"/>
              </w:rPr>
            </w:pPr>
            <w:r>
              <w:rPr>
                <w:color w:val="000000"/>
                <w:sz w:val="16"/>
                <w:szCs w:val="16"/>
              </w:rPr>
              <w:t>1</w:t>
            </w:r>
          </w:p>
        </w:tc>
      </w:tr>
      <w:tr w:rsidR="00065632" w:rsidRPr="0006774B">
        <w:trPr>
          <w:trHeight w:val="1840"/>
        </w:trPr>
        <w:tc>
          <w:tcPr>
            <w:tcW w:w="400" w:type="dxa"/>
            <w:tcBorders>
              <w:top w:val="nil"/>
              <w:left w:val="single" w:sz="4" w:space="0" w:color="00A1DE"/>
              <w:bottom w:val="single" w:sz="4" w:space="0" w:color="00A1DE"/>
              <w:right w:val="single" w:sz="4" w:space="0" w:color="00A1DE"/>
            </w:tcBorders>
            <w:shd w:val="clear" w:color="000000" w:fill="C4EFFF"/>
            <w:vAlign w:val="center"/>
          </w:tcPr>
          <w:p w:rsidR="00065632" w:rsidRPr="0006774B" w:rsidRDefault="00065632" w:rsidP="00A16727">
            <w:pPr>
              <w:spacing w:after="0"/>
              <w:jc w:val="center"/>
              <w:rPr>
                <w:sz w:val="16"/>
                <w:szCs w:val="16"/>
              </w:rPr>
            </w:pPr>
            <w:r>
              <w:rPr>
                <w:sz w:val="16"/>
                <w:szCs w:val="16"/>
              </w:rPr>
              <w:t>P2</w:t>
            </w:r>
          </w:p>
        </w:tc>
        <w:tc>
          <w:tcPr>
            <w:tcW w:w="1175" w:type="dxa"/>
            <w:tcBorders>
              <w:top w:val="nil"/>
              <w:left w:val="nil"/>
              <w:bottom w:val="single" w:sz="4" w:space="0" w:color="00A1DE"/>
              <w:right w:val="single" w:sz="4" w:space="0" w:color="00A1DE"/>
            </w:tcBorders>
            <w:shd w:val="clear" w:color="000000" w:fill="C4EFFF"/>
            <w:vAlign w:val="center"/>
          </w:tcPr>
          <w:p w:rsidR="00065632" w:rsidRPr="0006774B" w:rsidRDefault="00065632" w:rsidP="00A16727">
            <w:pPr>
              <w:spacing w:after="0"/>
              <w:jc w:val="left"/>
              <w:rPr>
                <w:sz w:val="16"/>
                <w:szCs w:val="16"/>
              </w:rPr>
            </w:pPr>
            <w:r>
              <w:rPr>
                <w:sz w:val="16"/>
                <w:szCs w:val="16"/>
              </w:rPr>
              <w:t>Project profitability (positive payback period)</w:t>
            </w:r>
          </w:p>
        </w:tc>
        <w:tc>
          <w:tcPr>
            <w:tcW w:w="3827" w:type="dxa"/>
            <w:tcBorders>
              <w:top w:val="single" w:sz="4" w:space="0" w:color="00A1DE"/>
              <w:left w:val="nil"/>
              <w:bottom w:val="single" w:sz="4" w:space="0" w:color="00A1DE"/>
              <w:right w:val="single" w:sz="4" w:space="0" w:color="00A1DE"/>
            </w:tcBorders>
            <w:shd w:val="clear" w:color="000000" w:fill="C4EFFF"/>
            <w:vAlign w:val="center"/>
          </w:tcPr>
          <w:p w:rsidR="00065632" w:rsidRPr="0006774B" w:rsidRDefault="00065632" w:rsidP="00A16727">
            <w:pPr>
              <w:spacing w:after="0"/>
              <w:jc w:val="left"/>
              <w:rPr>
                <w:sz w:val="16"/>
                <w:szCs w:val="16"/>
              </w:rPr>
            </w:pPr>
            <w:r>
              <w:rPr>
                <w:sz w:val="16"/>
                <w:szCs w:val="16"/>
              </w:rPr>
              <w:t>Assessment of the ability of a typical project to generate operating income - existence of direct income or implementation of financial savings. Positive evaluation points are only allocated to projects where it is possible to expect positive annual operating cash flow (without including investment). The assessment takes into consideration the potential of the project to be profitable during the life cycle of the investment. Direct revenues and savings are easily and quickly quantified (e.g. cheaper production input, lower energy consumption of a house), indirect ones are typically hidden from an external observer and they are harder to quantity (higher-quality product thanks to a new technology, faster production process, higher-quality care allowing higher fee for the service, etc.).</w:t>
            </w:r>
          </w:p>
        </w:tc>
        <w:tc>
          <w:tcPr>
            <w:tcW w:w="8080" w:type="dxa"/>
            <w:tcBorders>
              <w:top w:val="single" w:sz="4" w:space="0" w:color="00A1DE"/>
              <w:left w:val="nil"/>
              <w:bottom w:val="single" w:sz="4" w:space="0" w:color="00A1DE"/>
              <w:right w:val="single" w:sz="4" w:space="0" w:color="00A1DE"/>
            </w:tcBorders>
            <w:shd w:val="clear" w:color="000000" w:fill="C4EFFF"/>
            <w:vAlign w:val="center"/>
          </w:tcPr>
          <w:p w:rsidR="00065632" w:rsidRPr="0006774B" w:rsidRDefault="00065632" w:rsidP="00A16727">
            <w:pPr>
              <w:spacing w:after="0"/>
              <w:jc w:val="left"/>
              <w:rPr>
                <w:sz w:val="16"/>
                <w:szCs w:val="16"/>
              </w:rPr>
            </w:pPr>
            <w:r>
              <w:rPr>
                <w:sz w:val="16"/>
                <w:szCs w:val="16"/>
              </w:rPr>
              <w:t>0 - the project does not pay back the investment during lifetime</w:t>
            </w:r>
            <w:r>
              <w:rPr>
                <w:sz w:val="16"/>
                <w:szCs w:val="16"/>
              </w:rPr>
              <w:br/>
              <w:t>1 - the project generates mainly indirect revenues and savings; if these are counted, the project almost pays / does not pay the investment during lifetime</w:t>
            </w:r>
            <w:r>
              <w:rPr>
                <w:sz w:val="16"/>
                <w:szCs w:val="16"/>
              </w:rPr>
              <w:br/>
              <w:t>2 - the project is directly financially returnable, the payback period is 16–20 years</w:t>
            </w:r>
            <w:r>
              <w:rPr>
                <w:sz w:val="16"/>
                <w:szCs w:val="16"/>
              </w:rPr>
              <w:br/>
              <w:t>3 - the project is directly financially returnable, the payback period is 11–15 years</w:t>
            </w:r>
            <w:r>
              <w:rPr>
                <w:sz w:val="16"/>
                <w:szCs w:val="16"/>
              </w:rPr>
              <w:br/>
              <w:t>4 - the project is directly financially returnable, the payback period is 6–10 years</w:t>
            </w:r>
            <w:r>
              <w:rPr>
                <w:sz w:val="16"/>
                <w:szCs w:val="16"/>
              </w:rPr>
              <w:br/>
              <w:t>5 - the project is directly financially returnable, the payback period is 1–5 years</w:t>
            </w:r>
          </w:p>
        </w:tc>
        <w:tc>
          <w:tcPr>
            <w:tcW w:w="558" w:type="dxa"/>
            <w:tcBorders>
              <w:top w:val="single" w:sz="4" w:space="0" w:color="00A1DE"/>
              <w:left w:val="nil"/>
              <w:bottom w:val="single" w:sz="4" w:space="0" w:color="00A1DE"/>
              <w:right w:val="single" w:sz="4" w:space="0" w:color="00A1DE"/>
            </w:tcBorders>
            <w:shd w:val="clear" w:color="000000" w:fill="C4EFFF"/>
            <w:vAlign w:val="center"/>
          </w:tcPr>
          <w:p w:rsidR="00065632" w:rsidRPr="0006774B" w:rsidRDefault="00065632" w:rsidP="00A16727">
            <w:pPr>
              <w:spacing w:after="0"/>
              <w:jc w:val="center"/>
              <w:rPr>
                <w:sz w:val="16"/>
                <w:szCs w:val="16"/>
              </w:rPr>
            </w:pPr>
            <w:r>
              <w:rPr>
                <w:sz w:val="16"/>
                <w:szCs w:val="16"/>
              </w:rPr>
              <w:t>1</w:t>
            </w:r>
          </w:p>
        </w:tc>
      </w:tr>
      <w:tr w:rsidR="00065632" w:rsidRPr="0006774B">
        <w:trPr>
          <w:trHeight w:val="1129"/>
        </w:trPr>
        <w:tc>
          <w:tcPr>
            <w:tcW w:w="400" w:type="dxa"/>
            <w:tcBorders>
              <w:top w:val="nil"/>
              <w:left w:val="single" w:sz="4" w:space="0" w:color="00A1DE"/>
              <w:bottom w:val="nil"/>
              <w:right w:val="single" w:sz="4" w:space="0" w:color="00A1DE"/>
            </w:tcBorders>
            <w:shd w:val="clear" w:color="000000" w:fill="FFFFFF"/>
            <w:vAlign w:val="center"/>
          </w:tcPr>
          <w:p w:rsidR="00065632" w:rsidRPr="0006774B" w:rsidRDefault="00065632" w:rsidP="00A16727">
            <w:pPr>
              <w:spacing w:after="0"/>
              <w:jc w:val="center"/>
              <w:rPr>
                <w:color w:val="000000"/>
                <w:sz w:val="16"/>
                <w:szCs w:val="16"/>
              </w:rPr>
            </w:pPr>
            <w:r>
              <w:rPr>
                <w:color w:val="000000"/>
                <w:sz w:val="16"/>
                <w:szCs w:val="16"/>
              </w:rPr>
              <w:t>P3</w:t>
            </w:r>
          </w:p>
        </w:tc>
        <w:tc>
          <w:tcPr>
            <w:tcW w:w="1175" w:type="dxa"/>
            <w:tcBorders>
              <w:top w:val="nil"/>
              <w:left w:val="nil"/>
              <w:bottom w:val="nil"/>
              <w:right w:val="single" w:sz="4" w:space="0" w:color="00A1DE"/>
            </w:tcBorders>
            <w:shd w:val="clear" w:color="000000" w:fill="FFFFFF"/>
            <w:vAlign w:val="center"/>
          </w:tcPr>
          <w:p w:rsidR="00065632" w:rsidRPr="0006774B" w:rsidRDefault="00065632" w:rsidP="00A16727">
            <w:pPr>
              <w:spacing w:after="0"/>
              <w:jc w:val="left"/>
              <w:rPr>
                <w:color w:val="000000"/>
                <w:sz w:val="16"/>
                <w:szCs w:val="16"/>
              </w:rPr>
            </w:pPr>
            <w:r>
              <w:rPr>
                <w:color w:val="000000"/>
                <w:sz w:val="16"/>
                <w:szCs w:val="16"/>
              </w:rPr>
              <w:t>Size of the investment - with regard to transaction costs</w:t>
            </w:r>
          </w:p>
        </w:tc>
        <w:tc>
          <w:tcPr>
            <w:tcW w:w="3827" w:type="dxa"/>
            <w:tcBorders>
              <w:top w:val="nil"/>
              <w:left w:val="nil"/>
              <w:bottom w:val="nil"/>
              <w:right w:val="single" w:sz="4" w:space="0" w:color="00A1DE"/>
            </w:tcBorders>
            <w:shd w:val="clear" w:color="000000" w:fill="FFFFFF"/>
            <w:vAlign w:val="center"/>
          </w:tcPr>
          <w:p w:rsidR="00065632" w:rsidRPr="0006774B" w:rsidRDefault="00065632" w:rsidP="00A16727">
            <w:pPr>
              <w:spacing w:after="0"/>
              <w:jc w:val="left"/>
              <w:rPr>
                <w:color w:val="000000"/>
                <w:sz w:val="16"/>
                <w:szCs w:val="16"/>
              </w:rPr>
            </w:pPr>
            <w:r>
              <w:rPr>
                <w:color w:val="000000"/>
                <w:sz w:val="16"/>
                <w:szCs w:val="16"/>
              </w:rPr>
              <w:t xml:space="preserve">The assessment takes into consideration good practice when projects with a budget lower than </w:t>
            </w:r>
            <w:r>
              <w:t xml:space="preserve">CZK 0.5 million </w:t>
            </w:r>
            <w:r>
              <w:rPr>
                <w:color w:val="000000"/>
                <w:sz w:val="16"/>
                <w:szCs w:val="16"/>
              </w:rPr>
              <w:t xml:space="preserve"> are considered less suitable for innovative financial instruments ("IFIs") due to low efficiency in connection to the related administrative costs (managing authority capacity, management fees for the IFIs administrator etc.)</w:t>
            </w:r>
          </w:p>
        </w:tc>
        <w:tc>
          <w:tcPr>
            <w:tcW w:w="8080" w:type="dxa"/>
            <w:tcBorders>
              <w:top w:val="nil"/>
              <w:left w:val="nil"/>
              <w:bottom w:val="nil"/>
              <w:right w:val="single" w:sz="4" w:space="0" w:color="00A1DE"/>
            </w:tcBorders>
            <w:shd w:val="clear" w:color="000000" w:fill="FFFFFF"/>
            <w:vAlign w:val="center"/>
          </w:tcPr>
          <w:p w:rsidR="00065632" w:rsidRPr="0006774B" w:rsidRDefault="00065632" w:rsidP="00A16727">
            <w:pPr>
              <w:spacing w:after="0"/>
              <w:jc w:val="left"/>
              <w:rPr>
                <w:color w:val="000000"/>
                <w:sz w:val="16"/>
                <w:szCs w:val="16"/>
              </w:rPr>
            </w:pPr>
            <w:r>
              <w:rPr>
                <w:color w:val="000000"/>
                <w:sz w:val="16"/>
                <w:szCs w:val="16"/>
              </w:rPr>
              <w:t>0 - the investment is smaller than CZK 0.5 million</w:t>
            </w:r>
            <w:r>
              <w:rPr>
                <w:color w:val="000000"/>
                <w:sz w:val="16"/>
                <w:szCs w:val="16"/>
              </w:rPr>
              <w:br/>
              <w:t>1 - the investment falls within the range CZK 0.6–1 million</w:t>
            </w:r>
            <w:r>
              <w:rPr>
                <w:color w:val="000000"/>
                <w:sz w:val="16"/>
                <w:szCs w:val="16"/>
              </w:rPr>
              <w:br/>
              <w:t>2 - the investment falls within the range CZK 1.1–3 million</w:t>
            </w:r>
            <w:r>
              <w:rPr>
                <w:color w:val="000000"/>
                <w:sz w:val="16"/>
                <w:szCs w:val="16"/>
              </w:rPr>
              <w:br/>
              <w:t>3 - the investment falls within the range CZK 3.1–6 million</w:t>
            </w:r>
            <w:r>
              <w:rPr>
                <w:color w:val="000000"/>
                <w:sz w:val="16"/>
                <w:szCs w:val="16"/>
              </w:rPr>
              <w:br/>
              <w:t>4 - the investment falls within the range CZK 6.1–9.9 million</w:t>
            </w:r>
            <w:r>
              <w:rPr>
                <w:color w:val="000000"/>
                <w:sz w:val="16"/>
                <w:szCs w:val="16"/>
              </w:rPr>
              <w:br/>
              <w:t>5 - the project exceeds the limit of investment costs of CZK 10 million</w:t>
            </w:r>
          </w:p>
        </w:tc>
        <w:tc>
          <w:tcPr>
            <w:tcW w:w="558" w:type="dxa"/>
            <w:tcBorders>
              <w:top w:val="nil"/>
              <w:left w:val="nil"/>
              <w:bottom w:val="nil"/>
              <w:right w:val="single" w:sz="4" w:space="0" w:color="00A1DE"/>
            </w:tcBorders>
            <w:shd w:val="clear" w:color="000000" w:fill="FFFFFF"/>
            <w:vAlign w:val="center"/>
          </w:tcPr>
          <w:p w:rsidR="00065632" w:rsidRPr="0006774B" w:rsidRDefault="00065632" w:rsidP="00A16727">
            <w:pPr>
              <w:spacing w:after="0"/>
              <w:jc w:val="center"/>
              <w:rPr>
                <w:color w:val="000000"/>
                <w:sz w:val="16"/>
                <w:szCs w:val="16"/>
              </w:rPr>
            </w:pPr>
            <w:r>
              <w:rPr>
                <w:color w:val="000000"/>
                <w:sz w:val="16"/>
                <w:szCs w:val="16"/>
              </w:rPr>
              <w:t>1</w:t>
            </w:r>
          </w:p>
        </w:tc>
      </w:tr>
      <w:tr w:rsidR="00065632" w:rsidRPr="0006774B">
        <w:trPr>
          <w:trHeight w:val="1118"/>
        </w:trPr>
        <w:tc>
          <w:tcPr>
            <w:tcW w:w="400" w:type="dxa"/>
            <w:tcBorders>
              <w:top w:val="single" w:sz="4" w:space="0" w:color="00A1DE"/>
              <w:left w:val="single" w:sz="4" w:space="0" w:color="00A1DE"/>
              <w:bottom w:val="single" w:sz="4" w:space="0" w:color="00A1DE"/>
              <w:right w:val="single" w:sz="4" w:space="0" w:color="00A1DE"/>
            </w:tcBorders>
            <w:shd w:val="clear" w:color="000000" w:fill="C4EFFF"/>
            <w:vAlign w:val="center"/>
          </w:tcPr>
          <w:p w:rsidR="00065632" w:rsidRPr="0006774B" w:rsidRDefault="00065632" w:rsidP="00A16727">
            <w:pPr>
              <w:spacing w:after="0"/>
              <w:jc w:val="center"/>
              <w:rPr>
                <w:sz w:val="16"/>
                <w:szCs w:val="16"/>
              </w:rPr>
            </w:pPr>
            <w:r>
              <w:rPr>
                <w:sz w:val="16"/>
                <w:szCs w:val="16"/>
              </w:rPr>
              <w:t>P4</w:t>
            </w:r>
          </w:p>
        </w:tc>
        <w:tc>
          <w:tcPr>
            <w:tcW w:w="1175" w:type="dxa"/>
            <w:tcBorders>
              <w:top w:val="single" w:sz="4" w:space="0" w:color="00A1DE"/>
              <w:left w:val="nil"/>
              <w:bottom w:val="single" w:sz="4" w:space="0" w:color="00A1DE"/>
              <w:right w:val="single" w:sz="4" w:space="0" w:color="00A1DE"/>
            </w:tcBorders>
            <w:shd w:val="clear" w:color="000000" w:fill="C4EFFF"/>
            <w:vAlign w:val="center"/>
          </w:tcPr>
          <w:p w:rsidR="00065632" w:rsidRPr="0006774B" w:rsidRDefault="00065632" w:rsidP="00A16727">
            <w:pPr>
              <w:spacing w:after="0"/>
              <w:jc w:val="left"/>
              <w:rPr>
                <w:sz w:val="16"/>
                <w:szCs w:val="16"/>
              </w:rPr>
            </w:pPr>
            <w:r>
              <w:rPr>
                <w:sz w:val="16"/>
                <w:szCs w:val="16"/>
              </w:rPr>
              <w:t>Amount of specific objective allocation</w:t>
            </w:r>
            <w:r>
              <w:rPr>
                <w:rStyle w:val="Znakapoznpodarou"/>
              </w:rPr>
              <w:footnoteReference w:id="2"/>
            </w:r>
          </w:p>
        </w:tc>
        <w:tc>
          <w:tcPr>
            <w:tcW w:w="3827" w:type="dxa"/>
            <w:tcBorders>
              <w:top w:val="single" w:sz="4" w:space="0" w:color="00A1DE"/>
              <w:left w:val="nil"/>
              <w:bottom w:val="single" w:sz="4" w:space="0" w:color="00A1DE"/>
              <w:right w:val="single" w:sz="4" w:space="0" w:color="00A1DE"/>
            </w:tcBorders>
            <w:shd w:val="clear" w:color="000000" w:fill="C4EFFF"/>
            <w:vAlign w:val="center"/>
          </w:tcPr>
          <w:p w:rsidR="00065632" w:rsidRPr="0006774B" w:rsidRDefault="00065632" w:rsidP="00A16727">
            <w:pPr>
              <w:spacing w:after="0"/>
              <w:jc w:val="left"/>
              <w:rPr>
                <w:sz w:val="16"/>
                <w:szCs w:val="16"/>
              </w:rPr>
            </w:pPr>
            <w:r>
              <w:rPr>
                <w:sz w:val="16"/>
                <w:szCs w:val="16"/>
              </w:rPr>
              <w:t xml:space="preserve">Assessment of compliance with the principle of materiality - proposal to deploy IFIs so that the </w:t>
            </w:r>
            <w:proofErr w:type="spellStart"/>
            <w:r>
              <w:rPr>
                <w:sz w:val="16"/>
                <w:szCs w:val="16"/>
              </w:rPr>
              <w:t>set up</w:t>
            </w:r>
            <w:proofErr w:type="spellEnd"/>
            <w:r>
              <w:rPr>
                <w:sz w:val="16"/>
                <w:szCs w:val="16"/>
              </w:rPr>
              <w:t xml:space="preserve"> of essential implementation structures and securing of capacities is efficient with regards to the proportion of allocations earmarked for the monitored areas of intervention.</w:t>
            </w:r>
          </w:p>
        </w:tc>
        <w:tc>
          <w:tcPr>
            <w:tcW w:w="8080" w:type="dxa"/>
            <w:tcBorders>
              <w:top w:val="single" w:sz="4" w:space="0" w:color="00A1DE"/>
              <w:left w:val="nil"/>
              <w:bottom w:val="single" w:sz="4" w:space="0" w:color="00A1DE"/>
              <w:right w:val="single" w:sz="4" w:space="0" w:color="00A1DE"/>
            </w:tcBorders>
            <w:shd w:val="clear" w:color="000000" w:fill="C4EFFF"/>
            <w:vAlign w:val="center"/>
          </w:tcPr>
          <w:p w:rsidR="00065632" w:rsidRPr="0006774B" w:rsidRDefault="00065632" w:rsidP="00A16727">
            <w:pPr>
              <w:spacing w:after="0"/>
              <w:jc w:val="left"/>
              <w:rPr>
                <w:sz w:val="16"/>
                <w:szCs w:val="16"/>
              </w:rPr>
            </w:pPr>
            <w:r>
              <w:rPr>
                <w:sz w:val="16"/>
                <w:szCs w:val="16"/>
              </w:rPr>
              <w:t>0 - the allocation for the specific objective is lower than CZK 1 billion</w:t>
            </w:r>
            <w:r>
              <w:rPr>
                <w:sz w:val="16"/>
                <w:szCs w:val="16"/>
              </w:rPr>
              <w:br/>
              <w:t>1 - the allocation for the specific objective falls within the range CZK 1.1–2 billion</w:t>
            </w:r>
            <w:r>
              <w:rPr>
                <w:sz w:val="16"/>
                <w:szCs w:val="16"/>
              </w:rPr>
              <w:br/>
              <w:t>2 - the allocation for the specific objective falls within the range CZK 2.1–3 billion</w:t>
            </w:r>
            <w:r>
              <w:rPr>
                <w:sz w:val="16"/>
                <w:szCs w:val="16"/>
              </w:rPr>
              <w:br/>
              <w:t>3 - the allocation for the specific objective falls within the range CZK 3.1–4 billion</w:t>
            </w:r>
            <w:r>
              <w:rPr>
                <w:sz w:val="16"/>
                <w:szCs w:val="16"/>
              </w:rPr>
              <w:br/>
              <w:t>4 - the allocation for the specific objective falls within the range CZK 4.1–5 billion</w:t>
            </w:r>
            <w:r>
              <w:rPr>
                <w:sz w:val="16"/>
                <w:szCs w:val="16"/>
              </w:rPr>
              <w:br/>
              <w:t>5 - the allocation for the specific objective exceeds CZK 5.1 billion</w:t>
            </w:r>
          </w:p>
        </w:tc>
        <w:tc>
          <w:tcPr>
            <w:tcW w:w="558" w:type="dxa"/>
            <w:tcBorders>
              <w:top w:val="single" w:sz="4" w:space="0" w:color="00A1DE"/>
              <w:left w:val="nil"/>
              <w:bottom w:val="single" w:sz="4" w:space="0" w:color="00A1DE"/>
              <w:right w:val="single" w:sz="4" w:space="0" w:color="00A1DE"/>
            </w:tcBorders>
            <w:shd w:val="clear" w:color="000000" w:fill="C4EFFF"/>
            <w:vAlign w:val="center"/>
          </w:tcPr>
          <w:p w:rsidR="00065632" w:rsidRPr="0006774B" w:rsidRDefault="00065632" w:rsidP="00A16727">
            <w:pPr>
              <w:spacing w:after="0"/>
              <w:jc w:val="center"/>
              <w:rPr>
                <w:sz w:val="16"/>
                <w:szCs w:val="16"/>
              </w:rPr>
            </w:pPr>
            <w:r>
              <w:rPr>
                <w:sz w:val="16"/>
                <w:szCs w:val="16"/>
              </w:rPr>
              <w:t>1</w:t>
            </w:r>
          </w:p>
        </w:tc>
      </w:tr>
      <w:tr w:rsidR="00065632" w:rsidRPr="0006774B">
        <w:trPr>
          <w:trHeight w:val="192"/>
        </w:trPr>
        <w:tc>
          <w:tcPr>
            <w:tcW w:w="400" w:type="dxa"/>
            <w:tcBorders>
              <w:top w:val="nil"/>
              <w:left w:val="single" w:sz="4" w:space="0" w:color="00A1DE"/>
              <w:bottom w:val="nil"/>
              <w:right w:val="single" w:sz="4" w:space="0" w:color="00A1DE"/>
            </w:tcBorders>
            <w:shd w:val="clear" w:color="000000" w:fill="FFFFFF"/>
            <w:vAlign w:val="center"/>
          </w:tcPr>
          <w:p w:rsidR="00065632" w:rsidRPr="0006774B" w:rsidRDefault="00065632" w:rsidP="00A16727">
            <w:pPr>
              <w:spacing w:after="0"/>
              <w:jc w:val="center"/>
              <w:rPr>
                <w:color w:val="000000"/>
                <w:sz w:val="16"/>
                <w:szCs w:val="16"/>
              </w:rPr>
            </w:pPr>
            <w:r>
              <w:rPr>
                <w:color w:val="000000"/>
                <w:sz w:val="16"/>
                <w:szCs w:val="16"/>
              </w:rPr>
              <w:lastRenderedPageBreak/>
              <w:t>P5</w:t>
            </w:r>
          </w:p>
        </w:tc>
        <w:tc>
          <w:tcPr>
            <w:tcW w:w="1175" w:type="dxa"/>
            <w:tcBorders>
              <w:top w:val="nil"/>
              <w:left w:val="nil"/>
              <w:bottom w:val="nil"/>
              <w:right w:val="single" w:sz="4" w:space="0" w:color="00A1DE"/>
            </w:tcBorders>
            <w:shd w:val="clear" w:color="000000" w:fill="FFFFFF"/>
            <w:vAlign w:val="center"/>
          </w:tcPr>
          <w:p w:rsidR="00065632" w:rsidRPr="0006774B" w:rsidRDefault="00065632" w:rsidP="00A16727">
            <w:pPr>
              <w:spacing w:after="0"/>
              <w:jc w:val="left"/>
              <w:rPr>
                <w:color w:val="000000"/>
                <w:sz w:val="16"/>
                <w:szCs w:val="16"/>
              </w:rPr>
            </w:pPr>
            <w:r>
              <w:rPr>
                <w:color w:val="000000"/>
                <w:sz w:val="16"/>
                <w:szCs w:val="16"/>
              </w:rPr>
              <w:t>Ability to secure co-financing, legal form, financial health, history of the beneficiary</w:t>
            </w:r>
          </w:p>
        </w:tc>
        <w:tc>
          <w:tcPr>
            <w:tcW w:w="3827" w:type="dxa"/>
            <w:tcBorders>
              <w:top w:val="nil"/>
              <w:left w:val="nil"/>
              <w:bottom w:val="nil"/>
              <w:right w:val="single" w:sz="4" w:space="0" w:color="00A1DE"/>
            </w:tcBorders>
            <w:shd w:val="clear" w:color="000000" w:fill="FFFFFF"/>
            <w:vAlign w:val="center"/>
          </w:tcPr>
          <w:p w:rsidR="00065632" w:rsidRPr="0006774B" w:rsidRDefault="00065632" w:rsidP="00A16727">
            <w:pPr>
              <w:spacing w:after="0"/>
              <w:jc w:val="left"/>
              <w:rPr>
                <w:color w:val="000000"/>
                <w:sz w:val="16"/>
                <w:szCs w:val="16"/>
              </w:rPr>
            </w:pPr>
            <w:r>
              <w:rPr>
                <w:color w:val="000000"/>
                <w:sz w:val="16"/>
                <w:szCs w:val="16"/>
              </w:rPr>
              <w:t>Assessment of credibility, reliability and stability of the project promoters in accordance with standard market analytics - i.e. whether the promoter himself and his project is interesting for the banking sector under standard conditions without public intervention, whether projects with higher market risk (failure to complete the investment, errors in the process of assessment and actual implementation, risk of insolvency or failure to achieve the expected payback period, etc.) can be expected in the area</w:t>
            </w:r>
          </w:p>
        </w:tc>
        <w:tc>
          <w:tcPr>
            <w:tcW w:w="8080" w:type="dxa"/>
            <w:tcBorders>
              <w:top w:val="nil"/>
              <w:left w:val="nil"/>
              <w:bottom w:val="nil"/>
              <w:right w:val="single" w:sz="4" w:space="0" w:color="00A1DE"/>
            </w:tcBorders>
            <w:shd w:val="clear" w:color="000000" w:fill="FFFFFF"/>
            <w:vAlign w:val="center"/>
          </w:tcPr>
          <w:p w:rsidR="00065632" w:rsidRPr="0006774B" w:rsidRDefault="00065632" w:rsidP="00B27F59">
            <w:pPr>
              <w:spacing w:after="0"/>
              <w:jc w:val="left"/>
              <w:rPr>
                <w:color w:val="000000"/>
                <w:sz w:val="16"/>
                <w:szCs w:val="16"/>
              </w:rPr>
            </w:pPr>
            <w:r>
              <w:rPr>
                <w:color w:val="000000"/>
                <w:sz w:val="16"/>
                <w:szCs w:val="16"/>
              </w:rPr>
              <w:t>0 - the prospective applicant and/or planned project are high-risk, the banking market does not offer financing, high risk of default</w:t>
            </w:r>
            <w:r>
              <w:rPr>
                <w:color w:val="000000"/>
                <w:sz w:val="16"/>
                <w:szCs w:val="16"/>
              </w:rPr>
              <w:br/>
              <w:t>1 - the prospective applicant and/or planned project are high-risk, the banking market offers very strict conditions of financing</w:t>
            </w:r>
            <w:r>
              <w:rPr>
                <w:color w:val="000000"/>
                <w:sz w:val="16"/>
                <w:szCs w:val="16"/>
              </w:rPr>
              <w:br/>
              <w:t>2 - the prospective applicant and/or planned project are risky, the banking market offers rather strict conditions of financing</w:t>
            </w:r>
            <w:r>
              <w:rPr>
                <w:color w:val="000000"/>
                <w:sz w:val="16"/>
                <w:szCs w:val="16"/>
              </w:rPr>
              <w:br/>
              <w:t>3 - the prospective applicant and/or planned project are of standard risk, sources can be secured in the market</w:t>
            </w:r>
            <w:r>
              <w:rPr>
                <w:color w:val="000000"/>
                <w:sz w:val="16"/>
                <w:szCs w:val="16"/>
              </w:rPr>
              <w:br/>
              <w:t>4 - the prospective applicant and/or planned project are not very risky, sources can be easily secured in the market</w:t>
            </w:r>
            <w:r>
              <w:rPr>
                <w:color w:val="000000"/>
                <w:sz w:val="16"/>
                <w:szCs w:val="16"/>
              </w:rPr>
              <w:br/>
              <w:t>5 - the prospective applicant and/or planned project are not risky</w:t>
            </w:r>
          </w:p>
        </w:tc>
        <w:tc>
          <w:tcPr>
            <w:tcW w:w="558" w:type="dxa"/>
            <w:tcBorders>
              <w:top w:val="nil"/>
              <w:left w:val="nil"/>
              <w:bottom w:val="nil"/>
              <w:right w:val="single" w:sz="4" w:space="0" w:color="00A1DE"/>
            </w:tcBorders>
            <w:shd w:val="clear" w:color="000000" w:fill="FFFFFF"/>
            <w:vAlign w:val="center"/>
          </w:tcPr>
          <w:p w:rsidR="00065632" w:rsidRPr="0006774B" w:rsidRDefault="00065632" w:rsidP="00A16727">
            <w:pPr>
              <w:spacing w:after="0"/>
              <w:jc w:val="center"/>
              <w:rPr>
                <w:color w:val="000000"/>
                <w:sz w:val="16"/>
                <w:szCs w:val="16"/>
              </w:rPr>
            </w:pPr>
            <w:r>
              <w:rPr>
                <w:color w:val="000000"/>
                <w:sz w:val="16"/>
                <w:szCs w:val="16"/>
              </w:rPr>
              <w:t>0.5</w:t>
            </w:r>
          </w:p>
        </w:tc>
      </w:tr>
      <w:tr w:rsidR="00065632" w:rsidRPr="0006774B">
        <w:trPr>
          <w:trHeight w:val="1711"/>
        </w:trPr>
        <w:tc>
          <w:tcPr>
            <w:tcW w:w="400" w:type="dxa"/>
            <w:tcBorders>
              <w:top w:val="single" w:sz="4" w:space="0" w:color="00A1DE"/>
              <w:left w:val="single" w:sz="4" w:space="0" w:color="00A1DE"/>
              <w:bottom w:val="single" w:sz="4" w:space="0" w:color="00A1DE"/>
              <w:right w:val="single" w:sz="4" w:space="0" w:color="00A1DE"/>
            </w:tcBorders>
            <w:shd w:val="clear" w:color="000000" w:fill="C4EFFF"/>
            <w:vAlign w:val="center"/>
          </w:tcPr>
          <w:p w:rsidR="00065632" w:rsidRPr="0006774B" w:rsidRDefault="00065632" w:rsidP="00A16727">
            <w:pPr>
              <w:spacing w:after="0"/>
              <w:jc w:val="center"/>
              <w:rPr>
                <w:sz w:val="16"/>
                <w:szCs w:val="16"/>
              </w:rPr>
            </w:pPr>
            <w:r>
              <w:rPr>
                <w:sz w:val="16"/>
                <w:szCs w:val="16"/>
              </w:rPr>
              <w:t>P6</w:t>
            </w:r>
          </w:p>
        </w:tc>
        <w:tc>
          <w:tcPr>
            <w:tcW w:w="1175" w:type="dxa"/>
            <w:tcBorders>
              <w:top w:val="single" w:sz="4" w:space="0" w:color="00A1DE"/>
              <w:left w:val="nil"/>
              <w:bottom w:val="single" w:sz="4" w:space="0" w:color="00A1DE"/>
              <w:right w:val="single" w:sz="4" w:space="0" w:color="00A1DE"/>
            </w:tcBorders>
            <w:shd w:val="clear" w:color="000000" w:fill="C4EFFF"/>
            <w:vAlign w:val="center"/>
          </w:tcPr>
          <w:p w:rsidR="00065632" w:rsidRPr="0006774B" w:rsidRDefault="00065632" w:rsidP="00A16727">
            <w:pPr>
              <w:spacing w:after="0"/>
              <w:jc w:val="left"/>
              <w:rPr>
                <w:sz w:val="16"/>
                <w:szCs w:val="16"/>
              </w:rPr>
            </w:pPr>
            <w:r>
              <w:rPr>
                <w:sz w:val="16"/>
                <w:szCs w:val="16"/>
              </w:rPr>
              <w:t>Existence of barriers - legal and political risks</w:t>
            </w:r>
          </w:p>
        </w:tc>
        <w:tc>
          <w:tcPr>
            <w:tcW w:w="3827" w:type="dxa"/>
            <w:tcBorders>
              <w:top w:val="single" w:sz="4" w:space="0" w:color="00A1DE"/>
              <w:left w:val="nil"/>
              <w:bottom w:val="single" w:sz="4" w:space="0" w:color="00A1DE"/>
              <w:right w:val="single" w:sz="4" w:space="0" w:color="00A1DE"/>
            </w:tcBorders>
            <w:shd w:val="clear" w:color="000000" w:fill="C4EFFF"/>
            <w:vAlign w:val="center"/>
          </w:tcPr>
          <w:p w:rsidR="00065632" w:rsidRPr="0006774B" w:rsidRDefault="00065632" w:rsidP="00B27F59">
            <w:pPr>
              <w:spacing w:after="0"/>
              <w:jc w:val="left"/>
              <w:rPr>
                <w:sz w:val="16"/>
                <w:szCs w:val="16"/>
              </w:rPr>
            </w:pPr>
            <w:r>
              <w:rPr>
                <w:sz w:val="16"/>
                <w:szCs w:val="16"/>
              </w:rPr>
              <w:t xml:space="preserve">Assessment whether the area is subject to specific legislation which does not allow involvement if IFIs, evaluation of possible political risks - e.g. the specific objective is directed to an area lacking a long-term strategy, where the </w:t>
            </w:r>
            <w:proofErr w:type="spellStart"/>
            <w:r>
              <w:rPr>
                <w:sz w:val="16"/>
                <w:szCs w:val="16"/>
              </w:rPr>
              <w:t>ex ante</w:t>
            </w:r>
            <w:proofErr w:type="spellEnd"/>
            <w:r>
              <w:rPr>
                <w:sz w:val="16"/>
                <w:szCs w:val="16"/>
              </w:rPr>
              <w:t xml:space="preserve"> </w:t>
            </w:r>
            <w:proofErr w:type="spellStart"/>
            <w:r>
              <w:rPr>
                <w:sz w:val="16"/>
                <w:szCs w:val="16"/>
              </w:rPr>
              <w:t>conditionalities</w:t>
            </w:r>
            <w:proofErr w:type="spellEnd"/>
            <w:r>
              <w:rPr>
                <w:sz w:val="16"/>
                <w:szCs w:val="16"/>
              </w:rPr>
              <w:t xml:space="preserve"> for the possibility of start of 2014–2020 drawing have not been addressed, the area is subject to legislative (essential) changes, there is a risk of closer supervision by the Commission during the drawing period, the area will be drawn through (non-tested) integrated strategies, it is a new area of , there were frauds in the past, etc.</w:t>
            </w:r>
          </w:p>
        </w:tc>
        <w:tc>
          <w:tcPr>
            <w:tcW w:w="8080" w:type="dxa"/>
            <w:tcBorders>
              <w:top w:val="single" w:sz="4" w:space="0" w:color="00A1DE"/>
              <w:left w:val="nil"/>
              <w:bottom w:val="single" w:sz="4" w:space="0" w:color="00A1DE"/>
              <w:right w:val="single" w:sz="4" w:space="0" w:color="00A1DE"/>
            </w:tcBorders>
            <w:shd w:val="clear" w:color="000000" w:fill="C4EFFF"/>
            <w:vAlign w:val="center"/>
          </w:tcPr>
          <w:p w:rsidR="00065632" w:rsidRPr="0006774B" w:rsidRDefault="00065632" w:rsidP="00B27F59">
            <w:pPr>
              <w:spacing w:after="0"/>
              <w:jc w:val="left"/>
              <w:rPr>
                <w:sz w:val="16"/>
                <w:szCs w:val="16"/>
              </w:rPr>
            </w:pPr>
            <w:r>
              <w:rPr>
                <w:sz w:val="16"/>
                <w:szCs w:val="16"/>
              </w:rPr>
              <w:t>0 - the specific objective shows a large number of barriers/risks/unclear or disputed areas which may complicate the course of drawing</w:t>
            </w:r>
            <w:r>
              <w:rPr>
                <w:sz w:val="16"/>
                <w:szCs w:val="16"/>
              </w:rPr>
              <w:br/>
              <w:t>1 - the specific objective shows a number of barriers/risks/unclear or disputed areas which may complicate the course of drawing</w:t>
            </w:r>
            <w:r>
              <w:rPr>
                <w:sz w:val="16"/>
                <w:szCs w:val="16"/>
              </w:rPr>
              <w:br/>
              <w:t>2 - the specific objective shows problematic or disputed areas which will be probably resolved and will have minimum impact on drawing</w:t>
            </w:r>
            <w:r>
              <w:rPr>
                <w:sz w:val="16"/>
                <w:szCs w:val="16"/>
              </w:rPr>
              <w:br/>
              <w:t>3 - the specific objective shows problematic or disputed areas which will be probably resolved and will not have any impact on drawing</w:t>
            </w:r>
            <w:r>
              <w:rPr>
                <w:sz w:val="16"/>
                <w:szCs w:val="16"/>
              </w:rPr>
              <w:br/>
              <w:t>4 - the specific objective shows problematic or disputed areas, most of them have been addressed, no impact on drawing is expected</w:t>
            </w:r>
            <w:r>
              <w:rPr>
                <w:sz w:val="16"/>
                <w:szCs w:val="16"/>
              </w:rPr>
              <w:br/>
              <w:t>5 - the specific objective does not show problematic or disputed areas which could influence the start-up and course of drawing</w:t>
            </w:r>
          </w:p>
        </w:tc>
        <w:tc>
          <w:tcPr>
            <w:tcW w:w="558" w:type="dxa"/>
            <w:tcBorders>
              <w:top w:val="single" w:sz="4" w:space="0" w:color="00A1DE"/>
              <w:left w:val="nil"/>
              <w:bottom w:val="single" w:sz="4" w:space="0" w:color="00A1DE"/>
              <w:right w:val="single" w:sz="4" w:space="0" w:color="00A1DE"/>
            </w:tcBorders>
            <w:shd w:val="clear" w:color="000000" w:fill="C4EFFF"/>
            <w:vAlign w:val="center"/>
          </w:tcPr>
          <w:p w:rsidR="00065632" w:rsidRPr="0006774B" w:rsidRDefault="00065632" w:rsidP="00A16727">
            <w:pPr>
              <w:spacing w:after="0"/>
              <w:jc w:val="center"/>
              <w:rPr>
                <w:sz w:val="16"/>
                <w:szCs w:val="16"/>
              </w:rPr>
            </w:pPr>
            <w:r>
              <w:rPr>
                <w:sz w:val="16"/>
                <w:szCs w:val="16"/>
              </w:rPr>
              <w:t>0.3</w:t>
            </w:r>
          </w:p>
        </w:tc>
      </w:tr>
      <w:tr w:rsidR="00065632" w:rsidRPr="0006774B">
        <w:trPr>
          <w:trHeight w:val="1472"/>
        </w:trPr>
        <w:tc>
          <w:tcPr>
            <w:tcW w:w="400" w:type="dxa"/>
            <w:tcBorders>
              <w:top w:val="nil"/>
              <w:left w:val="single" w:sz="4" w:space="0" w:color="00A1DE"/>
              <w:bottom w:val="single" w:sz="4" w:space="0" w:color="00A1DE"/>
              <w:right w:val="single" w:sz="4" w:space="0" w:color="00A1DE"/>
            </w:tcBorders>
            <w:shd w:val="clear" w:color="000000" w:fill="FFFFFF"/>
            <w:vAlign w:val="center"/>
          </w:tcPr>
          <w:p w:rsidR="00065632" w:rsidRPr="0006774B" w:rsidRDefault="00065632" w:rsidP="00A16727">
            <w:pPr>
              <w:spacing w:after="0"/>
              <w:jc w:val="center"/>
              <w:rPr>
                <w:sz w:val="16"/>
                <w:szCs w:val="16"/>
              </w:rPr>
            </w:pPr>
            <w:r>
              <w:rPr>
                <w:sz w:val="16"/>
                <w:szCs w:val="16"/>
              </w:rPr>
              <w:t>P7</w:t>
            </w:r>
          </w:p>
        </w:tc>
        <w:tc>
          <w:tcPr>
            <w:tcW w:w="1175" w:type="dxa"/>
            <w:tcBorders>
              <w:top w:val="nil"/>
              <w:left w:val="nil"/>
              <w:bottom w:val="single" w:sz="4" w:space="0" w:color="00A1DE"/>
              <w:right w:val="single" w:sz="4" w:space="0" w:color="00A1DE"/>
            </w:tcBorders>
            <w:shd w:val="clear" w:color="000000" w:fill="FFFFFF"/>
            <w:vAlign w:val="center"/>
          </w:tcPr>
          <w:p w:rsidR="00065632" w:rsidRPr="0006774B" w:rsidRDefault="00065632" w:rsidP="00A16727">
            <w:pPr>
              <w:spacing w:after="0"/>
              <w:jc w:val="left"/>
              <w:rPr>
                <w:sz w:val="16"/>
                <w:szCs w:val="16"/>
              </w:rPr>
            </w:pPr>
            <w:r>
              <w:rPr>
                <w:sz w:val="16"/>
                <w:szCs w:val="16"/>
              </w:rPr>
              <w:t>Overlap / complementarity / synergy with other programmes</w:t>
            </w:r>
          </w:p>
        </w:tc>
        <w:tc>
          <w:tcPr>
            <w:tcW w:w="3827" w:type="dxa"/>
            <w:tcBorders>
              <w:top w:val="nil"/>
              <w:left w:val="nil"/>
              <w:bottom w:val="single" w:sz="4" w:space="0" w:color="00A1DE"/>
              <w:right w:val="single" w:sz="4" w:space="0" w:color="00A1DE"/>
            </w:tcBorders>
            <w:shd w:val="clear" w:color="000000" w:fill="FFFFFF"/>
            <w:vAlign w:val="center"/>
          </w:tcPr>
          <w:p w:rsidR="00065632" w:rsidRPr="0006774B" w:rsidRDefault="00065632" w:rsidP="00A16727">
            <w:pPr>
              <w:spacing w:after="0"/>
              <w:jc w:val="left"/>
              <w:rPr>
                <w:sz w:val="16"/>
                <w:szCs w:val="16"/>
              </w:rPr>
            </w:pPr>
            <w:r>
              <w:rPr>
                <w:sz w:val="16"/>
                <w:szCs w:val="16"/>
              </w:rPr>
              <w:t>Assessment if the area is not going to face a potential drainage of final beneficiaries due to</w:t>
            </w:r>
            <w:proofErr w:type="gramStart"/>
            <w:r>
              <w:rPr>
                <w:sz w:val="16"/>
                <w:szCs w:val="16"/>
              </w:rPr>
              <w:t>:</w:t>
            </w:r>
            <w:proofErr w:type="gramEnd"/>
            <w:r>
              <w:rPr>
                <w:sz w:val="16"/>
                <w:szCs w:val="16"/>
              </w:rPr>
              <w:br/>
              <w:t>1. Closely related definition of a similar aid provided under a themed operational programme not using IFIs</w:t>
            </w:r>
            <w:r>
              <w:rPr>
                <w:sz w:val="16"/>
                <w:szCs w:val="16"/>
              </w:rPr>
              <w:br/>
              <w:t>2. Existing national programme or the programme is under preparation</w:t>
            </w:r>
            <w:r>
              <w:rPr>
                <w:sz w:val="16"/>
                <w:szCs w:val="16"/>
              </w:rPr>
              <w:br/>
              <w:t>3. Programme or tools of transnational level (e.g. Life Programme, loans provided by the European Investment Bank via a private bank etc.)</w:t>
            </w:r>
          </w:p>
        </w:tc>
        <w:tc>
          <w:tcPr>
            <w:tcW w:w="8080" w:type="dxa"/>
            <w:tcBorders>
              <w:top w:val="nil"/>
              <w:left w:val="nil"/>
              <w:bottom w:val="single" w:sz="4" w:space="0" w:color="00A1DE"/>
              <w:right w:val="single" w:sz="4" w:space="0" w:color="00A1DE"/>
            </w:tcBorders>
            <w:shd w:val="clear" w:color="000000" w:fill="FFFFFF"/>
            <w:vAlign w:val="center"/>
          </w:tcPr>
          <w:p w:rsidR="00065632" w:rsidRPr="0006774B" w:rsidRDefault="00065632" w:rsidP="00A16727">
            <w:pPr>
              <w:spacing w:after="0"/>
              <w:jc w:val="left"/>
              <w:rPr>
                <w:sz w:val="16"/>
                <w:szCs w:val="16"/>
              </w:rPr>
            </w:pPr>
            <w:r>
              <w:rPr>
                <w:sz w:val="16"/>
                <w:szCs w:val="16"/>
              </w:rPr>
              <w:t>0 - the specific objective shows a large number of unresolved problematic areas which may significantly influence the absorption capacity and drawing</w:t>
            </w:r>
            <w:r>
              <w:rPr>
                <w:sz w:val="16"/>
                <w:szCs w:val="16"/>
              </w:rPr>
              <w:br/>
              <w:t>1 - the specific objective shows a number of unresolved problematic areas which may influence the absorption capacity and drawing</w:t>
            </w:r>
            <w:r>
              <w:rPr>
                <w:sz w:val="16"/>
                <w:szCs w:val="16"/>
              </w:rPr>
              <w:br/>
              <w:t>2 - the specific objective shows problematic or disputed areas which will be probably resolved and will have minimum impact on drawing</w:t>
            </w:r>
            <w:r>
              <w:rPr>
                <w:sz w:val="16"/>
                <w:szCs w:val="16"/>
              </w:rPr>
              <w:br/>
              <w:t>3 - the specific objective shows problematic or disputed areas which will be probably resolved and will not have any impact on drawing</w:t>
            </w:r>
            <w:r>
              <w:rPr>
                <w:sz w:val="16"/>
                <w:szCs w:val="16"/>
              </w:rPr>
              <w:br/>
              <w:t>4 - the specific objective shows problematic or disputed areas, but most of them have been addressed, no impact on drawing is expected</w:t>
            </w:r>
            <w:r>
              <w:rPr>
                <w:sz w:val="16"/>
                <w:szCs w:val="16"/>
              </w:rPr>
              <w:br/>
              <w:t>5 - the specific objective does not show problematic or disputed areas which could influence the start-up and course of drawing</w:t>
            </w:r>
          </w:p>
        </w:tc>
        <w:tc>
          <w:tcPr>
            <w:tcW w:w="558" w:type="dxa"/>
            <w:tcBorders>
              <w:top w:val="nil"/>
              <w:left w:val="nil"/>
              <w:bottom w:val="single" w:sz="4" w:space="0" w:color="00A1DE"/>
              <w:right w:val="single" w:sz="4" w:space="0" w:color="00A1DE"/>
            </w:tcBorders>
            <w:shd w:val="clear" w:color="000000" w:fill="FFFFFF"/>
            <w:vAlign w:val="center"/>
          </w:tcPr>
          <w:p w:rsidR="00065632" w:rsidRPr="0006774B" w:rsidRDefault="00065632" w:rsidP="00A16727">
            <w:pPr>
              <w:spacing w:after="0"/>
              <w:jc w:val="center"/>
              <w:rPr>
                <w:sz w:val="16"/>
                <w:szCs w:val="16"/>
              </w:rPr>
            </w:pPr>
            <w:r>
              <w:rPr>
                <w:sz w:val="16"/>
                <w:szCs w:val="16"/>
              </w:rPr>
              <w:t>0.3</w:t>
            </w:r>
          </w:p>
        </w:tc>
      </w:tr>
    </w:tbl>
    <w:p w:rsidR="00065632" w:rsidRDefault="00065632" w:rsidP="00DA4E52">
      <w:pPr>
        <w:pStyle w:val="Titulek"/>
      </w:pPr>
      <w:bookmarkStart w:id="53" w:name="_Toc400358138"/>
      <w:bookmarkStart w:id="54" w:name="_Toc409795562"/>
      <w:bookmarkStart w:id="55" w:name="_Toc417655500"/>
      <w:bookmarkStart w:id="56" w:name="_Toc426033911"/>
      <w:r>
        <w:t xml:space="preserve">Table </w:t>
      </w:r>
      <w:r>
        <w:fldChar w:fldCharType="begin"/>
      </w:r>
      <w:r>
        <w:instrText xml:space="preserve"> SEQ Tabulka \* ARABIC </w:instrText>
      </w:r>
      <w:r>
        <w:fldChar w:fldCharType="separate"/>
      </w:r>
      <w:r>
        <w:rPr>
          <w:noProof/>
        </w:rPr>
        <w:t>2</w:t>
      </w:r>
      <w:r>
        <w:fldChar w:fldCharType="end"/>
      </w:r>
      <w:r>
        <w:t>: Definition of attributes for the execution of the pre-screening evaluation</w:t>
      </w:r>
      <w:bookmarkEnd w:id="53"/>
      <w:bookmarkEnd w:id="54"/>
      <w:bookmarkEnd w:id="55"/>
      <w:bookmarkEnd w:id="56"/>
    </w:p>
    <w:p w:rsidR="00065632" w:rsidRDefault="00065632" w:rsidP="00DA4E52">
      <w:r>
        <w:t>In accordance with best practice Deloitte started a detailed analysis of the suitability of using IFIs only for the areas where the final average potential score reaches the value three and more. The aforementioned rule is not applied in the case that the area assessed has a zero value in attribute P2 Profitability - it is a binary exclusive criterion. The assessment for individual areas of intervention is presented below.</w:t>
      </w:r>
    </w:p>
    <w:p w:rsidR="00065632" w:rsidRDefault="00560258" w:rsidP="00DA4E52">
      <w:r>
        <w:rPr>
          <w:noProof/>
          <w:lang w:val="cs-CZ" w:eastAsia="cs-CZ"/>
        </w:rPr>
        <w:lastRenderedPageBreak/>
        <w:drawing>
          <wp:inline distT="0" distB="0" distL="0" distR="0">
            <wp:extent cx="8620125" cy="4714875"/>
            <wp:effectExtent l="0" t="0" r="9525" b="9525"/>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8620125" cy="4714875"/>
                    </a:xfrm>
                    <a:prstGeom prst="rect">
                      <a:avLst/>
                    </a:prstGeom>
                    <a:noFill/>
                    <a:ln>
                      <a:noFill/>
                    </a:ln>
                  </pic:spPr>
                </pic:pic>
              </a:graphicData>
            </a:graphic>
          </wp:inline>
        </w:drawing>
      </w:r>
    </w:p>
    <w:p w:rsidR="00065632" w:rsidRDefault="00560258" w:rsidP="00DA4E52">
      <w:r>
        <w:rPr>
          <w:noProof/>
          <w:lang w:val="cs-CZ" w:eastAsia="cs-CZ"/>
        </w:rPr>
        <w:lastRenderedPageBreak/>
        <w:drawing>
          <wp:inline distT="0" distB="0" distL="0" distR="0">
            <wp:extent cx="8791575" cy="5153025"/>
            <wp:effectExtent l="0" t="0" r="9525" b="9525"/>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8791575" cy="5153025"/>
                    </a:xfrm>
                    <a:prstGeom prst="rect">
                      <a:avLst/>
                    </a:prstGeom>
                    <a:noFill/>
                    <a:ln>
                      <a:noFill/>
                    </a:ln>
                  </pic:spPr>
                </pic:pic>
              </a:graphicData>
            </a:graphic>
          </wp:inline>
        </w:drawing>
      </w:r>
    </w:p>
    <w:p w:rsidR="00065632" w:rsidRDefault="00560258" w:rsidP="00DA4E52">
      <w:r>
        <w:rPr>
          <w:noProof/>
          <w:lang w:val="cs-CZ" w:eastAsia="cs-CZ"/>
        </w:rPr>
        <w:lastRenderedPageBreak/>
        <w:drawing>
          <wp:inline distT="0" distB="0" distL="0" distR="0">
            <wp:extent cx="8791575" cy="247650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8791575" cy="2476500"/>
                    </a:xfrm>
                    <a:prstGeom prst="rect">
                      <a:avLst/>
                    </a:prstGeom>
                    <a:noFill/>
                    <a:ln>
                      <a:noFill/>
                    </a:ln>
                  </pic:spPr>
                </pic:pic>
              </a:graphicData>
            </a:graphic>
          </wp:inline>
        </w:drawing>
      </w:r>
    </w:p>
    <w:p w:rsidR="00065632" w:rsidRDefault="00065632" w:rsidP="00DA4E52">
      <w:pPr>
        <w:pStyle w:val="Titulek"/>
        <w:spacing w:after="0" w:afterAutospacing="0"/>
      </w:pPr>
      <w:bookmarkStart w:id="57" w:name="_Toc400358140"/>
      <w:bookmarkStart w:id="58" w:name="_Toc409795563"/>
      <w:bookmarkStart w:id="59" w:name="_Toc417655501"/>
      <w:bookmarkStart w:id="60" w:name="_Toc426033912"/>
      <w:r>
        <w:t xml:space="preserve">Table </w:t>
      </w:r>
      <w:r>
        <w:fldChar w:fldCharType="begin"/>
      </w:r>
      <w:r>
        <w:instrText xml:space="preserve"> SEQ Tabulka \* ARABIC </w:instrText>
      </w:r>
      <w:r>
        <w:fldChar w:fldCharType="separate"/>
      </w:r>
      <w:r>
        <w:rPr>
          <w:noProof/>
        </w:rPr>
        <w:t>3</w:t>
      </w:r>
      <w:r>
        <w:fldChar w:fldCharType="end"/>
      </w:r>
      <w:r>
        <w:t xml:space="preserve">: Assessment of potential for use of IFIs in IROP 2014-2020 by individual </w:t>
      </w:r>
      <w:bookmarkEnd w:id="57"/>
      <w:r>
        <w:t>supported activities</w:t>
      </w:r>
      <w:bookmarkEnd w:id="58"/>
      <w:bookmarkEnd w:id="59"/>
      <w:bookmarkEnd w:id="60"/>
    </w:p>
    <w:p w:rsidR="00065632" w:rsidRDefault="00065632" w:rsidP="00912E5D"/>
    <w:p w:rsidR="00065632" w:rsidRDefault="00065632" w:rsidP="00912E5D"/>
    <w:tbl>
      <w:tblPr>
        <w:tblW w:w="5000" w:type="pct"/>
        <w:tblCellMar>
          <w:left w:w="40" w:type="dxa"/>
          <w:right w:w="40" w:type="dxa"/>
        </w:tblCellMar>
        <w:tblLook w:val="0000" w:firstRow="0" w:lastRow="0" w:firstColumn="0" w:lastColumn="0" w:noHBand="0" w:noVBand="0"/>
      </w:tblPr>
      <w:tblGrid>
        <w:gridCol w:w="573"/>
        <w:gridCol w:w="5771"/>
        <w:gridCol w:w="484"/>
        <w:gridCol w:w="897"/>
        <w:gridCol w:w="1355"/>
        <w:gridCol w:w="1069"/>
        <w:gridCol w:w="1909"/>
        <w:gridCol w:w="2024"/>
      </w:tblGrid>
      <w:tr w:rsidR="00065632" w:rsidRPr="00912E5D" w:rsidTr="00560258">
        <w:tc>
          <w:tcPr>
            <w:tcW w:w="218" w:type="pct"/>
            <w:tcBorders>
              <w:top w:val="nil"/>
              <w:left w:val="nil"/>
              <w:bottom w:val="nil"/>
              <w:right w:val="nil"/>
            </w:tcBorders>
            <w:shd w:val="clear" w:color="auto" w:fill="0062CD"/>
            <w:vAlign w:val="center"/>
          </w:tcPr>
          <w:p w:rsidR="00065632" w:rsidRPr="00912E5D" w:rsidRDefault="00065632" w:rsidP="00912E5D">
            <w:pPr>
              <w:autoSpaceDE w:val="0"/>
              <w:autoSpaceDN w:val="0"/>
              <w:adjustRightInd w:val="0"/>
              <w:rPr>
                <w:rFonts w:ascii="Franklin Gothic Medium" w:hAnsi="Franklin Gothic Medium" w:cs="Franklin Gothic Medium"/>
                <w:color w:val="E4A65E"/>
                <w:sz w:val="22"/>
                <w:szCs w:val="22"/>
                <w:highlight w:val="yellow"/>
              </w:rPr>
            </w:pPr>
            <w:r w:rsidRPr="00912E5D">
              <w:rPr>
                <w:rFonts w:ascii="Franklin Gothic Medium" w:hAnsi="Franklin Gothic Medium" w:cs="Franklin Gothic Medium"/>
                <w:color w:val="E4A65E"/>
                <w:sz w:val="22"/>
                <w:szCs w:val="22"/>
                <w:highlight w:val="yellow"/>
              </w:rPr>
              <w:t>■</w:t>
            </w:r>
          </w:p>
          <w:p w:rsidR="00065632" w:rsidRPr="00912E5D" w:rsidRDefault="00065632" w:rsidP="00912E5D">
            <w:pPr>
              <w:autoSpaceDE w:val="0"/>
              <w:autoSpaceDN w:val="0"/>
              <w:adjustRightInd w:val="0"/>
              <w:rPr>
                <w:rFonts w:ascii="Franklin Gothic Medium" w:hAnsi="Franklin Gothic Medium" w:cs="Franklin Gothic Medium"/>
                <w:b/>
                <w:bCs/>
                <w:color w:val="FFFFFF"/>
                <w:sz w:val="22"/>
                <w:szCs w:val="22"/>
                <w:highlight w:val="yellow"/>
              </w:rPr>
            </w:pPr>
            <w:r w:rsidRPr="00912E5D">
              <w:rPr>
                <w:rFonts w:ascii="Courier New" w:hAnsi="Courier New" w:cs="Courier New"/>
                <w:b/>
                <w:bCs/>
                <w:color w:val="000000"/>
                <w:sz w:val="46"/>
                <w:szCs w:val="46"/>
                <w:highlight w:val="yellow"/>
              </w:rPr>
              <w:t xml:space="preserve"> </w:t>
            </w:r>
          </w:p>
        </w:tc>
        <w:tc>
          <w:tcPr>
            <w:tcW w:w="2216" w:type="pct"/>
            <w:tcBorders>
              <w:top w:val="nil"/>
              <w:left w:val="nil"/>
              <w:bottom w:val="nil"/>
              <w:right w:val="nil"/>
            </w:tcBorders>
            <w:shd w:val="clear" w:color="auto" w:fill="0062CD"/>
            <w:vAlign w:val="center"/>
          </w:tcPr>
          <w:p w:rsidR="00065632" w:rsidRPr="00560258" w:rsidRDefault="00065632" w:rsidP="00560258">
            <w:pPr>
              <w:autoSpaceDE w:val="0"/>
              <w:autoSpaceDN w:val="0"/>
              <w:adjustRightInd w:val="0"/>
              <w:ind w:left="3780"/>
              <w:jc w:val="center"/>
              <w:rPr>
                <w:rFonts w:ascii="Franklin Gothic Medium" w:hAnsi="Franklin Gothic Medium" w:cs="Franklin Gothic Medium"/>
                <w:sz w:val="22"/>
                <w:szCs w:val="22"/>
                <w:highlight w:val="yellow"/>
              </w:rPr>
            </w:pPr>
            <w:r w:rsidRPr="00560258">
              <w:rPr>
                <w:rFonts w:ascii="Franklin Gothic Medium" w:hAnsi="Franklin Gothic Medium" w:cs="Franklin Gothic Medium"/>
                <w:sz w:val="22"/>
                <w:szCs w:val="22"/>
                <w:highlight w:val="yellow"/>
              </w:rPr>
              <w:t>Group of supported activities</w:t>
            </w:r>
          </w:p>
        </w:tc>
        <w:tc>
          <w:tcPr>
            <w:tcW w:w="442" w:type="pct"/>
            <w:gridSpan w:val="2"/>
            <w:tcBorders>
              <w:top w:val="nil"/>
              <w:left w:val="nil"/>
              <w:bottom w:val="nil"/>
              <w:right w:val="nil"/>
            </w:tcBorders>
            <w:shd w:val="clear" w:color="auto" w:fill="0062CD"/>
          </w:tcPr>
          <w:p w:rsidR="00065632" w:rsidRPr="00560258" w:rsidRDefault="00065632" w:rsidP="00560258">
            <w:pPr>
              <w:autoSpaceDE w:val="0"/>
              <w:autoSpaceDN w:val="0"/>
              <w:adjustRightInd w:val="0"/>
              <w:jc w:val="center"/>
              <w:rPr>
                <w:rFonts w:ascii="Franklin Gothic Medium" w:hAnsi="Franklin Gothic Medium" w:cs="Franklin Gothic Medium"/>
                <w:sz w:val="22"/>
                <w:szCs w:val="22"/>
                <w:highlight w:val="yellow"/>
              </w:rPr>
            </w:pPr>
            <w:r w:rsidRPr="00560258">
              <w:rPr>
                <w:rFonts w:ascii="Franklin Gothic Medium" w:hAnsi="Franklin Gothic Medium" w:cs="Franklin Gothic Medium"/>
                <w:sz w:val="22"/>
                <w:szCs w:val="22"/>
                <w:highlight w:val="yellow"/>
              </w:rPr>
              <w:t>■</w:t>
            </w:r>
          </w:p>
          <w:p w:rsidR="00065632" w:rsidRPr="00560258" w:rsidRDefault="00065632" w:rsidP="00560258">
            <w:pPr>
              <w:autoSpaceDE w:val="0"/>
              <w:autoSpaceDN w:val="0"/>
              <w:adjustRightInd w:val="0"/>
              <w:jc w:val="center"/>
              <w:rPr>
                <w:rFonts w:ascii="Franklin Gothic Medium" w:hAnsi="Franklin Gothic Medium" w:cs="Franklin Gothic Medium"/>
                <w:sz w:val="22"/>
                <w:szCs w:val="22"/>
                <w:highlight w:val="yellow"/>
              </w:rPr>
            </w:pPr>
            <w:r w:rsidRPr="00560258">
              <w:rPr>
                <w:rFonts w:ascii="Franklin Gothic Medium" w:hAnsi="Franklin Gothic Medium" w:cs="Franklin Gothic Medium"/>
                <w:sz w:val="22"/>
                <w:szCs w:val="22"/>
                <w:highlight w:val="yellow"/>
              </w:rPr>
              <w:t>Assessment by Deloitte</w:t>
            </w:r>
          </w:p>
        </w:tc>
        <w:tc>
          <w:tcPr>
            <w:tcW w:w="442" w:type="pct"/>
            <w:tcBorders>
              <w:top w:val="nil"/>
              <w:left w:val="nil"/>
              <w:bottom w:val="nil"/>
              <w:right w:val="nil"/>
            </w:tcBorders>
            <w:shd w:val="clear" w:color="auto" w:fill="0062CD"/>
            <w:vAlign w:val="center"/>
          </w:tcPr>
          <w:p w:rsidR="00065632" w:rsidRPr="00560258" w:rsidRDefault="00065632" w:rsidP="00560258">
            <w:pPr>
              <w:autoSpaceDE w:val="0"/>
              <w:autoSpaceDN w:val="0"/>
              <w:adjustRightInd w:val="0"/>
              <w:spacing w:line="252" w:lineRule="exact"/>
              <w:jc w:val="center"/>
              <w:rPr>
                <w:rFonts w:ascii="Franklin Gothic Medium" w:hAnsi="Franklin Gothic Medium" w:cs="Franklin Gothic Medium"/>
                <w:sz w:val="22"/>
                <w:szCs w:val="22"/>
                <w:highlight w:val="yellow"/>
              </w:rPr>
            </w:pPr>
            <w:r w:rsidRPr="00560258">
              <w:rPr>
                <w:rFonts w:ascii="Franklin Gothic Medium" w:hAnsi="Franklin Gothic Medium" w:cs="Franklin Gothic Medium"/>
                <w:sz w:val="22"/>
                <w:szCs w:val="22"/>
                <w:highlight w:val="yellow"/>
              </w:rPr>
              <w:t>Assessment by the OP management department</w:t>
            </w:r>
          </w:p>
        </w:tc>
        <w:tc>
          <w:tcPr>
            <w:tcW w:w="439" w:type="pct"/>
            <w:tcBorders>
              <w:top w:val="nil"/>
              <w:left w:val="nil"/>
              <w:bottom w:val="nil"/>
              <w:right w:val="nil"/>
            </w:tcBorders>
            <w:shd w:val="clear" w:color="auto" w:fill="0062CD"/>
            <w:vAlign w:val="center"/>
          </w:tcPr>
          <w:p w:rsidR="00065632" w:rsidRPr="00560258" w:rsidRDefault="00065632" w:rsidP="00560258">
            <w:pPr>
              <w:autoSpaceDE w:val="0"/>
              <w:autoSpaceDN w:val="0"/>
              <w:adjustRightInd w:val="0"/>
              <w:spacing w:line="252" w:lineRule="exact"/>
              <w:jc w:val="center"/>
              <w:rPr>
                <w:rFonts w:ascii="Franklin Gothic Medium" w:hAnsi="Franklin Gothic Medium" w:cs="Franklin Gothic Medium"/>
                <w:b/>
                <w:bCs/>
                <w:sz w:val="22"/>
                <w:szCs w:val="22"/>
                <w:highlight w:val="yellow"/>
              </w:rPr>
            </w:pPr>
            <w:r w:rsidRPr="00560258">
              <w:rPr>
                <w:rFonts w:ascii="Franklin Gothic Medium" w:hAnsi="Franklin Gothic Medium" w:cs="Franklin Gothic Medium"/>
                <w:highlight w:val="yellow"/>
              </w:rPr>
              <w:t>Assessment by subject experts</w:t>
            </w:r>
          </w:p>
        </w:tc>
        <w:tc>
          <w:tcPr>
            <w:tcW w:w="830" w:type="pct"/>
            <w:tcBorders>
              <w:top w:val="nil"/>
              <w:left w:val="nil"/>
              <w:bottom w:val="nil"/>
              <w:right w:val="nil"/>
            </w:tcBorders>
            <w:shd w:val="clear" w:color="auto" w:fill="0062CD"/>
            <w:vAlign w:val="center"/>
          </w:tcPr>
          <w:p w:rsidR="00065632" w:rsidRPr="00560258" w:rsidRDefault="00065632" w:rsidP="00560258">
            <w:pPr>
              <w:autoSpaceDE w:val="0"/>
              <w:autoSpaceDN w:val="0"/>
              <w:adjustRightInd w:val="0"/>
              <w:ind w:left="684"/>
              <w:jc w:val="center"/>
              <w:rPr>
                <w:rFonts w:ascii="Franklin Gothic Medium" w:hAnsi="Franklin Gothic Medium" w:cs="Franklin Gothic Medium"/>
                <w:sz w:val="22"/>
                <w:szCs w:val="22"/>
                <w:highlight w:val="yellow"/>
              </w:rPr>
            </w:pPr>
            <w:r w:rsidRPr="00560258">
              <w:rPr>
                <w:rFonts w:ascii="Franklin Gothic Medium" w:hAnsi="Franklin Gothic Medium" w:cs="Franklin Gothic Medium"/>
                <w:sz w:val="22"/>
                <w:szCs w:val="22"/>
                <w:highlight w:val="yellow"/>
              </w:rPr>
              <w:t>Assessment regarding potential</w:t>
            </w:r>
          </w:p>
        </w:tc>
        <w:tc>
          <w:tcPr>
            <w:tcW w:w="413" w:type="pct"/>
            <w:tcBorders>
              <w:top w:val="nil"/>
              <w:left w:val="nil"/>
              <w:bottom w:val="nil"/>
              <w:right w:val="nil"/>
            </w:tcBorders>
            <w:shd w:val="clear" w:color="auto" w:fill="0062CD"/>
            <w:vAlign w:val="center"/>
          </w:tcPr>
          <w:p w:rsidR="00065632" w:rsidRPr="00560258" w:rsidRDefault="00065632" w:rsidP="00560258">
            <w:pPr>
              <w:autoSpaceDE w:val="0"/>
              <w:autoSpaceDN w:val="0"/>
              <w:adjustRightInd w:val="0"/>
              <w:spacing w:line="252" w:lineRule="exact"/>
              <w:jc w:val="center"/>
              <w:rPr>
                <w:rFonts w:ascii="Franklin Gothic Medium" w:hAnsi="Franklin Gothic Medium" w:cs="Franklin Gothic Medium"/>
                <w:b/>
                <w:bCs/>
                <w:sz w:val="22"/>
                <w:szCs w:val="22"/>
                <w:highlight w:val="yellow"/>
              </w:rPr>
            </w:pPr>
            <w:r w:rsidRPr="00560258">
              <w:rPr>
                <w:rFonts w:ascii="Franklin Gothic Medium" w:hAnsi="Franklin Gothic Medium" w:cs="Franklin Gothic Medium"/>
                <w:sz w:val="22"/>
                <w:szCs w:val="22"/>
                <w:highlight w:val="yellow"/>
              </w:rPr>
              <w:t>Suitable type of financial " instrument</w:t>
            </w:r>
          </w:p>
        </w:tc>
      </w:tr>
      <w:tr w:rsidR="00065632" w:rsidRPr="00912E5D" w:rsidTr="00560258">
        <w:tc>
          <w:tcPr>
            <w:tcW w:w="218" w:type="pct"/>
            <w:tcBorders>
              <w:top w:val="nil"/>
              <w:left w:val="single" w:sz="6" w:space="0" w:color="auto"/>
              <w:bottom w:val="single" w:sz="6" w:space="0" w:color="auto"/>
              <w:right w:val="single" w:sz="6" w:space="0" w:color="auto"/>
            </w:tcBorders>
            <w:vAlign w:val="center"/>
          </w:tcPr>
          <w:p w:rsidR="00065632" w:rsidRPr="00912E5D" w:rsidRDefault="00065632" w:rsidP="00912E5D">
            <w:pPr>
              <w:autoSpaceDE w:val="0"/>
              <w:autoSpaceDN w:val="0"/>
              <w:adjustRightInd w:val="0"/>
              <w:rPr>
                <w:rFonts w:ascii="Franklin Gothic Medium" w:hAnsi="Franklin Gothic Medium" w:cs="Franklin Gothic Medium"/>
                <w:color w:val="000000"/>
                <w:sz w:val="22"/>
                <w:szCs w:val="22"/>
                <w:highlight w:val="yellow"/>
              </w:rPr>
            </w:pPr>
            <w:r w:rsidRPr="00912E5D">
              <w:rPr>
                <w:rFonts w:ascii="Franklin Gothic Medium" w:hAnsi="Franklin Gothic Medium" w:cs="Franklin Gothic Medium"/>
                <w:color w:val="000000"/>
                <w:sz w:val="22"/>
                <w:szCs w:val="22"/>
                <w:highlight w:val="yellow"/>
              </w:rPr>
              <w:t>SO 1.1.1</w:t>
            </w:r>
          </w:p>
        </w:tc>
        <w:tc>
          <w:tcPr>
            <w:tcW w:w="2216" w:type="pct"/>
            <w:tcBorders>
              <w:top w:val="nil"/>
              <w:left w:val="single" w:sz="6" w:space="0" w:color="auto"/>
              <w:bottom w:val="single" w:sz="6" w:space="0" w:color="auto"/>
              <w:right w:val="single" w:sz="6" w:space="0" w:color="auto"/>
            </w:tcBorders>
            <w:vAlign w:val="center"/>
          </w:tcPr>
          <w:p w:rsidR="00065632" w:rsidRPr="00912E5D" w:rsidRDefault="00065632" w:rsidP="00912E5D">
            <w:pPr>
              <w:autoSpaceDE w:val="0"/>
              <w:autoSpaceDN w:val="0"/>
              <w:adjustRightInd w:val="0"/>
              <w:spacing w:line="270" w:lineRule="exact"/>
              <w:rPr>
                <w:rFonts w:ascii="Franklin Gothic Medium" w:hAnsi="Franklin Gothic Medium" w:cs="Franklin Gothic Medium"/>
                <w:color w:val="000000"/>
                <w:sz w:val="22"/>
                <w:szCs w:val="22"/>
                <w:highlight w:val="yellow"/>
              </w:rPr>
            </w:pPr>
            <w:r w:rsidRPr="00912E5D">
              <w:rPr>
                <w:rFonts w:ascii="Franklin Gothic Medium" w:hAnsi="Franklin Gothic Medium" w:cs="Franklin Gothic Medium"/>
                <w:color w:val="000000"/>
                <w:sz w:val="22"/>
                <w:szCs w:val="22"/>
                <w:highlight w:val="yellow"/>
              </w:rPr>
              <w:t>Reconstruction, modernisation or construction of roads and building of bypasses round towns on the selected regional road network in order to increase connectivity with the TEN-T network.</w:t>
            </w:r>
          </w:p>
        </w:tc>
        <w:tc>
          <w:tcPr>
            <w:tcW w:w="442" w:type="pct"/>
            <w:gridSpan w:val="2"/>
            <w:tcBorders>
              <w:top w:val="nil"/>
              <w:left w:val="single" w:sz="6" w:space="0" w:color="auto"/>
              <w:bottom w:val="single" w:sz="6" w:space="0" w:color="auto"/>
              <w:right w:val="single" w:sz="6" w:space="0" w:color="auto"/>
            </w:tcBorders>
            <w:vAlign w:val="center"/>
          </w:tcPr>
          <w:p w:rsidR="00065632" w:rsidRPr="00912E5D" w:rsidRDefault="00065632" w:rsidP="00912E5D">
            <w:pPr>
              <w:autoSpaceDE w:val="0"/>
              <w:autoSpaceDN w:val="0"/>
              <w:adjustRightInd w:val="0"/>
              <w:ind w:left="774"/>
              <w:rPr>
                <w:rFonts w:ascii="Franklin Gothic Medium" w:hAnsi="Franklin Gothic Medium" w:cs="Franklin Gothic Medium"/>
                <w:color w:val="000000"/>
                <w:sz w:val="22"/>
                <w:szCs w:val="22"/>
                <w:highlight w:val="yellow"/>
              </w:rPr>
            </w:pPr>
            <w:r w:rsidRPr="00912E5D">
              <w:rPr>
                <w:rFonts w:ascii="Franklin Gothic Medium" w:hAnsi="Franklin Gothic Medium" w:cs="Franklin Gothic Medium"/>
                <w:color w:val="000000"/>
                <w:sz w:val="22"/>
                <w:szCs w:val="22"/>
                <w:highlight w:val="yellow"/>
              </w:rPr>
              <w:t>3.61</w:t>
            </w:r>
          </w:p>
        </w:tc>
        <w:tc>
          <w:tcPr>
            <w:tcW w:w="442" w:type="pct"/>
            <w:tcBorders>
              <w:top w:val="nil"/>
              <w:left w:val="single" w:sz="6" w:space="0" w:color="auto"/>
              <w:bottom w:val="single" w:sz="6" w:space="0" w:color="auto"/>
              <w:right w:val="single" w:sz="6" w:space="0" w:color="auto"/>
            </w:tcBorders>
            <w:vAlign w:val="center"/>
          </w:tcPr>
          <w:p w:rsidR="00065632" w:rsidRPr="00912E5D" w:rsidRDefault="00065632" w:rsidP="00912E5D">
            <w:pPr>
              <w:autoSpaceDE w:val="0"/>
              <w:autoSpaceDN w:val="0"/>
              <w:adjustRightInd w:val="0"/>
              <w:jc w:val="center"/>
              <w:rPr>
                <w:rFonts w:ascii="Franklin Gothic Medium" w:hAnsi="Franklin Gothic Medium" w:cs="Franklin Gothic Medium"/>
                <w:color w:val="000000"/>
                <w:sz w:val="22"/>
                <w:szCs w:val="22"/>
                <w:highlight w:val="yellow"/>
              </w:rPr>
            </w:pPr>
            <w:r w:rsidRPr="00912E5D">
              <w:rPr>
                <w:rFonts w:ascii="Franklin Gothic Medium" w:hAnsi="Franklin Gothic Medium" w:cs="Franklin Gothic Medium"/>
                <w:color w:val="000000"/>
                <w:sz w:val="22"/>
                <w:szCs w:val="22"/>
                <w:highlight w:val="yellow"/>
              </w:rPr>
              <w:t>4.10</w:t>
            </w:r>
          </w:p>
        </w:tc>
        <w:tc>
          <w:tcPr>
            <w:tcW w:w="439" w:type="pct"/>
            <w:tcBorders>
              <w:top w:val="nil"/>
              <w:left w:val="single" w:sz="6" w:space="0" w:color="auto"/>
              <w:bottom w:val="single" w:sz="6" w:space="0" w:color="auto"/>
              <w:right w:val="single" w:sz="6" w:space="0" w:color="auto"/>
            </w:tcBorders>
            <w:vAlign w:val="center"/>
          </w:tcPr>
          <w:p w:rsidR="00065632" w:rsidRPr="00912E5D" w:rsidRDefault="00065632" w:rsidP="00912E5D">
            <w:pPr>
              <w:autoSpaceDE w:val="0"/>
              <w:autoSpaceDN w:val="0"/>
              <w:adjustRightInd w:val="0"/>
              <w:jc w:val="center"/>
              <w:rPr>
                <w:rFonts w:ascii="Franklin Gothic Medium" w:hAnsi="Franklin Gothic Medium" w:cs="Franklin Gothic Medium"/>
                <w:color w:val="000000"/>
                <w:sz w:val="22"/>
                <w:szCs w:val="22"/>
                <w:highlight w:val="yellow"/>
              </w:rPr>
            </w:pPr>
            <w:r w:rsidRPr="00912E5D">
              <w:rPr>
                <w:rFonts w:ascii="Franklin Gothic Medium" w:hAnsi="Franklin Gothic Medium" w:cs="Franklin Gothic Medium"/>
                <w:color w:val="000000"/>
                <w:sz w:val="22"/>
                <w:szCs w:val="22"/>
                <w:highlight w:val="yellow"/>
              </w:rPr>
              <w:t>4.06</w:t>
            </w:r>
          </w:p>
        </w:tc>
        <w:tc>
          <w:tcPr>
            <w:tcW w:w="830" w:type="pct"/>
            <w:tcBorders>
              <w:top w:val="nil"/>
              <w:left w:val="single" w:sz="6" w:space="0" w:color="auto"/>
              <w:bottom w:val="nil"/>
              <w:right w:val="single" w:sz="6" w:space="0" w:color="auto"/>
            </w:tcBorders>
          </w:tcPr>
          <w:p w:rsidR="00065632" w:rsidRPr="00912E5D" w:rsidRDefault="00065632" w:rsidP="00912E5D">
            <w:pPr>
              <w:autoSpaceDE w:val="0"/>
              <w:autoSpaceDN w:val="0"/>
              <w:adjustRightInd w:val="0"/>
              <w:rPr>
                <w:rFonts w:ascii="Franklin Gothic Medium" w:hAnsi="Franklin Gothic Medium" w:cs="Franklin Gothic Medium"/>
                <w:sz w:val="22"/>
                <w:szCs w:val="22"/>
                <w:highlight w:val="yellow"/>
              </w:rPr>
            </w:pPr>
          </w:p>
        </w:tc>
        <w:tc>
          <w:tcPr>
            <w:tcW w:w="413" w:type="pct"/>
            <w:tcBorders>
              <w:top w:val="nil"/>
              <w:left w:val="single" w:sz="6" w:space="0" w:color="auto"/>
              <w:bottom w:val="nil"/>
              <w:right w:val="single" w:sz="6" w:space="0" w:color="auto"/>
            </w:tcBorders>
          </w:tcPr>
          <w:p w:rsidR="00065632" w:rsidRPr="00912E5D" w:rsidRDefault="00065632" w:rsidP="00912E5D">
            <w:pPr>
              <w:autoSpaceDE w:val="0"/>
              <w:autoSpaceDN w:val="0"/>
              <w:adjustRightInd w:val="0"/>
              <w:rPr>
                <w:rFonts w:ascii="Franklin Gothic Medium" w:hAnsi="Franklin Gothic Medium" w:cs="Franklin Gothic Medium"/>
                <w:sz w:val="22"/>
                <w:szCs w:val="22"/>
                <w:highlight w:val="yellow"/>
              </w:rPr>
            </w:pPr>
          </w:p>
        </w:tc>
      </w:tr>
      <w:tr w:rsidR="00065632" w:rsidRPr="00912E5D" w:rsidTr="00560258">
        <w:tc>
          <w:tcPr>
            <w:tcW w:w="218" w:type="pct"/>
            <w:tcBorders>
              <w:top w:val="single" w:sz="6" w:space="0" w:color="auto"/>
              <w:left w:val="single" w:sz="6" w:space="0" w:color="auto"/>
              <w:bottom w:val="single" w:sz="6" w:space="0" w:color="auto"/>
              <w:right w:val="single" w:sz="6" w:space="0" w:color="auto"/>
            </w:tcBorders>
          </w:tcPr>
          <w:p w:rsidR="00065632" w:rsidRPr="00912E5D" w:rsidRDefault="00065632" w:rsidP="00912E5D">
            <w:pPr>
              <w:autoSpaceDE w:val="0"/>
              <w:autoSpaceDN w:val="0"/>
              <w:adjustRightInd w:val="0"/>
              <w:rPr>
                <w:rFonts w:ascii="Franklin Gothic Medium" w:hAnsi="Franklin Gothic Medium" w:cs="Franklin Gothic Medium"/>
                <w:color w:val="000000"/>
                <w:sz w:val="22"/>
                <w:szCs w:val="22"/>
                <w:highlight w:val="yellow"/>
              </w:rPr>
            </w:pPr>
            <w:r w:rsidRPr="00912E5D">
              <w:rPr>
                <w:rFonts w:ascii="Franklin Gothic Medium" w:hAnsi="Franklin Gothic Medium" w:cs="Franklin Gothic Medium"/>
                <w:color w:val="000000"/>
                <w:sz w:val="22"/>
                <w:szCs w:val="22"/>
                <w:highlight w:val="yellow"/>
              </w:rPr>
              <w:t>SO 1.2.1</w:t>
            </w:r>
          </w:p>
        </w:tc>
        <w:tc>
          <w:tcPr>
            <w:tcW w:w="2216" w:type="pct"/>
            <w:tcBorders>
              <w:top w:val="single" w:sz="6" w:space="0" w:color="auto"/>
              <w:left w:val="single" w:sz="6" w:space="0" w:color="auto"/>
              <w:bottom w:val="single" w:sz="6" w:space="0" w:color="auto"/>
              <w:right w:val="single" w:sz="6" w:space="0" w:color="auto"/>
            </w:tcBorders>
          </w:tcPr>
          <w:p w:rsidR="00065632" w:rsidRPr="00912E5D" w:rsidRDefault="00065632" w:rsidP="00912E5D">
            <w:pPr>
              <w:autoSpaceDE w:val="0"/>
              <w:autoSpaceDN w:val="0"/>
              <w:adjustRightInd w:val="0"/>
              <w:spacing w:line="252" w:lineRule="exact"/>
              <w:ind w:right="144"/>
              <w:rPr>
                <w:rFonts w:ascii="Franklin Gothic Medium" w:hAnsi="Franklin Gothic Medium" w:cs="Franklin Gothic Medium"/>
                <w:color w:val="000000"/>
                <w:sz w:val="22"/>
                <w:szCs w:val="22"/>
                <w:highlight w:val="yellow"/>
              </w:rPr>
            </w:pPr>
            <w:r w:rsidRPr="00912E5D">
              <w:rPr>
                <w:rFonts w:ascii="Franklin Gothic Medium" w:hAnsi="Franklin Gothic Medium" w:cs="Franklin Gothic Medium"/>
                <w:color w:val="000000"/>
                <w:sz w:val="22"/>
                <w:szCs w:val="22"/>
                <w:highlight w:val="yellow"/>
              </w:rPr>
              <w:t xml:space="preserve">Construction and modernization of transfer terminals for public transport and public transport transfer systems P+R, K+R, B+R to support public transport and multimodality. Construction, reconstruction or </w:t>
            </w:r>
            <w:r w:rsidRPr="00912E5D">
              <w:rPr>
                <w:rFonts w:ascii="Franklin Gothic Medium" w:hAnsi="Franklin Gothic Medium" w:cs="Franklin Gothic Medium"/>
                <w:color w:val="000000"/>
                <w:sz w:val="22"/>
                <w:szCs w:val="22"/>
                <w:highlight w:val="yellow"/>
              </w:rPr>
              <w:lastRenderedPageBreak/>
              <w:t xml:space="preserve">modernisation of intelligent transportation systems (ITS) and transportation telematics for public transport, introduction or modernisation of control, information, check-in and payment systems for public transport. Also, support for alternative propulsion systems in public transport vehicles and support for alternative means of transport. Purchase of low-emission and emission-free vehicles for passenger transport and construction of refilling and recharging stations for low-emission and emission-free vehicles for passenger transport to mitigate negative </w:t>
            </w:r>
            <w:proofErr w:type="spellStart"/>
            <w:r w:rsidRPr="00912E5D">
              <w:rPr>
                <w:rFonts w:ascii="Franklin Gothic Medium" w:hAnsi="Franklin Gothic Medium" w:cs="Franklin Gothic Medium"/>
                <w:color w:val="000000"/>
                <w:sz w:val="22"/>
                <w:szCs w:val="22"/>
                <w:highlight w:val="yellow"/>
              </w:rPr>
              <w:t>affects</w:t>
            </w:r>
            <w:proofErr w:type="spellEnd"/>
            <w:r w:rsidRPr="00912E5D">
              <w:rPr>
                <w:rFonts w:ascii="Franklin Gothic Medium" w:hAnsi="Franklin Gothic Medium" w:cs="Franklin Gothic Medium"/>
                <w:color w:val="000000"/>
                <w:sz w:val="22"/>
                <w:szCs w:val="22"/>
                <w:highlight w:val="yellow"/>
              </w:rPr>
              <w:t xml:space="preserve"> in transport. Purchase of vehicles taking into account specific needs of passengers with reduced capability of movement or orientation in order to contribute to barrier-free public transport. Also, projects to enhance safety of rail, road, cycling and pedestrian transport, projects developing bicycle transport, e.g. construction and reconstruction of cycling trails and cycling routes, construction of supporting infrastructure in relation to other systems of transport or implementation of cycling lanes, will be supported. Greenery around transfer terminal buildings and on buildings, e.g. green walls and roofs, alleys and supplementary greenery in the network by cycling trails and cycling routes, will be supported as a supplementary activity.</w:t>
            </w:r>
          </w:p>
        </w:tc>
        <w:tc>
          <w:tcPr>
            <w:tcW w:w="442" w:type="pct"/>
            <w:gridSpan w:val="2"/>
            <w:tcBorders>
              <w:top w:val="single" w:sz="6" w:space="0" w:color="auto"/>
              <w:left w:val="single" w:sz="6" w:space="0" w:color="auto"/>
              <w:bottom w:val="single" w:sz="6" w:space="0" w:color="auto"/>
              <w:right w:val="single" w:sz="6" w:space="0" w:color="auto"/>
            </w:tcBorders>
          </w:tcPr>
          <w:p w:rsidR="00065632" w:rsidRPr="00912E5D" w:rsidRDefault="00065632" w:rsidP="00912E5D">
            <w:pPr>
              <w:autoSpaceDE w:val="0"/>
              <w:autoSpaceDN w:val="0"/>
              <w:adjustRightInd w:val="0"/>
              <w:ind w:left="774"/>
              <w:rPr>
                <w:rFonts w:ascii="Franklin Gothic Medium" w:hAnsi="Franklin Gothic Medium" w:cs="Franklin Gothic Medium"/>
                <w:color w:val="000000"/>
                <w:sz w:val="22"/>
                <w:szCs w:val="22"/>
                <w:highlight w:val="yellow"/>
              </w:rPr>
            </w:pPr>
            <w:r w:rsidRPr="00912E5D">
              <w:rPr>
                <w:rFonts w:ascii="Franklin Gothic Medium" w:hAnsi="Franklin Gothic Medium" w:cs="Franklin Gothic Medium"/>
                <w:color w:val="000000"/>
                <w:sz w:val="22"/>
                <w:szCs w:val="22"/>
                <w:highlight w:val="yellow"/>
              </w:rPr>
              <w:lastRenderedPageBreak/>
              <w:t>3.45</w:t>
            </w:r>
          </w:p>
        </w:tc>
        <w:tc>
          <w:tcPr>
            <w:tcW w:w="442" w:type="pct"/>
            <w:tcBorders>
              <w:top w:val="single" w:sz="6" w:space="0" w:color="auto"/>
              <w:left w:val="single" w:sz="6" w:space="0" w:color="auto"/>
              <w:bottom w:val="single" w:sz="6" w:space="0" w:color="auto"/>
              <w:right w:val="single" w:sz="6" w:space="0" w:color="auto"/>
            </w:tcBorders>
          </w:tcPr>
          <w:p w:rsidR="00065632" w:rsidRPr="00912E5D" w:rsidRDefault="00065632" w:rsidP="00912E5D">
            <w:pPr>
              <w:autoSpaceDE w:val="0"/>
              <w:autoSpaceDN w:val="0"/>
              <w:adjustRightInd w:val="0"/>
              <w:jc w:val="center"/>
              <w:rPr>
                <w:rFonts w:ascii="Franklin Gothic Medium" w:hAnsi="Franklin Gothic Medium" w:cs="Franklin Gothic Medium"/>
                <w:color w:val="000000"/>
                <w:sz w:val="22"/>
                <w:szCs w:val="22"/>
                <w:highlight w:val="yellow"/>
              </w:rPr>
            </w:pPr>
            <w:r w:rsidRPr="00912E5D">
              <w:rPr>
                <w:rFonts w:ascii="Franklin Gothic Medium" w:hAnsi="Franklin Gothic Medium" w:cs="Franklin Gothic Medium"/>
                <w:color w:val="000000"/>
                <w:sz w:val="22"/>
                <w:szCs w:val="22"/>
                <w:highlight w:val="yellow"/>
              </w:rPr>
              <w:t>3.90</w:t>
            </w:r>
          </w:p>
        </w:tc>
        <w:tc>
          <w:tcPr>
            <w:tcW w:w="439" w:type="pct"/>
            <w:tcBorders>
              <w:top w:val="single" w:sz="6" w:space="0" w:color="auto"/>
              <w:left w:val="single" w:sz="6" w:space="0" w:color="auto"/>
              <w:bottom w:val="single" w:sz="6" w:space="0" w:color="auto"/>
              <w:right w:val="single" w:sz="6" w:space="0" w:color="auto"/>
            </w:tcBorders>
          </w:tcPr>
          <w:p w:rsidR="00065632" w:rsidRPr="00912E5D" w:rsidRDefault="00065632" w:rsidP="00912E5D">
            <w:pPr>
              <w:autoSpaceDE w:val="0"/>
              <w:autoSpaceDN w:val="0"/>
              <w:adjustRightInd w:val="0"/>
              <w:jc w:val="center"/>
              <w:rPr>
                <w:rFonts w:ascii="Franklin Gothic Medium" w:hAnsi="Franklin Gothic Medium" w:cs="Franklin Gothic Medium"/>
                <w:color w:val="000000"/>
                <w:sz w:val="22"/>
                <w:szCs w:val="22"/>
                <w:highlight w:val="yellow"/>
              </w:rPr>
            </w:pPr>
            <w:r w:rsidRPr="00912E5D">
              <w:rPr>
                <w:rFonts w:ascii="Franklin Gothic Medium" w:hAnsi="Franklin Gothic Medium" w:cs="Franklin Gothic Medium"/>
                <w:color w:val="000000"/>
                <w:sz w:val="22"/>
                <w:szCs w:val="22"/>
                <w:highlight w:val="yellow"/>
              </w:rPr>
              <w:t>3.82</w:t>
            </w:r>
          </w:p>
        </w:tc>
        <w:tc>
          <w:tcPr>
            <w:tcW w:w="830" w:type="pct"/>
            <w:tcBorders>
              <w:top w:val="nil"/>
              <w:left w:val="single" w:sz="6" w:space="0" w:color="auto"/>
              <w:bottom w:val="single" w:sz="6" w:space="0" w:color="auto"/>
              <w:right w:val="single" w:sz="6" w:space="0" w:color="auto"/>
            </w:tcBorders>
          </w:tcPr>
          <w:p w:rsidR="00065632" w:rsidRPr="00912E5D" w:rsidRDefault="00065632" w:rsidP="00912E5D">
            <w:pPr>
              <w:autoSpaceDE w:val="0"/>
              <w:autoSpaceDN w:val="0"/>
              <w:adjustRightInd w:val="0"/>
              <w:spacing w:line="252" w:lineRule="exact"/>
              <w:ind w:left="18" w:hanging="18"/>
              <w:rPr>
                <w:rFonts w:ascii="Franklin Gothic Medium" w:hAnsi="Franklin Gothic Medium" w:cs="Franklin Gothic Medium"/>
                <w:color w:val="7C8A5D"/>
                <w:sz w:val="22"/>
                <w:szCs w:val="22"/>
                <w:highlight w:val="yellow"/>
              </w:rPr>
            </w:pPr>
            <w:r w:rsidRPr="00912E5D">
              <w:rPr>
                <w:rFonts w:ascii="Franklin Gothic Medium" w:hAnsi="Franklin Gothic Medium" w:cs="Franklin Gothic Medium"/>
                <w:color w:val="000000"/>
                <w:sz w:val="22"/>
                <w:szCs w:val="22"/>
                <w:highlight w:val="yellow"/>
              </w:rPr>
              <w:t xml:space="preserve">Although assessment above the minimum threshold 3 has </w:t>
            </w:r>
            <w:r w:rsidRPr="00912E5D">
              <w:rPr>
                <w:rFonts w:ascii="Franklin Gothic Medium" w:hAnsi="Franklin Gothic Medium" w:cs="Franklin Gothic Medium"/>
                <w:color w:val="000000"/>
                <w:sz w:val="22"/>
                <w:szCs w:val="22"/>
                <w:highlight w:val="yellow"/>
              </w:rPr>
              <w:lastRenderedPageBreak/>
              <w:t>been achieved, it is not suitable to use financial instruments due to failure to overcome a binary exclusive criterion (positive values in attribute p2 profitability).</w:t>
            </w:r>
          </w:p>
          <w:p w:rsidR="00065632" w:rsidRPr="00912E5D" w:rsidRDefault="00065632" w:rsidP="00912E5D">
            <w:pPr>
              <w:autoSpaceDE w:val="0"/>
              <w:autoSpaceDN w:val="0"/>
              <w:adjustRightInd w:val="0"/>
              <w:spacing w:line="252" w:lineRule="exact"/>
              <w:rPr>
                <w:rFonts w:ascii="Franklin Gothic Medium" w:hAnsi="Franklin Gothic Medium" w:cs="Franklin Gothic Medium"/>
                <w:color w:val="000000"/>
                <w:sz w:val="22"/>
                <w:szCs w:val="22"/>
                <w:highlight w:val="yellow"/>
              </w:rPr>
            </w:pPr>
            <w:r w:rsidRPr="00912E5D">
              <w:rPr>
                <w:rFonts w:ascii="Franklin Gothic Medium" w:hAnsi="Franklin Gothic Medium" w:cs="Franklin Gothic Medium"/>
                <w:color w:val="000000"/>
                <w:sz w:val="22"/>
                <w:szCs w:val="22"/>
                <w:highlight w:val="yellow"/>
              </w:rPr>
              <w:t>The primary interest of the implementation is not profit, it shows indirect (economic) benefits for the region, which, however, cannot serve for the repayment of the original amount of investment.</w:t>
            </w:r>
          </w:p>
        </w:tc>
        <w:tc>
          <w:tcPr>
            <w:tcW w:w="413" w:type="pct"/>
            <w:tcBorders>
              <w:top w:val="nil"/>
              <w:left w:val="single" w:sz="6" w:space="0" w:color="auto"/>
              <w:bottom w:val="single" w:sz="6" w:space="0" w:color="auto"/>
              <w:right w:val="single" w:sz="6" w:space="0" w:color="auto"/>
            </w:tcBorders>
          </w:tcPr>
          <w:p w:rsidR="00065632" w:rsidRPr="00912E5D" w:rsidRDefault="00065632" w:rsidP="00912E5D">
            <w:pPr>
              <w:autoSpaceDE w:val="0"/>
              <w:autoSpaceDN w:val="0"/>
              <w:adjustRightInd w:val="0"/>
              <w:ind w:left="720"/>
              <w:rPr>
                <w:rFonts w:ascii="Franklin Gothic Medium" w:hAnsi="Franklin Gothic Medium" w:cs="Franklin Gothic Medium"/>
                <w:color w:val="5A643F"/>
                <w:sz w:val="22"/>
                <w:szCs w:val="22"/>
                <w:highlight w:val="yellow"/>
              </w:rPr>
            </w:pPr>
            <w:r w:rsidRPr="00912E5D">
              <w:rPr>
                <w:rFonts w:ascii="Franklin Gothic Medium" w:hAnsi="Franklin Gothic Medium" w:cs="Franklin Gothic Medium"/>
                <w:color w:val="5A643F"/>
                <w:sz w:val="22"/>
                <w:szCs w:val="22"/>
                <w:highlight w:val="yellow"/>
              </w:rPr>
              <w:lastRenderedPageBreak/>
              <w:t>N/A</w:t>
            </w:r>
          </w:p>
        </w:tc>
      </w:tr>
      <w:tr w:rsidR="00065632" w:rsidRPr="00912E5D" w:rsidTr="00560258">
        <w:tc>
          <w:tcPr>
            <w:tcW w:w="218" w:type="pct"/>
            <w:tcBorders>
              <w:top w:val="single" w:sz="6" w:space="0" w:color="auto"/>
              <w:left w:val="single" w:sz="6" w:space="0" w:color="auto"/>
              <w:bottom w:val="single" w:sz="6" w:space="0" w:color="auto"/>
              <w:right w:val="single" w:sz="6" w:space="0" w:color="auto"/>
            </w:tcBorders>
          </w:tcPr>
          <w:p w:rsidR="00065632" w:rsidRPr="00912E5D" w:rsidRDefault="00065632" w:rsidP="00912E5D">
            <w:pPr>
              <w:autoSpaceDE w:val="0"/>
              <w:autoSpaceDN w:val="0"/>
              <w:adjustRightInd w:val="0"/>
              <w:rPr>
                <w:rFonts w:ascii="Franklin Gothic Medium" w:hAnsi="Franklin Gothic Medium" w:cs="Franklin Gothic Medium"/>
                <w:color w:val="000000"/>
                <w:sz w:val="22"/>
                <w:szCs w:val="22"/>
                <w:highlight w:val="yellow"/>
              </w:rPr>
            </w:pPr>
            <w:proofErr w:type="spellStart"/>
            <w:r w:rsidRPr="00912E5D">
              <w:rPr>
                <w:rFonts w:ascii="Franklin Gothic Medium" w:hAnsi="Franklin Gothic Medium" w:cs="Franklin Gothic Medium"/>
                <w:color w:val="000000"/>
                <w:sz w:val="22"/>
                <w:szCs w:val="22"/>
                <w:highlight w:val="yellow"/>
              </w:rPr>
              <w:lastRenderedPageBreak/>
              <w:t>i</w:t>
            </w:r>
            <w:proofErr w:type="spellEnd"/>
          </w:p>
          <w:p w:rsidR="00065632" w:rsidRPr="00912E5D" w:rsidRDefault="00065632" w:rsidP="00912E5D">
            <w:pPr>
              <w:autoSpaceDE w:val="0"/>
              <w:autoSpaceDN w:val="0"/>
              <w:adjustRightInd w:val="0"/>
              <w:rPr>
                <w:rFonts w:ascii="Franklin Gothic Medium" w:hAnsi="Franklin Gothic Medium" w:cs="Franklin Gothic Medium"/>
                <w:color w:val="000000"/>
                <w:sz w:val="22"/>
                <w:szCs w:val="22"/>
                <w:highlight w:val="yellow"/>
              </w:rPr>
            </w:pPr>
            <w:r w:rsidRPr="00912E5D">
              <w:rPr>
                <w:rFonts w:ascii="Franklin Gothic Medium" w:hAnsi="Franklin Gothic Medium" w:cs="Franklin Gothic Medium"/>
                <w:color w:val="000000"/>
                <w:sz w:val="22"/>
                <w:szCs w:val="22"/>
                <w:highlight w:val="yellow"/>
              </w:rPr>
              <w:t>SO 1.3.1</w:t>
            </w:r>
          </w:p>
        </w:tc>
        <w:tc>
          <w:tcPr>
            <w:tcW w:w="2216" w:type="pct"/>
            <w:tcBorders>
              <w:top w:val="single" w:sz="6" w:space="0" w:color="auto"/>
              <w:left w:val="single" w:sz="6" w:space="0" w:color="auto"/>
              <w:bottom w:val="single" w:sz="6" w:space="0" w:color="auto"/>
              <w:right w:val="single" w:sz="6" w:space="0" w:color="auto"/>
            </w:tcBorders>
          </w:tcPr>
          <w:p w:rsidR="00065632" w:rsidRPr="00912E5D" w:rsidRDefault="00065632" w:rsidP="00912E5D">
            <w:pPr>
              <w:autoSpaceDE w:val="0"/>
              <w:autoSpaceDN w:val="0"/>
              <w:adjustRightInd w:val="0"/>
              <w:spacing w:line="252" w:lineRule="exact"/>
              <w:ind w:left="18" w:hanging="18"/>
              <w:rPr>
                <w:rFonts w:ascii="Franklin Gothic Medium" w:hAnsi="Franklin Gothic Medium" w:cs="Franklin Gothic Medium"/>
                <w:color w:val="000000"/>
                <w:sz w:val="22"/>
                <w:szCs w:val="22"/>
                <w:highlight w:val="yellow"/>
              </w:rPr>
            </w:pPr>
            <w:r w:rsidRPr="00912E5D">
              <w:rPr>
                <w:rFonts w:ascii="Franklin Gothic Medium" w:hAnsi="Franklin Gothic Medium" w:cs="Franklin Gothic Medium"/>
                <w:color w:val="000000"/>
                <w:sz w:val="22"/>
                <w:szCs w:val="22"/>
                <w:highlight w:val="yellow"/>
              </w:rPr>
              <w:t xml:space="preserve">To ensure adequate resilience, putting an emphasis on adaptation to climate change and new risks. To enhance resilience of buildings covered by IRS units, in order to provide protection against adverse impacts of emergencies and to enable basic IRS units to operate in emergency situations (e.g. measures to ensure energy independence). Creation of new deployment sites of basic IRS units to ensure their adequate preparedness, e.g. to ensure acceptable response time for efficient deployment of basic </w:t>
            </w:r>
            <w:r w:rsidRPr="00912E5D">
              <w:rPr>
                <w:rFonts w:ascii="Franklin Gothic Medium" w:hAnsi="Franklin Gothic Medium" w:cs="Franklin Gothic Medium"/>
                <w:color w:val="000000"/>
                <w:sz w:val="22"/>
                <w:szCs w:val="22"/>
                <w:highlight w:val="yellow"/>
              </w:rPr>
              <w:lastRenderedPageBreak/>
              <w:t>IRS units due to long distances from the place of intervention.</w:t>
            </w:r>
          </w:p>
        </w:tc>
        <w:tc>
          <w:tcPr>
            <w:tcW w:w="442" w:type="pct"/>
            <w:gridSpan w:val="2"/>
            <w:tcBorders>
              <w:top w:val="single" w:sz="6" w:space="0" w:color="auto"/>
              <w:left w:val="single" w:sz="6" w:space="0" w:color="auto"/>
              <w:bottom w:val="single" w:sz="6" w:space="0" w:color="auto"/>
              <w:right w:val="single" w:sz="6" w:space="0" w:color="auto"/>
            </w:tcBorders>
          </w:tcPr>
          <w:p w:rsidR="00065632" w:rsidRPr="00912E5D" w:rsidRDefault="00065632" w:rsidP="00912E5D">
            <w:pPr>
              <w:autoSpaceDE w:val="0"/>
              <w:autoSpaceDN w:val="0"/>
              <w:adjustRightInd w:val="0"/>
              <w:ind w:left="756"/>
              <w:rPr>
                <w:rFonts w:ascii="Franklin Gothic Medium" w:hAnsi="Franklin Gothic Medium" w:cs="Franklin Gothic Medium"/>
                <w:color w:val="000000"/>
                <w:sz w:val="22"/>
                <w:szCs w:val="22"/>
                <w:highlight w:val="yellow"/>
              </w:rPr>
            </w:pPr>
            <w:r w:rsidRPr="00912E5D">
              <w:rPr>
                <w:rFonts w:ascii="Franklin Gothic Medium" w:hAnsi="Franklin Gothic Medium" w:cs="Franklin Gothic Medium"/>
                <w:color w:val="000000"/>
                <w:sz w:val="22"/>
                <w:szCs w:val="22"/>
                <w:highlight w:val="yellow"/>
              </w:rPr>
              <w:lastRenderedPageBreak/>
              <w:t>2.82</w:t>
            </w:r>
          </w:p>
        </w:tc>
        <w:tc>
          <w:tcPr>
            <w:tcW w:w="442" w:type="pct"/>
            <w:tcBorders>
              <w:top w:val="single" w:sz="6" w:space="0" w:color="auto"/>
              <w:left w:val="single" w:sz="6" w:space="0" w:color="auto"/>
              <w:bottom w:val="single" w:sz="6" w:space="0" w:color="auto"/>
              <w:right w:val="single" w:sz="6" w:space="0" w:color="auto"/>
            </w:tcBorders>
          </w:tcPr>
          <w:p w:rsidR="00065632" w:rsidRPr="00912E5D" w:rsidRDefault="00065632" w:rsidP="00912E5D">
            <w:pPr>
              <w:autoSpaceDE w:val="0"/>
              <w:autoSpaceDN w:val="0"/>
              <w:adjustRightInd w:val="0"/>
              <w:rPr>
                <w:rFonts w:ascii="Franklin Gothic Medium" w:hAnsi="Franklin Gothic Medium" w:cs="Franklin Gothic Medium"/>
                <w:sz w:val="22"/>
                <w:szCs w:val="22"/>
                <w:highlight w:val="yellow"/>
              </w:rPr>
            </w:pPr>
          </w:p>
        </w:tc>
        <w:tc>
          <w:tcPr>
            <w:tcW w:w="439" w:type="pct"/>
            <w:tcBorders>
              <w:top w:val="single" w:sz="6" w:space="0" w:color="auto"/>
              <w:left w:val="single" w:sz="6" w:space="0" w:color="auto"/>
              <w:bottom w:val="single" w:sz="6" w:space="0" w:color="auto"/>
              <w:right w:val="single" w:sz="6" w:space="0" w:color="auto"/>
            </w:tcBorders>
          </w:tcPr>
          <w:p w:rsidR="00065632" w:rsidRPr="00912E5D" w:rsidRDefault="00065632" w:rsidP="00912E5D">
            <w:pPr>
              <w:autoSpaceDE w:val="0"/>
              <w:autoSpaceDN w:val="0"/>
              <w:adjustRightInd w:val="0"/>
              <w:rPr>
                <w:rFonts w:ascii="Franklin Gothic Medium" w:hAnsi="Franklin Gothic Medium" w:cs="Franklin Gothic Medium"/>
                <w:sz w:val="22"/>
                <w:szCs w:val="22"/>
                <w:highlight w:val="yellow"/>
              </w:rPr>
            </w:pPr>
          </w:p>
        </w:tc>
        <w:tc>
          <w:tcPr>
            <w:tcW w:w="830" w:type="pct"/>
            <w:tcBorders>
              <w:top w:val="single" w:sz="6" w:space="0" w:color="auto"/>
              <w:left w:val="single" w:sz="6" w:space="0" w:color="auto"/>
              <w:bottom w:val="nil"/>
              <w:right w:val="single" w:sz="6" w:space="0" w:color="auto"/>
            </w:tcBorders>
          </w:tcPr>
          <w:p w:rsidR="00065632" w:rsidRPr="00912E5D" w:rsidRDefault="00065632" w:rsidP="00912E5D">
            <w:pPr>
              <w:autoSpaceDE w:val="0"/>
              <w:autoSpaceDN w:val="0"/>
              <w:adjustRightInd w:val="0"/>
              <w:spacing w:line="252" w:lineRule="exact"/>
              <w:rPr>
                <w:rFonts w:ascii="Franklin Gothic Medium" w:hAnsi="Franklin Gothic Medium" w:cs="Franklin Gothic Medium"/>
                <w:color w:val="000000"/>
                <w:sz w:val="22"/>
                <w:szCs w:val="22"/>
                <w:highlight w:val="yellow"/>
              </w:rPr>
            </w:pPr>
            <w:r w:rsidRPr="00912E5D">
              <w:rPr>
                <w:rFonts w:ascii="Franklin Gothic Medium" w:hAnsi="Franklin Gothic Medium" w:cs="Franklin Gothic Medium"/>
                <w:color w:val="000000"/>
                <w:sz w:val="22"/>
                <w:szCs w:val="22"/>
                <w:highlight w:val="yellow"/>
              </w:rPr>
              <w:t>The primary interest of the implementation is not profit, it shows indirect (economic) benefits</w:t>
            </w:r>
          </w:p>
          <w:p w:rsidR="00065632" w:rsidRPr="00912E5D" w:rsidRDefault="00065632" w:rsidP="00912E5D">
            <w:pPr>
              <w:autoSpaceDE w:val="0"/>
              <w:autoSpaceDN w:val="0"/>
              <w:adjustRightInd w:val="0"/>
              <w:spacing w:line="252" w:lineRule="exact"/>
              <w:rPr>
                <w:rFonts w:ascii="Franklin Gothic Medium" w:hAnsi="Franklin Gothic Medium" w:cs="Franklin Gothic Medium"/>
                <w:color w:val="000000"/>
                <w:sz w:val="22"/>
                <w:szCs w:val="22"/>
                <w:highlight w:val="yellow"/>
              </w:rPr>
            </w:pPr>
            <w:r w:rsidRPr="00912E5D">
              <w:rPr>
                <w:rFonts w:ascii="Franklin Gothic Medium" w:hAnsi="Franklin Gothic Medium" w:cs="Franklin Gothic Medium"/>
                <w:color w:val="000000"/>
                <w:sz w:val="22"/>
                <w:szCs w:val="22"/>
                <w:highlight w:val="yellow"/>
              </w:rPr>
              <w:t xml:space="preserve">for the region, which, however, </w:t>
            </w:r>
            <w:r w:rsidRPr="00912E5D">
              <w:rPr>
                <w:rFonts w:ascii="Franklin Gothic Medium" w:hAnsi="Franklin Gothic Medium" w:cs="Franklin Gothic Medium"/>
                <w:color w:val="000000"/>
                <w:sz w:val="22"/>
                <w:szCs w:val="22"/>
                <w:highlight w:val="yellow"/>
              </w:rPr>
              <w:lastRenderedPageBreak/>
              <w:t>cannot serve</w:t>
            </w:r>
          </w:p>
          <w:p w:rsidR="00065632" w:rsidRPr="00912E5D" w:rsidRDefault="00065632" w:rsidP="00912E5D">
            <w:pPr>
              <w:tabs>
                <w:tab w:val="left" w:leader="underscore" w:pos="288"/>
                <w:tab w:val="left" w:leader="underscore" w:pos="1404"/>
                <w:tab w:val="left" w:leader="underscore" w:pos="2772"/>
                <w:tab w:val="left" w:leader="underscore" w:pos="3114"/>
                <w:tab w:val="left" w:leader="underscore" w:pos="3672"/>
              </w:tabs>
              <w:autoSpaceDE w:val="0"/>
              <w:autoSpaceDN w:val="0"/>
              <w:adjustRightInd w:val="0"/>
              <w:rPr>
                <w:rFonts w:ascii="Franklin Gothic Medium" w:hAnsi="Franklin Gothic Medium" w:cs="Franklin Gothic Medium"/>
                <w:b/>
                <w:bCs/>
                <w:color w:val="7C8A5D"/>
                <w:sz w:val="22"/>
                <w:szCs w:val="22"/>
                <w:highlight w:val="yellow"/>
              </w:rPr>
            </w:pPr>
            <w:r w:rsidRPr="00912E5D">
              <w:rPr>
                <w:rFonts w:ascii="Franklin Gothic Medium" w:hAnsi="Franklin Gothic Medium" w:cs="Franklin Gothic Medium"/>
                <w:b/>
                <w:bCs/>
                <w:color w:val="000000"/>
                <w:sz w:val="22"/>
                <w:szCs w:val="22"/>
                <w:highlight w:val="yellow"/>
              </w:rPr>
              <w:tab/>
            </w:r>
            <w:r w:rsidRPr="00912E5D">
              <w:rPr>
                <w:rFonts w:ascii="Franklin Gothic Medium" w:hAnsi="Franklin Gothic Medium" w:cs="Franklin Gothic Medium"/>
                <w:b/>
                <w:bCs/>
                <w:color w:val="000000"/>
                <w:sz w:val="22"/>
                <w:szCs w:val="22"/>
                <w:highlight w:val="yellow"/>
              </w:rPr>
              <w:tab/>
            </w:r>
            <w:r w:rsidRPr="00912E5D">
              <w:rPr>
                <w:rFonts w:ascii="Franklin Gothic Medium" w:hAnsi="Franklin Gothic Medium" w:cs="Franklin Gothic Medium"/>
                <w:b/>
                <w:bCs/>
                <w:color w:val="7C8A5D"/>
                <w:sz w:val="22"/>
                <w:szCs w:val="22"/>
                <w:highlight w:val="yellow"/>
              </w:rPr>
              <w:t xml:space="preserve"> </w:t>
            </w:r>
            <w:r w:rsidRPr="00912E5D">
              <w:rPr>
                <w:rFonts w:ascii="Franklin Gothic Medium" w:hAnsi="Franklin Gothic Medium" w:cs="Franklin Gothic Medium"/>
                <w:b/>
                <w:bCs/>
                <w:color w:val="000000"/>
                <w:sz w:val="22"/>
                <w:szCs w:val="22"/>
                <w:highlight w:val="yellow"/>
              </w:rPr>
              <w:tab/>
              <w:t xml:space="preserve">      </w:t>
            </w:r>
            <w:r w:rsidRPr="00912E5D">
              <w:rPr>
                <w:rFonts w:ascii="Franklin Gothic Medium" w:hAnsi="Franklin Gothic Medium" w:cs="Franklin Gothic Medium"/>
                <w:b/>
                <w:bCs/>
                <w:color w:val="000000"/>
                <w:sz w:val="10"/>
                <w:szCs w:val="10"/>
                <w:highlight w:val="yellow"/>
              </w:rPr>
              <w:t xml:space="preserve"> </w:t>
            </w:r>
            <w:r w:rsidRPr="00912E5D">
              <w:rPr>
                <w:rFonts w:ascii="Franklin Gothic Medium" w:hAnsi="Franklin Gothic Medium" w:cs="Franklin Gothic Medium"/>
                <w:b/>
                <w:bCs/>
                <w:color w:val="7C8A5D"/>
                <w:sz w:val="22"/>
                <w:szCs w:val="22"/>
                <w:highlight w:val="yellow"/>
              </w:rPr>
              <w:t>-</w:t>
            </w:r>
          </w:p>
        </w:tc>
        <w:tc>
          <w:tcPr>
            <w:tcW w:w="413" w:type="pct"/>
            <w:tcBorders>
              <w:top w:val="single" w:sz="6" w:space="0" w:color="auto"/>
              <w:left w:val="single" w:sz="6" w:space="0" w:color="auto"/>
              <w:bottom w:val="nil"/>
              <w:right w:val="single" w:sz="6" w:space="0" w:color="auto"/>
            </w:tcBorders>
          </w:tcPr>
          <w:p w:rsidR="00065632" w:rsidRPr="00912E5D" w:rsidRDefault="00065632" w:rsidP="00912E5D">
            <w:pPr>
              <w:autoSpaceDE w:val="0"/>
              <w:autoSpaceDN w:val="0"/>
              <w:adjustRightInd w:val="0"/>
              <w:ind w:left="720"/>
              <w:rPr>
                <w:rFonts w:ascii="Franklin Gothic Medium" w:hAnsi="Franklin Gothic Medium" w:cs="Franklin Gothic Medium"/>
                <w:color w:val="000000"/>
                <w:sz w:val="22"/>
                <w:szCs w:val="22"/>
                <w:highlight w:val="yellow"/>
              </w:rPr>
            </w:pPr>
            <w:proofErr w:type="spellStart"/>
            <w:r w:rsidRPr="00912E5D">
              <w:rPr>
                <w:rFonts w:ascii="Franklin Gothic Medium" w:hAnsi="Franklin Gothic Medium" w:cs="Franklin Gothic Medium"/>
                <w:color w:val="000000"/>
                <w:sz w:val="22"/>
                <w:szCs w:val="22"/>
                <w:highlight w:val="yellow"/>
              </w:rPr>
              <w:lastRenderedPageBreak/>
              <w:t>i</w:t>
            </w:r>
            <w:proofErr w:type="spellEnd"/>
          </w:p>
          <w:p w:rsidR="00065632" w:rsidRPr="00912E5D" w:rsidRDefault="00065632" w:rsidP="00912E5D">
            <w:pPr>
              <w:autoSpaceDE w:val="0"/>
              <w:autoSpaceDN w:val="0"/>
              <w:adjustRightInd w:val="0"/>
              <w:ind w:left="720"/>
              <w:rPr>
                <w:rFonts w:ascii="Franklin Gothic Medium" w:hAnsi="Franklin Gothic Medium" w:cs="Franklin Gothic Medium"/>
                <w:color w:val="5A643F"/>
                <w:sz w:val="22"/>
                <w:szCs w:val="22"/>
                <w:highlight w:val="yellow"/>
              </w:rPr>
            </w:pPr>
            <w:r w:rsidRPr="00912E5D">
              <w:rPr>
                <w:rFonts w:ascii="Franklin Gothic Medium" w:hAnsi="Franklin Gothic Medium" w:cs="Franklin Gothic Medium"/>
                <w:color w:val="5A643F"/>
                <w:sz w:val="22"/>
                <w:szCs w:val="22"/>
                <w:highlight w:val="yellow"/>
              </w:rPr>
              <w:t>N/A</w:t>
            </w:r>
          </w:p>
        </w:tc>
      </w:tr>
      <w:tr w:rsidR="00065632" w:rsidRPr="00912E5D" w:rsidTr="00560258">
        <w:tc>
          <w:tcPr>
            <w:tcW w:w="218" w:type="pct"/>
            <w:tcBorders>
              <w:top w:val="single" w:sz="6" w:space="0" w:color="auto"/>
              <w:left w:val="single" w:sz="6" w:space="0" w:color="auto"/>
              <w:bottom w:val="single" w:sz="6" w:space="0" w:color="auto"/>
              <w:right w:val="single" w:sz="6" w:space="0" w:color="auto"/>
            </w:tcBorders>
          </w:tcPr>
          <w:p w:rsidR="00065632" w:rsidRPr="00912E5D" w:rsidRDefault="00065632" w:rsidP="00912E5D">
            <w:pPr>
              <w:autoSpaceDE w:val="0"/>
              <w:autoSpaceDN w:val="0"/>
              <w:adjustRightInd w:val="0"/>
              <w:rPr>
                <w:rFonts w:ascii="Franklin Gothic Medium" w:hAnsi="Franklin Gothic Medium" w:cs="Franklin Gothic Medium"/>
                <w:color w:val="000000"/>
                <w:sz w:val="22"/>
                <w:szCs w:val="22"/>
                <w:highlight w:val="yellow"/>
              </w:rPr>
            </w:pPr>
            <w:r w:rsidRPr="00912E5D">
              <w:rPr>
                <w:rFonts w:ascii="Franklin Gothic Medium" w:hAnsi="Franklin Gothic Medium" w:cs="Franklin Gothic Medium"/>
                <w:color w:val="000000"/>
                <w:sz w:val="22"/>
                <w:szCs w:val="22"/>
                <w:highlight w:val="yellow"/>
              </w:rPr>
              <w:lastRenderedPageBreak/>
              <w:t>SO 1.3.2</w:t>
            </w:r>
          </w:p>
        </w:tc>
        <w:tc>
          <w:tcPr>
            <w:tcW w:w="2216" w:type="pct"/>
            <w:tcBorders>
              <w:top w:val="single" w:sz="6" w:space="0" w:color="auto"/>
              <w:left w:val="single" w:sz="6" w:space="0" w:color="auto"/>
              <w:bottom w:val="single" w:sz="6" w:space="0" w:color="auto"/>
              <w:right w:val="single" w:sz="6" w:space="0" w:color="auto"/>
            </w:tcBorders>
          </w:tcPr>
          <w:p w:rsidR="00065632" w:rsidRPr="00912E5D" w:rsidRDefault="00065632" w:rsidP="00912E5D">
            <w:pPr>
              <w:autoSpaceDE w:val="0"/>
              <w:autoSpaceDN w:val="0"/>
              <w:adjustRightInd w:val="0"/>
              <w:spacing w:line="252" w:lineRule="exact"/>
              <w:ind w:right="270"/>
              <w:rPr>
                <w:rFonts w:ascii="Franklin Gothic Medium" w:hAnsi="Franklin Gothic Medium" w:cs="Franklin Gothic Medium"/>
                <w:color w:val="000000"/>
                <w:sz w:val="22"/>
                <w:szCs w:val="22"/>
                <w:highlight w:val="yellow"/>
              </w:rPr>
            </w:pPr>
            <w:r w:rsidRPr="00912E5D">
              <w:rPr>
                <w:rFonts w:ascii="Franklin Gothic Medium" w:hAnsi="Franklin Gothic Medium" w:cs="Franklin Gothic Medium"/>
                <w:color w:val="000000"/>
                <w:sz w:val="22"/>
                <w:szCs w:val="22"/>
                <w:highlight w:val="yellow"/>
              </w:rPr>
              <w:t>To enhance basic IRS units' equipment by technology and equipment items in order to ensure preparedness of IRS in areas exposed to risks, with an emphasis put on adaptation to climate change and emerging risks.</w:t>
            </w:r>
          </w:p>
        </w:tc>
        <w:tc>
          <w:tcPr>
            <w:tcW w:w="442" w:type="pct"/>
            <w:gridSpan w:val="2"/>
            <w:tcBorders>
              <w:top w:val="single" w:sz="6" w:space="0" w:color="auto"/>
              <w:left w:val="single" w:sz="6" w:space="0" w:color="auto"/>
              <w:bottom w:val="single" w:sz="6" w:space="0" w:color="auto"/>
              <w:right w:val="single" w:sz="6" w:space="0" w:color="auto"/>
            </w:tcBorders>
          </w:tcPr>
          <w:p w:rsidR="00065632" w:rsidRPr="00912E5D" w:rsidRDefault="00065632" w:rsidP="00912E5D">
            <w:pPr>
              <w:autoSpaceDE w:val="0"/>
              <w:autoSpaceDN w:val="0"/>
              <w:adjustRightInd w:val="0"/>
              <w:ind w:left="774"/>
              <w:rPr>
                <w:rFonts w:ascii="Franklin Gothic Medium" w:hAnsi="Franklin Gothic Medium" w:cs="Franklin Gothic Medium"/>
                <w:color w:val="000000"/>
                <w:sz w:val="22"/>
                <w:szCs w:val="22"/>
                <w:highlight w:val="yellow"/>
              </w:rPr>
            </w:pPr>
            <w:r w:rsidRPr="00912E5D">
              <w:rPr>
                <w:rFonts w:ascii="Franklin Gothic Medium" w:hAnsi="Franklin Gothic Medium" w:cs="Franklin Gothic Medium"/>
                <w:color w:val="000000"/>
                <w:sz w:val="22"/>
                <w:szCs w:val="22"/>
                <w:highlight w:val="yellow"/>
              </w:rPr>
              <w:t>2.82</w:t>
            </w:r>
          </w:p>
        </w:tc>
        <w:tc>
          <w:tcPr>
            <w:tcW w:w="442" w:type="pct"/>
            <w:tcBorders>
              <w:top w:val="single" w:sz="6" w:space="0" w:color="auto"/>
              <w:left w:val="single" w:sz="6" w:space="0" w:color="auto"/>
              <w:bottom w:val="single" w:sz="6" w:space="0" w:color="auto"/>
              <w:right w:val="single" w:sz="6" w:space="0" w:color="auto"/>
            </w:tcBorders>
          </w:tcPr>
          <w:p w:rsidR="00065632" w:rsidRPr="00912E5D" w:rsidRDefault="00065632" w:rsidP="00912E5D">
            <w:pPr>
              <w:autoSpaceDE w:val="0"/>
              <w:autoSpaceDN w:val="0"/>
              <w:adjustRightInd w:val="0"/>
              <w:rPr>
                <w:rFonts w:ascii="Franklin Gothic Medium" w:hAnsi="Franklin Gothic Medium" w:cs="Franklin Gothic Medium"/>
                <w:sz w:val="22"/>
                <w:szCs w:val="22"/>
                <w:highlight w:val="yellow"/>
              </w:rPr>
            </w:pPr>
          </w:p>
        </w:tc>
        <w:tc>
          <w:tcPr>
            <w:tcW w:w="439" w:type="pct"/>
            <w:tcBorders>
              <w:top w:val="single" w:sz="6" w:space="0" w:color="auto"/>
              <w:left w:val="single" w:sz="6" w:space="0" w:color="auto"/>
              <w:bottom w:val="single" w:sz="6" w:space="0" w:color="auto"/>
              <w:right w:val="single" w:sz="6" w:space="0" w:color="auto"/>
            </w:tcBorders>
          </w:tcPr>
          <w:p w:rsidR="00065632" w:rsidRPr="00912E5D" w:rsidRDefault="00065632" w:rsidP="00912E5D">
            <w:pPr>
              <w:autoSpaceDE w:val="0"/>
              <w:autoSpaceDN w:val="0"/>
              <w:adjustRightInd w:val="0"/>
              <w:rPr>
                <w:rFonts w:ascii="Franklin Gothic Medium" w:hAnsi="Franklin Gothic Medium" w:cs="Franklin Gothic Medium"/>
                <w:sz w:val="22"/>
                <w:szCs w:val="22"/>
                <w:highlight w:val="yellow"/>
              </w:rPr>
            </w:pPr>
          </w:p>
        </w:tc>
        <w:tc>
          <w:tcPr>
            <w:tcW w:w="830" w:type="pct"/>
            <w:tcBorders>
              <w:top w:val="nil"/>
              <w:left w:val="single" w:sz="6" w:space="0" w:color="auto"/>
              <w:bottom w:val="nil"/>
              <w:right w:val="single" w:sz="6" w:space="0" w:color="auto"/>
            </w:tcBorders>
          </w:tcPr>
          <w:p w:rsidR="00065632" w:rsidRPr="00912E5D" w:rsidRDefault="00065632" w:rsidP="00912E5D">
            <w:pPr>
              <w:autoSpaceDE w:val="0"/>
              <w:autoSpaceDN w:val="0"/>
              <w:adjustRightInd w:val="0"/>
              <w:spacing w:line="270" w:lineRule="exact"/>
              <w:ind w:right="198"/>
              <w:rPr>
                <w:rFonts w:ascii="Franklin Gothic Medium" w:hAnsi="Franklin Gothic Medium" w:cs="Franklin Gothic Medium"/>
                <w:color w:val="000000"/>
                <w:sz w:val="22"/>
                <w:szCs w:val="22"/>
                <w:highlight w:val="yellow"/>
              </w:rPr>
            </w:pPr>
            <w:proofErr w:type="gramStart"/>
            <w:r w:rsidRPr="00912E5D">
              <w:rPr>
                <w:rFonts w:ascii="Franklin Gothic Medium" w:hAnsi="Franklin Gothic Medium" w:cs="Franklin Gothic Medium"/>
                <w:color w:val="000000"/>
                <w:sz w:val="22"/>
                <w:szCs w:val="22"/>
                <w:highlight w:val="yellow"/>
              </w:rPr>
              <w:t>for</w:t>
            </w:r>
            <w:proofErr w:type="gramEnd"/>
            <w:r w:rsidRPr="00912E5D">
              <w:rPr>
                <w:rFonts w:ascii="Franklin Gothic Medium" w:hAnsi="Franklin Gothic Medium" w:cs="Franklin Gothic Medium"/>
                <w:color w:val="000000"/>
                <w:sz w:val="22"/>
                <w:szCs w:val="22"/>
                <w:highlight w:val="yellow"/>
              </w:rPr>
              <w:t xml:space="preserve"> the repayment of the original amount of investment.</w:t>
            </w:r>
          </w:p>
        </w:tc>
        <w:tc>
          <w:tcPr>
            <w:tcW w:w="413" w:type="pct"/>
            <w:tcBorders>
              <w:top w:val="nil"/>
              <w:left w:val="single" w:sz="6" w:space="0" w:color="auto"/>
              <w:bottom w:val="nil"/>
              <w:right w:val="single" w:sz="6" w:space="0" w:color="auto"/>
            </w:tcBorders>
          </w:tcPr>
          <w:p w:rsidR="00065632" w:rsidRPr="00912E5D" w:rsidRDefault="00065632" w:rsidP="00912E5D">
            <w:pPr>
              <w:autoSpaceDE w:val="0"/>
              <w:autoSpaceDN w:val="0"/>
              <w:adjustRightInd w:val="0"/>
              <w:rPr>
                <w:rFonts w:ascii="Franklin Gothic Medium" w:hAnsi="Franklin Gothic Medium" w:cs="Franklin Gothic Medium"/>
                <w:sz w:val="22"/>
                <w:szCs w:val="22"/>
                <w:highlight w:val="yellow"/>
              </w:rPr>
            </w:pPr>
          </w:p>
        </w:tc>
      </w:tr>
      <w:tr w:rsidR="00065632" w:rsidRPr="00912E5D" w:rsidTr="00560258">
        <w:tc>
          <w:tcPr>
            <w:tcW w:w="218" w:type="pct"/>
            <w:tcBorders>
              <w:top w:val="single" w:sz="6" w:space="0" w:color="auto"/>
              <w:left w:val="single" w:sz="6" w:space="0" w:color="auto"/>
              <w:bottom w:val="single" w:sz="6" w:space="0" w:color="auto"/>
              <w:right w:val="single" w:sz="6" w:space="0" w:color="auto"/>
            </w:tcBorders>
            <w:vAlign w:val="center"/>
          </w:tcPr>
          <w:p w:rsidR="00065632" w:rsidRPr="00912E5D" w:rsidRDefault="00065632" w:rsidP="00912E5D">
            <w:pPr>
              <w:autoSpaceDE w:val="0"/>
              <w:autoSpaceDN w:val="0"/>
              <w:adjustRightInd w:val="0"/>
              <w:rPr>
                <w:rFonts w:ascii="Franklin Gothic Medium" w:hAnsi="Franklin Gothic Medium" w:cs="Franklin Gothic Medium"/>
                <w:color w:val="000000"/>
                <w:sz w:val="22"/>
                <w:szCs w:val="22"/>
                <w:highlight w:val="yellow"/>
              </w:rPr>
            </w:pPr>
            <w:r w:rsidRPr="00912E5D">
              <w:rPr>
                <w:rFonts w:ascii="Franklin Gothic Medium" w:hAnsi="Franklin Gothic Medium" w:cs="Franklin Gothic Medium"/>
                <w:color w:val="000000"/>
                <w:sz w:val="22"/>
                <w:szCs w:val="22"/>
                <w:highlight w:val="yellow"/>
              </w:rPr>
              <w:t>SO 1.3.3</w:t>
            </w:r>
          </w:p>
        </w:tc>
        <w:tc>
          <w:tcPr>
            <w:tcW w:w="2216" w:type="pct"/>
            <w:tcBorders>
              <w:top w:val="single" w:sz="6" w:space="0" w:color="auto"/>
              <w:left w:val="single" w:sz="6" w:space="0" w:color="auto"/>
              <w:bottom w:val="single" w:sz="6" w:space="0" w:color="auto"/>
              <w:right w:val="single" w:sz="6" w:space="0" w:color="auto"/>
            </w:tcBorders>
            <w:vAlign w:val="center"/>
          </w:tcPr>
          <w:p w:rsidR="00065632" w:rsidRPr="00912E5D" w:rsidRDefault="00065632" w:rsidP="00912E5D">
            <w:pPr>
              <w:autoSpaceDE w:val="0"/>
              <w:autoSpaceDN w:val="0"/>
              <w:adjustRightInd w:val="0"/>
              <w:spacing w:line="252" w:lineRule="exact"/>
              <w:ind w:right="18"/>
              <w:rPr>
                <w:rFonts w:ascii="Franklin Gothic Medium" w:hAnsi="Franklin Gothic Medium" w:cs="Franklin Gothic Medium"/>
                <w:color w:val="000000"/>
                <w:sz w:val="22"/>
                <w:szCs w:val="22"/>
                <w:highlight w:val="yellow"/>
              </w:rPr>
            </w:pPr>
            <w:r w:rsidRPr="00912E5D">
              <w:rPr>
                <w:rFonts w:ascii="Franklin Gothic Medium" w:hAnsi="Franklin Gothic Medium" w:cs="Franklin Gothic Medium"/>
                <w:color w:val="000000"/>
                <w:sz w:val="22"/>
                <w:szCs w:val="22"/>
                <w:highlight w:val="yellow"/>
              </w:rPr>
              <w:t>To modernize education and training centres for basic IRS units (e.g. simulators, trainers, polygons and related equipment) focused on developing specific skills and cooperation of basic IRS units upon management of emergencies.</w:t>
            </w:r>
          </w:p>
        </w:tc>
        <w:tc>
          <w:tcPr>
            <w:tcW w:w="442" w:type="pct"/>
            <w:gridSpan w:val="2"/>
            <w:tcBorders>
              <w:top w:val="single" w:sz="6" w:space="0" w:color="auto"/>
              <w:left w:val="single" w:sz="6" w:space="0" w:color="auto"/>
              <w:bottom w:val="single" w:sz="6" w:space="0" w:color="auto"/>
              <w:right w:val="single" w:sz="6" w:space="0" w:color="auto"/>
            </w:tcBorders>
            <w:vAlign w:val="center"/>
          </w:tcPr>
          <w:p w:rsidR="00065632" w:rsidRPr="00912E5D" w:rsidRDefault="00065632" w:rsidP="00912E5D">
            <w:pPr>
              <w:autoSpaceDE w:val="0"/>
              <w:autoSpaceDN w:val="0"/>
              <w:adjustRightInd w:val="0"/>
              <w:ind w:left="774"/>
              <w:rPr>
                <w:rFonts w:ascii="Franklin Gothic Medium" w:hAnsi="Franklin Gothic Medium" w:cs="Franklin Gothic Medium"/>
                <w:color w:val="000000"/>
                <w:sz w:val="22"/>
                <w:szCs w:val="22"/>
                <w:highlight w:val="yellow"/>
              </w:rPr>
            </w:pPr>
            <w:r w:rsidRPr="00912E5D">
              <w:rPr>
                <w:rFonts w:ascii="Franklin Gothic Medium" w:hAnsi="Franklin Gothic Medium" w:cs="Franklin Gothic Medium"/>
                <w:color w:val="000000"/>
                <w:sz w:val="22"/>
                <w:szCs w:val="22"/>
                <w:highlight w:val="yellow"/>
              </w:rPr>
              <w:t>2.82</w:t>
            </w:r>
          </w:p>
        </w:tc>
        <w:tc>
          <w:tcPr>
            <w:tcW w:w="442" w:type="pct"/>
            <w:tcBorders>
              <w:top w:val="single" w:sz="6" w:space="0" w:color="auto"/>
              <w:left w:val="single" w:sz="6" w:space="0" w:color="auto"/>
              <w:bottom w:val="single" w:sz="6" w:space="0" w:color="auto"/>
              <w:right w:val="single" w:sz="6" w:space="0" w:color="auto"/>
            </w:tcBorders>
          </w:tcPr>
          <w:p w:rsidR="00065632" w:rsidRPr="00912E5D" w:rsidRDefault="00065632" w:rsidP="00912E5D">
            <w:pPr>
              <w:autoSpaceDE w:val="0"/>
              <w:autoSpaceDN w:val="0"/>
              <w:adjustRightInd w:val="0"/>
              <w:rPr>
                <w:rFonts w:ascii="Franklin Gothic Medium" w:hAnsi="Franklin Gothic Medium" w:cs="Franklin Gothic Medium"/>
                <w:sz w:val="22"/>
                <w:szCs w:val="22"/>
                <w:highlight w:val="yellow"/>
              </w:rPr>
            </w:pPr>
          </w:p>
        </w:tc>
        <w:tc>
          <w:tcPr>
            <w:tcW w:w="439" w:type="pct"/>
            <w:tcBorders>
              <w:top w:val="single" w:sz="6" w:space="0" w:color="auto"/>
              <w:left w:val="single" w:sz="6" w:space="0" w:color="auto"/>
              <w:bottom w:val="single" w:sz="6" w:space="0" w:color="auto"/>
              <w:right w:val="single" w:sz="6" w:space="0" w:color="auto"/>
            </w:tcBorders>
          </w:tcPr>
          <w:p w:rsidR="00065632" w:rsidRPr="00912E5D" w:rsidRDefault="00065632" w:rsidP="00912E5D">
            <w:pPr>
              <w:autoSpaceDE w:val="0"/>
              <w:autoSpaceDN w:val="0"/>
              <w:adjustRightInd w:val="0"/>
              <w:rPr>
                <w:rFonts w:ascii="Franklin Gothic Medium" w:hAnsi="Franklin Gothic Medium" w:cs="Franklin Gothic Medium"/>
                <w:sz w:val="22"/>
                <w:szCs w:val="22"/>
                <w:highlight w:val="yellow"/>
              </w:rPr>
            </w:pPr>
          </w:p>
        </w:tc>
        <w:tc>
          <w:tcPr>
            <w:tcW w:w="830" w:type="pct"/>
            <w:tcBorders>
              <w:top w:val="nil"/>
              <w:left w:val="single" w:sz="6" w:space="0" w:color="auto"/>
              <w:bottom w:val="single" w:sz="6" w:space="0" w:color="auto"/>
              <w:right w:val="single" w:sz="6" w:space="0" w:color="auto"/>
            </w:tcBorders>
          </w:tcPr>
          <w:p w:rsidR="00065632" w:rsidRPr="00912E5D" w:rsidRDefault="00065632" w:rsidP="00912E5D">
            <w:pPr>
              <w:autoSpaceDE w:val="0"/>
              <w:autoSpaceDN w:val="0"/>
              <w:adjustRightInd w:val="0"/>
              <w:rPr>
                <w:rFonts w:ascii="Franklin Gothic Medium" w:hAnsi="Franklin Gothic Medium" w:cs="Franklin Gothic Medium"/>
                <w:sz w:val="22"/>
                <w:szCs w:val="22"/>
                <w:highlight w:val="yellow"/>
              </w:rPr>
            </w:pPr>
          </w:p>
        </w:tc>
        <w:tc>
          <w:tcPr>
            <w:tcW w:w="413" w:type="pct"/>
            <w:tcBorders>
              <w:top w:val="nil"/>
              <w:left w:val="single" w:sz="6" w:space="0" w:color="auto"/>
              <w:bottom w:val="single" w:sz="6" w:space="0" w:color="auto"/>
              <w:right w:val="single" w:sz="6" w:space="0" w:color="auto"/>
            </w:tcBorders>
          </w:tcPr>
          <w:p w:rsidR="00065632" w:rsidRPr="00912E5D" w:rsidRDefault="00065632" w:rsidP="00912E5D">
            <w:pPr>
              <w:autoSpaceDE w:val="0"/>
              <w:autoSpaceDN w:val="0"/>
              <w:adjustRightInd w:val="0"/>
              <w:rPr>
                <w:rFonts w:ascii="Franklin Gothic Medium" w:hAnsi="Franklin Gothic Medium" w:cs="Franklin Gothic Medium"/>
                <w:sz w:val="22"/>
                <w:szCs w:val="22"/>
                <w:highlight w:val="yellow"/>
              </w:rPr>
            </w:pPr>
          </w:p>
        </w:tc>
      </w:tr>
      <w:tr w:rsidR="00065632" w:rsidRPr="00912E5D" w:rsidTr="00560258">
        <w:tc>
          <w:tcPr>
            <w:tcW w:w="218" w:type="pct"/>
            <w:tcBorders>
              <w:top w:val="single" w:sz="6" w:space="0" w:color="auto"/>
              <w:left w:val="single" w:sz="6" w:space="0" w:color="auto"/>
              <w:bottom w:val="single" w:sz="6" w:space="0" w:color="auto"/>
              <w:right w:val="single" w:sz="6" w:space="0" w:color="auto"/>
            </w:tcBorders>
            <w:vAlign w:val="center"/>
          </w:tcPr>
          <w:p w:rsidR="00065632" w:rsidRPr="00912E5D" w:rsidRDefault="00065632" w:rsidP="00912E5D">
            <w:pPr>
              <w:autoSpaceDE w:val="0"/>
              <w:autoSpaceDN w:val="0"/>
              <w:adjustRightInd w:val="0"/>
              <w:rPr>
                <w:rFonts w:ascii="Franklin Gothic Medium" w:hAnsi="Franklin Gothic Medium" w:cs="Franklin Gothic Medium"/>
                <w:color w:val="000000"/>
                <w:sz w:val="22"/>
                <w:szCs w:val="22"/>
                <w:highlight w:val="yellow"/>
              </w:rPr>
            </w:pPr>
            <w:r w:rsidRPr="00912E5D">
              <w:rPr>
                <w:rFonts w:ascii="Franklin Gothic Medium" w:hAnsi="Franklin Gothic Medium" w:cs="Franklin Gothic Medium"/>
                <w:color w:val="000000"/>
                <w:sz w:val="22"/>
                <w:szCs w:val="22"/>
                <w:highlight w:val="yellow"/>
              </w:rPr>
              <w:t>SO 1.1.2</w:t>
            </w:r>
          </w:p>
        </w:tc>
        <w:tc>
          <w:tcPr>
            <w:tcW w:w="2216" w:type="pct"/>
            <w:tcBorders>
              <w:top w:val="single" w:sz="6" w:space="0" w:color="auto"/>
              <w:left w:val="single" w:sz="6" w:space="0" w:color="auto"/>
              <w:bottom w:val="single" w:sz="6" w:space="0" w:color="auto"/>
              <w:right w:val="single" w:sz="6" w:space="0" w:color="auto"/>
            </w:tcBorders>
            <w:vAlign w:val="center"/>
          </w:tcPr>
          <w:p w:rsidR="00065632" w:rsidRPr="00912E5D" w:rsidRDefault="00065632" w:rsidP="00912E5D">
            <w:pPr>
              <w:autoSpaceDE w:val="0"/>
              <w:autoSpaceDN w:val="0"/>
              <w:adjustRightInd w:val="0"/>
              <w:spacing w:line="252" w:lineRule="exact"/>
              <w:rPr>
                <w:rFonts w:ascii="Franklin Gothic Medium" w:hAnsi="Franklin Gothic Medium" w:cs="Franklin Gothic Medium"/>
                <w:color w:val="000000"/>
                <w:sz w:val="22"/>
                <w:szCs w:val="22"/>
                <w:highlight w:val="yellow"/>
              </w:rPr>
            </w:pPr>
            <w:r w:rsidRPr="00912E5D">
              <w:rPr>
                <w:rFonts w:ascii="Franklin Gothic Medium" w:hAnsi="Franklin Gothic Medium" w:cs="Franklin Gothic Medium"/>
                <w:color w:val="000000"/>
                <w:sz w:val="22"/>
                <w:szCs w:val="22"/>
                <w:highlight w:val="yellow"/>
              </w:rPr>
              <w:t>To equip or reconstruct existing facilities for the provision of community care and establishment of new (including construction) or reconstruction of the existing facilities (including residential) to achieve deinstitutionalised care and humanisation of residential facilities. Infrastructure for field, outpatient and low-capacity residential forms of social, health and follow-up services for the socially excluded and those at risk of poverty and social exclusion, and infrastructure of community centres will be supported. Also supported will be acquisition of apartments and residential buildings for social housing. Supported will be inclusion of supporting greenery around buildings and on buildings, e.g. green walls and roofs, alleys, playgrounds and parks in projects implemented.</w:t>
            </w:r>
          </w:p>
        </w:tc>
        <w:tc>
          <w:tcPr>
            <w:tcW w:w="442" w:type="pct"/>
            <w:gridSpan w:val="2"/>
            <w:tcBorders>
              <w:top w:val="single" w:sz="6" w:space="0" w:color="auto"/>
              <w:left w:val="single" w:sz="6" w:space="0" w:color="auto"/>
              <w:bottom w:val="single" w:sz="6" w:space="0" w:color="auto"/>
              <w:right w:val="single" w:sz="6" w:space="0" w:color="auto"/>
            </w:tcBorders>
            <w:vAlign w:val="center"/>
          </w:tcPr>
          <w:p w:rsidR="00065632" w:rsidRPr="00912E5D" w:rsidRDefault="00065632" w:rsidP="00912E5D">
            <w:pPr>
              <w:autoSpaceDE w:val="0"/>
              <w:autoSpaceDN w:val="0"/>
              <w:adjustRightInd w:val="0"/>
              <w:ind w:left="774"/>
              <w:rPr>
                <w:rFonts w:ascii="Franklin Gothic Medium" w:hAnsi="Franklin Gothic Medium" w:cs="Franklin Gothic Medium"/>
                <w:color w:val="000000"/>
                <w:sz w:val="22"/>
                <w:szCs w:val="22"/>
                <w:highlight w:val="yellow"/>
              </w:rPr>
            </w:pPr>
            <w:r w:rsidRPr="00912E5D">
              <w:rPr>
                <w:rFonts w:ascii="Franklin Gothic Medium" w:hAnsi="Franklin Gothic Medium" w:cs="Franklin Gothic Medium"/>
                <w:color w:val="000000"/>
                <w:sz w:val="22"/>
                <w:szCs w:val="22"/>
                <w:highlight w:val="yellow"/>
              </w:rPr>
              <w:t>3.27</w:t>
            </w:r>
          </w:p>
        </w:tc>
        <w:tc>
          <w:tcPr>
            <w:tcW w:w="442" w:type="pct"/>
            <w:tcBorders>
              <w:top w:val="single" w:sz="6" w:space="0" w:color="auto"/>
              <w:left w:val="single" w:sz="6" w:space="0" w:color="auto"/>
              <w:bottom w:val="single" w:sz="6" w:space="0" w:color="auto"/>
              <w:right w:val="single" w:sz="6" w:space="0" w:color="auto"/>
            </w:tcBorders>
            <w:vAlign w:val="center"/>
          </w:tcPr>
          <w:p w:rsidR="00065632" w:rsidRPr="00912E5D" w:rsidRDefault="00065632" w:rsidP="00912E5D">
            <w:pPr>
              <w:autoSpaceDE w:val="0"/>
              <w:autoSpaceDN w:val="0"/>
              <w:adjustRightInd w:val="0"/>
              <w:jc w:val="center"/>
              <w:rPr>
                <w:rFonts w:ascii="Franklin Gothic Medium" w:hAnsi="Franklin Gothic Medium" w:cs="Franklin Gothic Medium"/>
                <w:color w:val="000000"/>
                <w:sz w:val="22"/>
                <w:szCs w:val="22"/>
                <w:highlight w:val="yellow"/>
              </w:rPr>
            </w:pPr>
            <w:r w:rsidRPr="00912E5D">
              <w:rPr>
                <w:rFonts w:ascii="Franklin Gothic Medium" w:hAnsi="Franklin Gothic Medium" w:cs="Franklin Gothic Medium"/>
                <w:color w:val="000000"/>
                <w:sz w:val="22"/>
                <w:szCs w:val="22"/>
                <w:highlight w:val="yellow"/>
              </w:rPr>
              <w:t>2.71</w:t>
            </w:r>
          </w:p>
        </w:tc>
        <w:tc>
          <w:tcPr>
            <w:tcW w:w="439" w:type="pct"/>
            <w:tcBorders>
              <w:top w:val="single" w:sz="6" w:space="0" w:color="auto"/>
              <w:left w:val="single" w:sz="6" w:space="0" w:color="auto"/>
              <w:bottom w:val="single" w:sz="6" w:space="0" w:color="auto"/>
              <w:right w:val="single" w:sz="6" w:space="0" w:color="auto"/>
            </w:tcBorders>
            <w:vAlign w:val="center"/>
          </w:tcPr>
          <w:p w:rsidR="00065632" w:rsidRPr="00912E5D" w:rsidRDefault="00065632" w:rsidP="00912E5D">
            <w:pPr>
              <w:autoSpaceDE w:val="0"/>
              <w:autoSpaceDN w:val="0"/>
              <w:adjustRightInd w:val="0"/>
              <w:jc w:val="center"/>
              <w:rPr>
                <w:rFonts w:ascii="Franklin Gothic Medium" w:hAnsi="Franklin Gothic Medium" w:cs="Franklin Gothic Medium"/>
                <w:color w:val="000000"/>
                <w:sz w:val="22"/>
                <w:szCs w:val="22"/>
                <w:highlight w:val="yellow"/>
              </w:rPr>
            </w:pPr>
            <w:r w:rsidRPr="00912E5D">
              <w:rPr>
                <w:rFonts w:ascii="Franklin Gothic Medium" w:hAnsi="Franklin Gothic Medium" w:cs="Franklin Gothic Medium"/>
                <w:color w:val="000000"/>
                <w:sz w:val="22"/>
                <w:szCs w:val="22"/>
                <w:highlight w:val="yellow"/>
              </w:rPr>
              <w:t>2.76</w:t>
            </w:r>
          </w:p>
        </w:tc>
        <w:tc>
          <w:tcPr>
            <w:tcW w:w="830" w:type="pct"/>
            <w:tcBorders>
              <w:top w:val="single" w:sz="6" w:space="0" w:color="auto"/>
              <w:left w:val="single" w:sz="6" w:space="0" w:color="auto"/>
              <w:bottom w:val="single" w:sz="6" w:space="0" w:color="auto"/>
              <w:right w:val="single" w:sz="6" w:space="0" w:color="auto"/>
            </w:tcBorders>
            <w:vAlign w:val="center"/>
          </w:tcPr>
          <w:p w:rsidR="00065632" w:rsidRPr="00912E5D" w:rsidRDefault="00065632" w:rsidP="00912E5D">
            <w:pPr>
              <w:autoSpaceDE w:val="0"/>
              <w:autoSpaceDN w:val="0"/>
              <w:adjustRightInd w:val="0"/>
              <w:spacing w:line="252" w:lineRule="exact"/>
              <w:ind w:right="36"/>
              <w:rPr>
                <w:rFonts w:ascii="Franklin Gothic Medium" w:hAnsi="Franklin Gothic Medium" w:cs="Franklin Gothic Medium"/>
                <w:color w:val="000000"/>
                <w:sz w:val="22"/>
                <w:szCs w:val="22"/>
                <w:highlight w:val="yellow"/>
              </w:rPr>
            </w:pPr>
            <w:r w:rsidRPr="00912E5D">
              <w:rPr>
                <w:rFonts w:ascii="Franklin Gothic Medium" w:hAnsi="Franklin Gothic Medium" w:cs="Franklin Gothic Medium"/>
                <w:color w:val="000000"/>
                <w:sz w:val="22"/>
                <w:szCs w:val="22"/>
                <w:highlight w:val="yellow"/>
              </w:rPr>
              <w:t xml:space="preserve">The main part of assistance - de-institutionalization and transformation of social services is not refundable and does not have any potential of inclusion of IFIs. Part of assistance directed to the area of social housing shows suitable attributes for inclusion of financial instruments - recommended for </w:t>
            </w:r>
            <w:r w:rsidRPr="00912E5D">
              <w:rPr>
                <w:rFonts w:ascii="Franklin Gothic Medium" w:hAnsi="Franklin Gothic Medium" w:cs="Franklin Gothic Medium"/>
                <w:color w:val="000000"/>
                <w:sz w:val="22"/>
                <w:szCs w:val="22"/>
                <w:highlight w:val="yellow"/>
              </w:rPr>
              <w:lastRenderedPageBreak/>
              <w:t>further analysis.</w:t>
            </w:r>
          </w:p>
        </w:tc>
        <w:tc>
          <w:tcPr>
            <w:tcW w:w="413" w:type="pct"/>
            <w:tcBorders>
              <w:top w:val="single" w:sz="6" w:space="0" w:color="auto"/>
              <w:left w:val="single" w:sz="6" w:space="0" w:color="auto"/>
              <w:bottom w:val="single" w:sz="6" w:space="0" w:color="auto"/>
              <w:right w:val="single" w:sz="6" w:space="0" w:color="auto"/>
            </w:tcBorders>
            <w:vAlign w:val="center"/>
          </w:tcPr>
          <w:p w:rsidR="00065632" w:rsidRPr="00912E5D" w:rsidRDefault="00065632" w:rsidP="00912E5D">
            <w:pPr>
              <w:autoSpaceDE w:val="0"/>
              <w:autoSpaceDN w:val="0"/>
              <w:adjustRightInd w:val="0"/>
              <w:ind w:left="504"/>
              <w:rPr>
                <w:rFonts w:ascii="Franklin Gothic Medium" w:hAnsi="Franklin Gothic Medium" w:cs="Franklin Gothic Medium"/>
                <w:color w:val="5A643F"/>
                <w:sz w:val="22"/>
                <w:szCs w:val="22"/>
                <w:highlight w:val="yellow"/>
              </w:rPr>
            </w:pPr>
            <w:r w:rsidRPr="00912E5D">
              <w:rPr>
                <w:rFonts w:ascii="Franklin Gothic Medium" w:hAnsi="Franklin Gothic Medium" w:cs="Franklin Gothic Medium"/>
                <w:color w:val="5A643F"/>
                <w:sz w:val="22"/>
                <w:szCs w:val="22"/>
                <w:highlight w:val="yellow"/>
              </w:rPr>
              <w:lastRenderedPageBreak/>
              <w:t>Loan-based</w:t>
            </w:r>
          </w:p>
        </w:tc>
      </w:tr>
      <w:tr w:rsidR="00065632" w:rsidRPr="0057251F" w:rsidTr="00560258">
        <w:tc>
          <w:tcPr>
            <w:tcW w:w="218" w:type="pct"/>
            <w:tcBorders>
              <w:top w:val="single" w:sz="6" w:space="0" w:color="auto"/>
              <w:left w:val="single" w:sz="6" w:space="0" w:color="auto"/>
              <w:bottom w:val="single" w:sz="6" w:space="0" w:color="auto"/>
              <w:right w:val="single" w:sz="6" w:space="0" w:color="auto"/>
            </w:tcBorders>
          </w:tcPr>
          <w:p w:rsidR="00065632" w:rsidRPr="00912E5D" w:rsidRDefault="00065632" w:rsidP="00912E5D">
            <w:pPr>
              <w:tabs>
                <w:tab w:val="left" w:leader="underscore" w:pos="1062"/>
              </w:tabs>
              <w:autoSpaceDE w:val="0"/>
              <w:autoSpaceDN w:val="0"/>
              <w:adjustRightInd w:val="0"/>
              <w:spacing w:line="702" w:lineRule="exact"/>
              <w:rPr>
                <w:rFonts w:ascii="Franklin Gothic Medium" w:hAnsi="Franklin Gothic Medium" w:cs="Franklin Gothic Medium"/>
                <w:color w:val="000000"/>
                <w:sz w:val="22"/>
                <w:szCs w:val="22"/>
                <w:highlight w:val="yellow"/>
              </w:rPr>
            </w:pPr>
            <w:r w:rsidRPr="00912E5D">
              <w:rPr>
                <w:rFonts w:ascii="Franklin Gothic Medium" w:hAnsi="Franklin Gothic Medium" w:cs="Franklin Gothic Medium"/>
                <w:highlight w:val="yellow"/>
              </w:rPr>
              <w:lastRenderedPageBreak/>
              <w:t>SO 2.2.1</w:t>
            </w:r>
            <w:r w:rsidRPr="00912E5D">
              <w:rPr>
                <w:rFonts w:ascii="Franklin Gothic Medium" w:hAnsi="Franklin Gothic Medium" w:cs="Franklin Gothic Medium"/>
                <w:color w:val="000000"/>
                <w:sz w:val="22"/>
                <w:szCs w:val="22"/>
                <w:highlight w:val="yellow"/>
              </w:rPr>
              <w:tab/>
            </w:r>
          </w:p>
        </w:tc>
        <w:tc>
          <w:tcPr>
            <w:tcW w:w="2216" w:type="pct"/>
            <w:tcBorders>
              <w:top w:val="single" w:sz="6" w:space="0" w:color="auto"/>
              <w:left w:val="single" w:sz="6" w:space="0" w:color="auto"/>
              <w:bottom w:val="single" w:sz="6" w:space="0" w:color="auto"/>
              <w:right w:val="single" w:sz="6" w:space="0" w:color="auto"/>
            </w:tcBorders>
          </w:tcPr>
          <w:p w:rsidR="00065632" w:rsidRPr="00912E5D" w:rsidRDefault="00065632" w:rsidP="00912E5D">
            <w:pPr>
              <w:autoSpaceDE w:val="0"/>
              <w:autoSpaceDN w:val="0"/>
              <w:adjustRightInd w:val="0"/>
              <w:rPr>
                <w:rFonts w:ascii="Franklin Gothic Medium" w:hAnsi="Franklin Gothic Medium" w:cs="Franklin Gothic Medium"/>
                <w:color w:val="000000"/>
                <w:sz w:val="22"/>
                <w:szCs w:val="22"/>
                <w:highlight w:val="yellow"/>
              </w:rPr>
            </w:pPr>
            <w:r w:rsidRPr="00912E5D">
              <w:rPr>
                <w:rFonts w:ascii="Franklin Gothic Medium" w:hAnsi="Franklin Gothic Medium" w:cs="Franklin Gothic Medium"/>
                <w:color w:val="000000"/>
                <w:sz w:val="22"/>
                <w:szCs w:val="22"/>
                <w:highlight w:val="yellow"/>
              </w:rPr>
              <w:t>Construction, reconstruction, extension and equipment of social enterprises.</w:t>
            </w:r>
          </w:p>
        </w:tc>
        <w:tc>
          <w:tcPr>
            <w:tcW w:w="118" w:type="pct"/>
            <w:tcBorders>
              <w:top w:val="single" w:sz="6" w:space="0" w:color="auto"/>
              <w:left w:val="single" w:sz="6" w:space="0" w:color="auto"/>
              <w:bottom w:val="single" w:sz="6" w:space="0" w:color="auto"/>
              <w:right w:val="nil"/>
            </w:tcBorders>
          </w:tcPr>
          <w:p w:rsidR="00065632" w:rsidRPr="00912E5D" w:rsidRDefault="00065632" w:rsidP="00912E5D">
            <w:pPr>
              <w:tabs>
                <w:tab w:val="left" w:leader="underscore" w:pos="270"/>
                <w:tab w:val="left" w:leader="underscore" w:pos="576"/>
              </w:tabs>
              <w:autoSpaceDE w:val="0"/>
              <w:autoSpaceDN w:val="0"/>
              <w:adjustRightInd w:val="0"/>
              <w:spacing w:line="108" w:lineRule="exact"/>
              <w:rPr>
                <w:rFonts w:ascii="Franklin Gothic Medium" w:hAnsi="Franklin Gothic Medium" w:cs="Franklin Gothic Medium"/>
                <w:color w:val="000000"/>
                <w:position w:val="-1"/>
                <w:sz w:val="22"/>
                <w:szCs w:val="22"/>
                <w:highlight w:val="yellow"/>
              </w:rPr>
            </w:pPr>
            <w:r w:rsidRPr="00912E5D">
              <w:rPr>
                <w:rFonts w:ascii="Franklin Gothic Medium" w:hAnsi="Franklin Gothic Medium" w:cs="Franklin Gothic Medium"/>
                <w:color w:val="000000"/>
                <w:position w:val="-1"/>
                <w:sz w:val="22"/>
                <w:szCs w:val="22"/>
                <w:highlight w:val="yellow"/>
              </w:rPr>
              <w:tab/>
              <w:t>■</w:t>
            </w:r>
            <w:r w:rsidRPr="00912E5D">
              <w:rPr>
                <w:rFonts w:ascii="Franklin Gothic Medium" w:hAnsi="Franklin Gothic Medium" w:cs="Franklin Gothic Medium"/>
                <w:color w:val="000000"/>
                <w:position w:val="-1"/>
                <w:sz w:val="22"/>
                <w:szCs w:val="22"/>
                <w:highlight w:val="yellow"/>
              </w:rPr>
              <w:tab/>
            </w:r>
          </w:p>
        </w:tc>
        <w:tc>
          <w:tcPr>
            <w:tcW w:w="324" w:type="pct"/>
            <w:tcBorders>
              <w:top w:val="single" w:sz="6" w:space="0" w:color="auto"/>
              <w:left w:val="nil"/>
              <w:bottom w:val="single" w:sz="6" w:space="0" w:color="auto"/>
              <w:right w:val="single" w:sz="6" w:space="0" w:color="auto"/>
            </w:tcBorders>
          </w:tcPr>
          <w:p w:rsidR="00065632" w:rsidRPr="00912E5D" w:rsidRDefault="00065632" w:rsidP="00912E5D">
            <w:pPr>
              <w:autoSpaceDE w:val="0"/>
              <w:autoSpaceDN w:val="0"/>
              <w:adjustRightInd w:val="0"/>
              <w:rPr>
                <w:rFonts w:ascii="Franklin Gothic Medium" w:hAnsi="Franklin Gothic Medium" w:cs="Franklin Gothic Medium"/>
                <w:color w:val="000000"/>
                <w:sz w:val="22"/>
                <w:szCs w:val="22"/>
                <w:highlight w:val="yellow"/>
              </w:rPr>
            </w:pPr>
            <w:r w:rsidRPr="00912E5D">
              <w:rPr>
                <w:rFonts w:ascii="Franklin Gothic Medium" w:hAnsi="Franklin Gothic Medium" w:cs="Franklin Gothic Medium"/>
                <w:color w:val="000000"/>
                <w:sz w:val="22"/>
                <w:szCs w:val="22"/>
                <w:highlight w:val="yellow"/>
              </w:rPr>
              <w:t>2.35</w:t>
            </w:r>
          </w:p>
        </w:tc>
        <w:tc>
          <w:tcPr>
            <w:tcW w:w="442" w:type="pct"/>
            <w:tcBorders>
              <w:top w:val="single" w:sz="6" w:space="0" w:color="auto"/>
              <w:left w:val="single" w:sz="6" w:space="0" w:color="auto"/>
              <w:bottom w:val="single" w:sz="6" w:space="0" w:color="auto"/>
              <w:right w:val="single" w:sz="6" w:space="0" w:color="auto"/>
            </w:tcBorders>
          </w:tcPr>
          <w:p w:rsidR="00065632" w:rsidRPr="00912E5D" w:rsidRDefault="00065632" w:rsidP="00912E5D">
            <w:pPr>
              <w:autoSpaceDE w:val="0"/>
              <w:autoSpaceDN w:val="0"/>
              <w:adjustRightInd w:val="0"/>
              <w:jc w:val="center"/>
              <w:rPr>
                <w:rFonts w:ascii="Franklin Gothic Medium" w:hAnsi="Franklin Gothic Medium" w:cs="Franklin Gothic Medium"/>
                <w:color w:val="000000"/>
                <w:sz w:val="22"/>
                <w:szCs w:val="22"/>
                <w:highlight w:val="yellow"/>
              </w:rPr>
            </w:pPr>
            <w:r w:rsidRPr="00912E5D">
              <w:rPr>
                <w:rFonts w:ascii="Franklin Gothic Medium" w:hAnsi="Franklin Gothic Medium" w:cs="Franklin Gothic Medium"/>
                <w:color w:val="000000"/>
                <w:sz w:val="22"/>
                <w:szCs w:val="22"/>
                <w:highlight w:val="yellow"/>
              </w:rPr>
              <w:t>2.39</w:t>
            </w:r>
          </w:p>
        </w:tc>
        <w:tc>
          <w:tcPr>
            <w:tcW w:w="439" w:type="pct"/>
            <w:tcBorders>
              <w:top w:val="single" w:sz="6" w:space="0" w:color="auto"/>
              <w:left w:val="single" w:sz="6" w:space="0" w:color="auto"/>
              <w:bottom w:val="single" w:sz="6" w:space="0" w:color="auto"/>
              <w:right w:val="single" w:sz="6" w:space="0" w:color="auto"/>
            </w:tcBorders>
          </w:tcPr>
          <w:p w:rsidR="00065632" w:rsidRPr="00912E5D" w:rsidRDefault="00065632" w:rsidP="00912E5D">
            <w:pPr>
              <w:autoSpaceDE w:val="0"/>
              <w:autoSpaceDN w:val="0"/>
              <w:adjustRightInd w:val="0"/>
              <w:jc w:val="center"/>
              <w:rPr>
                <w:rFonts w:ascii="Franklin Gothic Medium" w:hAnsi="Franklin Gothic Medium" w:cs="Franklin Gothic Medium"/>
                <w:color w:val="000000"/>
                <w:sz w:val="22"/>
                <w:szCs w:val="22"/>
                <w:highlight w:val="yellow"/>
              </w:rPr>
            </w:pPr>
            <w:r w:rsidRPr="00912E5D">
              <w:rPr>
                <w:rFonts w:ascii="Franklin Gothic Medium" w:hAnsi="Franklin Gothic Medium" w:cs="Franklin Gothic Medium"/>
                <w:color w:val="000000"/>
                <w:sz w:val="22"/>
                <w:szCs w:val="22"/>
                <w:highlight w:val="yellow"/>
              </w:rPr>
              <w:t>1.86</w:t>
            </w:r>
          </w:p>
        </w:tc>
        <w:tc>
          <w:tcPr>
            <w:tcW w:w="830" w:type="pct"/>
            <w:tcBorders>
              <w:top w:val="single" w:sz="6" w:space="0" w:color="auto"/>
              <w:left w:val="single" w:sz="6" w:space="0" w:color="auto"/>
              <w:bottom w:val="single" w:sz="6" w:space="0" w:color="auto"/>
              <w:right w:val="single" w:sz="6" w:space="0" w:color="auto"/>
            </w:tcBorders>
          </w:tcPr>
          <w:p w:rsidR="00065632" w:rsidRPr="00912E5D" w:rsidRDefault="00065632" w:rsidP="00912E5D">
            <w:pPr>
              <w:autoSpaceDE w:val="0"/>
              <w:autoSpaceDN w:val="0"/>
              <w:adjustRightInd w:val="0"/>
              <w:spacing w:line="252" w:lineRule="exact"/>
              <w:ind w:left="18" w:hanging="18"/>
              <w:rPr>
                <w:rFonts w:ascii="Franklin Gothic Medium" w:hAnsi="Franklin Gothic Medium" w:cs="Franklin Gothic Medium"/>
                <w:color w:val="000000"/>
                <w:sz w:val="22"/>
                <w:szCs w:val="22"/>
                <w:highlight w:val="yellow"/>
              </w:rPr>
            </w:pPr>
            <w:r w:rsidRPr="00912E5D">
              <w:rPr>
                <w:rFonts w:ascii="Franklin Gothic Medium" w:hAnsi="Franklin Gothic Medium" w:cs="Franklin Gothic Medium"/>
                <w:color w:val="000000"/>
                <w:sz w:val="22"/>
                <w:szCs w:val="22"/>
                <w:highlight w:val="yellow"/>
              </w:rPr>
              <w:t>Although the objective is development of entrepreneurship on a profitable basis, the main objectives pursued are in the area of social inclusion. The assessment conclusions identify that it is not suitable for inclusion in IFIs.</w:t>
            </w:r>
          </w:p>
        </w:tc>
        <w:tc>
          <w:tcPr>
            <w:tcW w:w="413" w:type="pct"/>
            <w:tcBorders>
              <w:top w:val="single" w:sz="6" w:space="0" w:color="auto"/>
              <w:left w:val="single" w:sz="6" w:space="0" w:color="auto"/>
              <w:bottom w:val="single" w:sz="6" w:space="0" w:color="auto"/>
              <w:right w:val="single" w:sz="6" w:space="0" w:color="auto"/>
            </w:tcBorders>
          </w:tcPr>
          <w:p w:rsidR="00065632" w:rsidRPr="00912E5D" w:rsidRDefault="00065632" w:rsidP="00912E5D">
            <w:pPr>
              <w:autoSpaceDE w:val="0"/>
              <w:autoSpaceDN w:val="0"/>
              <w:adjustRightInd w:val="0"/>
              <w:rPr>
                <w:rFonts w:ascii="Franklin Gothic Medium" w:hAnsi="Franklin Gothic Medium" w:cs="Franklin Gothic Medium"/>
                <w:i/>
                <w:iCs/>
                <w:color w:val="5A643F"/>
                <w:sz w:val="22"/>
                <w:szCs w:val="22"/>
                <w:highlight w:val="yellow"/>
              </w:rPr>
            </w:pPr>
            <w:r w:rsidRPr="00912E5D">
              <w:rPr>
                <w:rFonts w:ascii="Franklin Gothic Medium" w:hAnsi="Franklin Gothic Medium" w:cs="Franklin Gothic Medium"/>
                <w:highlight w:val="yellow"/>
              </w:rPr>
              <w:t>N/A</w:t>
            </w:r>
          </w:p>
          <w:p w:rsidR="00065632" w:rsidRPr="0057251F" w:rsidRDefault="00065632" w:rsidP="00912E5D">
            <w:pPr>
              <w:tabs>
                <w:tab w:val="left" w:leader="underscore" w:pos="1890"/>
              </w:tabs>
              <w:autoSpaceDE w:val="0"/>
              <w:autoSpaceDN w:val="0"/>
              <w:adjustRightInd w:val="0"/>
              <w:rPr>
                <w:rFonts w:ascii="Franklin Gothic Medium" w:hAnsi="Franklin Gothic Medium" w:cs="Franklin Gothic Medium"/>
                <w:color w:val="000000"/>
                <w:sz w:val="22"/>
                <w:szCs w:val="22"/>
              </w:rPr>
            </w:pPr>
            <w:r w:rsidRPr="00912E5D">
              <w:rPr>
                <w:rFonts w:ascii="Franklin Gothic Medium" w:hAnsi="Franklin Gothic Medium" w:cs="Franklin Gothic Medium"/>
                <w:color w:val="000000"/>
                <w:sz w:val="22"/>
                <w:szCs w:val="22"/>
                <w:highlight w:val="yellow"/>
              </w:rPr>
              <w:tab/>
            </w:r>
            <w:proofErr w:type="spellStart"/>
            <w:r w:rsidRPr="00912E5D">
              <w:rPr>
                <w:rFonts w:ascii="Franklin Gothic Medium" w:hAnsi="Franklin Gothic Medium" w:cs="Franklin Gothic Medium"/>
                <w:color w:val="000000"/>
                <w:sz w:val="22"/>
                <w:szCs w:val="22"/>
                <w:highlight w:val="yellow"/>
              </w:rPr>
              <w:t>i</w:t>
            </w:r>
            <w:proofErr w:type="spellEnd"/>
          </w:p>
        </w:tc>
      </w:tr>
    </w:tbl>
    <w:p w:rsidR="00065632" w:rsidRDefault="00065632" w:rsidP="00912E5D"/>
    <w:tbl>
      <w:tblPr>
        <w:tblW w:w="5000" w:type="pct"/>
        <w:tblCellMar>
          <w:left w:w="40" w:type="dxa"/>
          <w:right w:w="40" w:type="dxa"/>
        </w:tblCellMar>
        <w:tblLook w:val="0000" w:firstRow="0" w:lastRow="0" w:firstColumn="0" w:lastColumn="0" w:noHBand="0" w:noVBand="0"/>
      </w:tblPr>
      <w:tblGrid>
        <w:gridCol w:w="574"/>
        <w:gridCol w:w="6218"/>
        <w:gridCol w:w="1294"/>
        <w:gridCol w:w="1294"/>
        <w:gridCol w:w="1294"/>
        <w:gridCol w:w="2290"/>
        <w:gridCol w:w="1118"/>
      </w:tblGrid>
      <w:tr w:rsidR="00065632" w:rsidRPr="00912E5D" w:rsidTr="00560258">
        <w:tc>
          <w:tcPr>
            <w:tcW w:w="204" w:type="pct"/>
            <w:tcBorders>
              <w:top w:val="nil"/>
              <w:left w:val="single" w:sz="6" w:space="0" w:color="auto"/>
              <w:bottom w:val="single" w:sz="6" w:space="0" w:color="auto"/>
              <w:right w:val="single" w:sz="6" w:space="0" w:color="auto"/>
            </w:tcBorders>
            <w:vAlign w:val="center"/>
          </w:tcPr>
          <w:p w:rsidR="00065632" w:rsidRPr="00912E5D" w:rsidRDefault="00065632" w:rsidP="00912E5D">
            <w:pPr>
              <w:autoSpaceDE w:val="0"/>
              <w:autoSpaceDN w:val="0"/>
              <w:adjustRightInd w:val="0"/>
              <w:rPr>
                <w:rFonts w:ascii="Franklin Gothic Medium" w:hAnsi="Franklin Gothic Medium" w:cs="Franklin Gothic Medium"/>
                <w:color w:val="000000"/>
                <w:sz w:val="22"/>
                <w:szCs w:val="22"/>
                <w:highlight w:val="yellow"/>
              </w:rPr>
            </w:pPr>
            <w:r w:rsidRPr="00912E5D">
              <w:rPr>
                <w:rFonts w:ascii="Franklin Gothic Medium" w:hAnsi="Franklin Gothic Medium" w:cs="Franklin Gothic Medium"/>
                <w:color w:val="000000"/>
                <w:sz w:val="22"/>
                <w:szCs w:val="22"/>
                <w:highlight w:val="yellow"/>
              </w:rPr>
              <w:t>SO 1.3.2</w:t>
            </w:r>
          </w:p>
        </w:tc>
        <w:tc>
          <w:tcPr>
            <w:tcW w:w="2208" w:type="pct"/>
            <w:tcBorders>
              <w:top w:val="nil"/>
              <w:left w:val="single" w:sz="6" w:space="0" w:color="auto"/>
              <w:bottom w:val="single" w:sz="6" w:space="0" w:color="auto"/>
              <w:right w:val="single" w:sz="6" w:space="0" w:color="auto"/>
            </w:tcBorders>
            <w:vAlign w:val="center"/>
          </w:tcPr>
          <w:p w:rsidR="00065632" w:rsidRPr="00912E5D" w:rsidRDefault="00065632" w:rsidP="00912E5D">
            <w:pPr>
              <w:autoSpaceDE w:val="0"/>
              <w:autoSpaceDN w:val="0"/>
              <w:adjustRightInd w:val="0"/>
              <w:spacing w:line="288" w:lineRule="exact"/>
              <w:ind w:right="18"/>
              <w:rPr>
                <w:rFonts w:ascii="Franklin Gothic Medium" w:hAnsi="Franklin Gothic Medium" w:cs="Franklin Gothic Medium"/>
                <w:color w:val="000000"/>
                <w:sz w:val="22"/>
                <w:szCs w:val="22"/>
                <w:highlight w:val="yellow"/>
              </w:rPr>
            </w:pPr>
            <w:r w:rsidRPr="00912E5D">
              <w:rPr>
                <w:rFonts w:ascii="Franklin Gothic Medium" w:hAnsi="Franklin Gothic Medium" w:cs="Franklin Gothic Medium"/>
                <w:color w:val="000000"/>
                <w:sz w:val="22"/>
                <w:szCs w:val="22"/>
                <w:highlight w:val="yellow"/>
              </w:rPr>
              <w:t>Modernisation of infrastructure of providers of highly specialised care (</w:t>
            </w:r>
            <w:proofErr w:type="spellStart"/>
            <w:r w:rsidRPr="00912E5D">
              <w:rPr>
                <w:rFonts w:ascii="Franklin Gothic Medium" w:hAnsi="Franklin Gothic Medium" w:cs="Franklin Gothic Medium"/>
                <w:color w:val="000000"/>
                <w:sz w:val="22"/>
                <w:szCs w:val="22"/>
                <w:highlight w:val="yellow"/>
              </w:rPr>
              <w:t>onco</w:t>
            </w:r>
            <w:proofErr w:type="spellEnd"/>
            <w:r w:rsidRPr="00912E5D">
              <w:rPr>
                <w:rFonts w:ascii="Franklin Gothic Medium" w:hAnsi="Franklin Gothic Medium" w:cs="Franklin Gothic Medium"/>
                <w:color w:val="000000"/>
                <w:sz w:val="22"/>
                <w:szCs w:val="22"/>
                <w:highlight w:val="yellow"/>
              </w:rPr>
              <w:t xml:space="preserve">-gynaecological and </w:t>
            </w:r>
            <w:proofErr w:type="spellStart"/>
            <w:r w:rsidRPr="00912E5D">
              <w:rPr>
                <w:rFonts w:ascii="Franklin Gothic Medium" w:hAnsi="Franklin Gothic Medium" w:cs="Franklin Gothic Medium"/>
                <w:color w:val="000000"/>
                <w:sz w:val="22"/>
                <w:szCs w:val="22"/>
                <w:highlight w:val="yellow"/>
              </w:rPr>
              <w:t>perinatological</w:t>
            </w:r>
            <w:proofErr w:type="spellEnd"/>
            <w:r w:rsidRPr="00912E5D">
              <w:rPr>
                <w:rFonts w:ascii="Franklin Gothic Medium" w:hAnsi="Franklin Gothic Medium" w:cs="Franklin Gothic Medium"/>
                <w:color w:val="000000"/>
                <w:sz w:val="22"/>
                <w:szCs w:val="22"/>
                <w:highlight w:val="yellow"/>
              </w:rPr>
              <w:t xml:space="preserve"> network) in the form of procurement of equipment and necessary construction modifications. Moreover, modernisation of follow-up care infrastructure in the form of procurement of equipment and necessary construction modifications. Transformation of psychiatric care will be implemented mainly by de-institutionalization of psychiatric hospitals through procurement of equipment for mobile teams, establishment of new or reconstruction of existing community-care facilities and establishment of new or reconstruction of existing facilities to achieve de-institutionalized care. De-institutionalization of the system will be supported by establishing new or reconstructing existing facilities to achieve an efficient care system, e.g. by </w:t>
            </w:r>
            <w:r w:rsidRPr="00912E5D">
              <w:rPr>
                <w:rFonts w:ascii="Franklin Gothic Medium" w:hAnsi="Franklin Gothic Medium" w:cs="Franklin Gothic Medium"/>
                <w:color w:val="000000"/>
                <w:sz w:val="22"/>
                <w:szCs w:val="22"/>
                <w:highlight w:val="yellow"/>
              </w:rPr>
              <w:lastRenderedPageBreak/>
              <w:t>supporting general hospitals (i.e. not psychiatric hospital type facilities) providing acute care as a prerequisite for liberation of long-term institutional care in psychiatric facilities (psychiatric hospitals according to new terminology). Supported will be supporting greenery around buildings and on buildings, e.g. green walls and roofs, alleys, parks and gardens.</w:t>
            </w:r>
          </w:p>
        </w:tc>
        <w:tc>
          <w:tcPr>
            <w:tcW w:w="459" w:type="pct"/>
            <w:tcBorders>
              <w:top w:val="nil"/>
              <w:left w:val="single" w:sz="6" w:space="0" w:color="auto"/>
              <w:bottom w:val="single" w:sz="6" w:space="0" w:color="auto"/>
              <w:right w:val="single" w:sz="6" w:space="0" w:color="auto"/>
            </w:tcBorders>
            <w:vAlign w:val="center"/>
          </w:tcPr>
          <w:p w:rsidR="00065632" w:rsidRPr="00912E5D" w:rsidRDefault="00065632" w:rsidP="00912E5D">
            <w:pPr>
              <w:autoSpaceDE w:val="0"/>
              <w:autoSpaceDN w:val="0"/>
              <w:adjustRightInd w:val="0"/>
              <w:ind w:left="774"/>
              <w:rPr>
                <w:rFonts w:ascii="Franklin Gothic Medium" w:hAnsi="Franklin Gothic Medium" w:cs="Franklin Gothic Medium"/>
                <w:color w:val="000000"/>
                <w:sz w:val="22"/>
                <w:szCs w:val="22"/>
                <w:highlight w:val="yellow"/>
              </w:rPr>
            </w:pPr>
            <w:r w:rsidRPr="00912E5D">
              <w:rPr>
                <w:rFonts w:ascii="Franklin Gothic Medium" w:hAnsi="Franklin Gothic Medium" w:cs="Franklin Gothic Medium"/>
                <w:color w:val="000000"/>
                <w:sz w:val="22"/>
                <w:szCs w:val="22"/>
                <w:highlight w:val="yellow"/>
              </w:rPr>
              <w:lastRenderedPageBreak/>
              <w:t>2.96</w:t>
            </w:r>
          </w:p>
        </w:tc>
        <w:tc>
          <w:tcPr>
            <w:tcW w:w="459" w:type="pct"/>
            <w:tcBorders>
              <w:top w:val="nil"/>
              <w:left w:val="single" w:sz="6" w:space="0" w:color="auto"/>
              <w:bottom w:val="single" w:sz="6" w:space="0" w:color="auto"/>
              <w:right w:val="single" w:sz="6" w:space="0" w:color="auto"/>
            </w:tcBorders>
          </w:tcPr>
          <w:p w:rsidR="00065632" w:rsidRPr="00912E5D" w:rsidRDefault="00065632" w:rsidP="00912E5D">
            <w:pPr>
              <w:autoSpaceDE w:val="0"/>
              <w:autoSpaceDN w:val="0"/>
              <w:adjustRightInd w:val="0"/>
              <w:rPr>
                <w:rFonts w:ascii="Franklin Gothic Medium" w:hAnsi="Franklin Gothic Medium" w:cs="Franklin Gothic Medium"/>
                <w:sz w:val="22"/>
                <w:szCs w:val="22"/>
                <w:highlight w:val="yellow"/>
              </w:rPr>
            </w:pPr>
          </w:p>
        </w:tc>
        <w:tc>
          <w:tcPr>
            <w:tcW w:w="459" w:type="pct"/>
            <w:tcBorders>
              <w:top w:val="nil"/>
              <w:left w:val="single" w:sz="6" w:space="0" w:color="auto"/>
              <w:bottom w:val="single" w:sz="6" w:space="0" w:color="auto"/>
              <w:right w:val="single" w:sz="6" w:space="0" w:color="auto"/>
            </w:tcBorders>
          </w:tcPr>
          <w:p w:rsidR="00065632" w:rsidRPr="00912E5D" w:rsidRDefault="00065632" w:rsidP="00912E5D">
            <w:pPr>
              <w:autoSpaceDE w:val="0"/>
              <w:autoSpaceDN w:val="0"/>
              <w:adjustRightInd w:val="0"/>
              <w:rPr>
                <w:rFonts w:ascii="Franklin Gothic Medium" w:hAnsi="Franklin Gothic Medium" w:cs="Franklin Gothic Medium"/>
                <w:sz w:val="22"/>
                <w:szCs w:val="22"/>
                <w:highlight w:val="yellow"/>
              </w:rPr>
            </w:pPr>
          </w:p>
        </w:tc>
        <w:tc>
          <w:tcPr>
            <w:tcW w:w="813" w:type="pct"/>
            <w:tcBorders>
              <w:top w:val="nil"/>
              <w:left w:val="single" w:sz="6" w:space="0" w:color="auto"/>
              <w:bottom w:val="single" w:sz="6" w:space="0" w:color="auto"/>
              <w:right w:val="single" w:sz="6" w:space="0" w:color="auto"/>
            </w:tcBorders>
            <w:vAlign w:val="center"/>
          </w:tcPr>
          <w:p w:rsidR="00065632" w:rsidRPr="00912E5D" w:rsidRDefault="00065632" w:rsidP="00912E5D">
            <w:pPr>
              <w:autoSpaceDE w:val="0"/>
              <w:autoSpaceDN w:val="0"/>
              <w:adjustRightInd w:val="0"/>
              <w:spacing w:line="288" w:lineRule="exact"/>
              <w:rPr>
                <w:rFonts w:ascii="Franklin Gothic Medium" w:hAnsi="Franklin Gothic Medium" w:cs="Franklin Gothic Medium"/>
                <w:color w:val="000000"/>
                <w:sz w:val="22"/>
                <w:szCs w:val="22"/>
                <w:highlight w:val="yellow"/>
              </w:rPr>
            </w:pPr>
            <w:r w:rsidRPr="00912E5D">
              <w:rPr>
                <w:rFonts w:ascii="Franklin Gothic Medium" w:hAnsi="Franklin Gothic Medium" w:cs="Franklin Gothic Medium"/>
                <w:color w:val="000000"/>
                <w:sz w:val="22"/>
                <w:szCs w:val="22"/>
                <w:highlight w:val="yellow"/>
              </w:rPr>
              <w:t>The primary interest of the implementation is not profit, it shows indirect (economic) benefits for the region, which, however, cannot serve for the repayment of the original amount of investment - use of financial instruments is not suitable.</w:t>
            </w:r>
          </w:p>
        </w:tc>
        <w:tc>
          <w:tcPr>
            <w:tcW w:w="397" w:type="pct"/>
            <w:tcBorders>
              <w:top w:val="nil"/>
              <w:left w:val="single" w:sz="6" w:space="0" w:color="auto"/>
              <w:bottom w:val="single" w:sz="6" w:space="0" w:color="auto"/>
              <w:right w:val="single" w:sz="6" w:space="0" w:color="auto"/>
            </w:tcBorders>
            <w:vAlign w:val="center"/>
          </w:tcPr>
          <w:p w:rsidR="00065632" w:rsidRPr="00912E5D" w:rsidRDefault="00065632" w:rsidP="00912E5D">
            <w:pPr>
              <w:autoSpaceDE w:val="0"/>
              <w:autoSpaceDN w:val="0"/>
              <w:adjustRightInd w:val="0"/>
              <w:jc w:val="center"/>
              <w:rPr>
                <w:rFonts w:ascii="Franklin Gothic Medium" w:hAnsi="Franklin Gothic Medium" w:cs="Franklin Gothic Medium"/>
                <w:color w:val="000000"/>
                <w:sz w:val="22"/>
                <w:szCs w:val="22"/>
                <w:highlight w:val="yellow"/>
              </w:rPr>
            </w:pPr>
            <w:r w:rsidRPr="00912E5D">
              <w:rPr>
                <w:rFonts w:ascii="Franklin Gothic Medium" w:hAnsi="Franklin Gothic Medium" w:cs="Franklin Gothic Medium"/>
                <w:color w:val="000000"/>
                <w:sz w:val="22"/>
                <w:szCs w:val="22"/>
                <w:highlight w:val="yellow"/>
              </w:rPr>
              <w:t>N/A</w:t>
            </w:r>
          </w:p>
        </w:tc>
      </w:tr>
      <w:tr w:rsidR="00065632" w:rsidRPr="00912E5D" w:rsidTr="00560258">
        <w:tc>
          <w:tcPr>
            <w:tcW w:w="204" w:type="pct"/>
            <w:tcBorders>
              <w:top w:val="single" w:sz="6" w:space="0" w:color="auto"/>
              <w:left w:val="single" w:sz="6" w:space="0" w:color="auto"/>
              <w:bottom w:val="single" w:sz="6" w:space="0" w:color="auto"/>
              <w:right w:val="single" w:sz="6" w:space="0" w:color="auto"/>
            </w:tcBorders>
            <w:vAlign w:val="center"/>
          </w:tcPr>
          <w:p w:rsidR="00065632" w:rsidRPr="00912E5D" w:rsidRDefault="00065632" w:rsidP="00912E5D">
            <w:pPr>
              <w:autoSpaceDE w:val="0"/>
              <w:autoSpaceDN w:val="0"/>
              <w:adjustRightInd w:val="0"/>
              <w:rPr>
                <w:rFonts w:ascii="Franklin Gothic Medium" w:hAnsi="Franklin Gothic Medium" w:cs="Franklin Gothic Medium"/>
                <w:color w:val="000000"/>
                <w:sz w:val="22"/>
                <w:szCs w:val="22"/>
                <w:highlight w:val="yellow"/>
              </w:rPr>
            </w:pPr>
            <w:r w:rsidRPr="00912E5D">
              <w:rPr>
                <w:rFonts w:ascii="Franklin Gothic Medium" w:hAnsi="Franklin Gothic Medium" w:cs="Franklin Gothic Medium"/>
                <w:color w:val="000000"/>
                <w:sz w:val="22"/>
                <w:szCs w:val="22"/>
                <w:highlight w:val="yellow"/>
              </w:rPr>
              <w:lastRenderedPageBreak/>
              <w:t>SO 2.4.1</w:t>
            </w:r>
          </w:p>
        </w:tc>
        <w:tc>
          <w:tcPr>
            <w:tcW w:w="2208" w:type="pct"/>
            <w:tcBorders>
              <w:top w:val="single" w:sz="6" w:space="0" w:color="auto"/>
              <w:left w:val="single" w:sz="6" w:space="0" w:color="auto"/>
              <w:bottom w:val="single" w:sz="6" w:space="0" w:color="auto"/>
              <w:right w:val="single" w:sz="6" w:space="0" w:color="auto"/>
            </w:tcBorders>
            <w:vAlign w:val="center"/>
          </w:tcPr>
          <w:p w:rsidR="00065632" w:rsidRPr="00912E5D" w:rsidRDefault="00065632" w:rsidP="00912E5D">
            <w:pPr>
              <w:autoSpaceDE w:val="0"/>
              <w:autoSpaceDN w:val="0"/>
              <w:adjustRightInd w:val="0"/>
              <w:spacing w:line="288" w:lineRule="exact"/>
              <w:rPr>
                <w:rFonts w:ascii="Franklin Gothic Medium" w:hAnsi="Franklin Gothic Medium" w:cs="Franklin Gothic Medium"/>
                <w:color w:val="000000"/>
                <w:sz w:val="22"/>
                <w:szCs w:val="22"/>
                <w:highlight w:val="yellow"/>
              </w:rPr>
            </w:pPr>
            <w:r w:rsidRPr="00912E5D">
              <w:rPr>
                <w:rFonts w:ascii="Franklin Gothic Medium" w:hAnsi="Franklin Gothic Medium" w:cs="Franklin Gothic Medium"/>
                <w:color w:val="000000"/>
                <w:sz w:val="22"/>
                <w:szCs w:val="22"/>
                <w:highlight w:val="yellow"/>
              </w:rPr>
              <w:t>Extension of capacities for pre-school and school education. Also, construction, reconstructions and equipment of specialized classrooms, laboratories, workshops, training centres and land for tuition of science and technical subjects and for tuition of technical and craft skills. Reconstruction and equipment of educational facilities will be supported to develop selected key competencies in the area of communication in Czech and foreign languages, mathematical capability and basic capabilities in the area of science and technologies and ability to work with digital technologies. Adjustments to buildings and classrooms, equipment with furniture, machines, teaching aids, compensation aids and compensation equipment will be supported for education of children, pupils and students with SEN. Development of the internal connectivity of schools and educational facilities in classrooms, laboratories and workshops and connection to the Internet will be supported. Also supported will be supporting greenery around buildings and on buildings, e.g. green walls and roofs and gardens.</w:t>
            </w:r>
          </w:p>
        </w:tc>
        <w:tc>
          <w:tcPr>
            <w:tcW w:w="459" w:type="pct"/>
            <w:tcBorders>
              <w:top w:val="single" w:sz="6" w:space="0" w:color="auto"/>
              <w:left w:val="single" w:sz="6" w:space="0" w:color="auto"/>
              <w:bottom w:val="single" w:sz="6" w:space="0" w:color="auto"/>
              <w:right w:val="single" w:sz="6" w:space="0" w:color="auto"/>
            </w:tcBorders>
            <w:vAlign w:val="center"/>
          </w:tcPr>
          <w:p w:rsidR="00065632" w:rsidRPr="00912E5D" w:rsidRDefault="00065632" w:rsidP="00912E5D">
            <w:pPr>
              <w:autoSpaceDE w:val="0"/>
              <w:autoSpaceDN w:val="0"/>
              <w:adjustRightInd w:val="0"/>
              <w:ind w:left="774"/>
              <w:rPr>
                <w:rFonts w:ascii="Franklin Gothic Medium" w:hAnsi="Franklin Gothic Medium" w:cs="Franklin Gothic Medium"/>
                <w:color w:val="000000"/>
                <w:sz w:val="22"/>
                <w:szCs w:val="22"/>
                <w:highlight w:val="yellow"/>
              </w:rPr>
            </w:pPr>
            <w:r w:rsidRPr="00912E5D">
              <w:rPr>
                <w:rFonts w:ascii="Franklin Gothic Medium" w:hAnsi="Franklin Gothic Medium" w:cs="Franklin Gothic Medium"/>
                <w:color w:val="000000"/>
                <w:sz w:val="22"/>
                <w:szCs w:val="22"/>
                <w:highlight w:val="yellow"/>
              </w:rPr>
              <w:t>2.90</w:t>
            </w:r>
          </w:p>
        </w:tc>
        <w:tc>
          <w:tcPr>
            <w:tcW w:w="459" w:type="pct"/>
            <w:tcBorders>
              <w:top w:val="single" w:sz="6" w:space="0" w:color="auto"/>
              <w:left w:val="single" w:sz="6" w:space="0" w:color="auto"/>
              <w:bottom w:val="single" w:sz="6" w:space="0" w:color="auto"/>
              <w:right w:val="single" w:sz="6" w:space="0" w:color="auto"/>
            </w:tcBorders>
            <w:vAlign w:val="center"/>
          </w:tcPr>
          <w:p w:rsidR="00065632" w:rsidRPr="00912E5D" w:rsidRDefault="00065632" w:rsidP="00912E5D">
            <w:pPr>
              <w:autoSpaceDE w:val="0"/>
              <w:autoSpaceDN w:val="0"/>
              <w:adjustRightInd w:val="0"/>
              <w:ind w:left="774"/>
              <w:rPr>
                <w:rFonts w:ascii="Franklin Gothic Medium" w:hAnsi="Franklin Gothic Medium" w:cs="Franklin Gothic Medium"/>
                <w:color w:val="000000"/>
                <w:sz w:val="22"/>
                <w:szCs w:val="22"/>
                <w:highlight w:val="yellow"/>
              </w:rPr>
            </w:pPr>
            <w:r w:rsidRPr="00912E5D">
              <w:rPr>
                <w:rFonts w:ascii="Franklin Gothic Medium" w:hAnsi="Franklin Gothic Medium" w:cs="Franklin Gothic Medium"/>
                <w:color w:val="000000"/>
                <w:sz w:val="22"/>
                <w:szCs w:val="22"/>
                <w:highlight w:val="yellow"/>
              </w:rPr>
              <w:t>2.53</w:t>
            </w:r>
          </w:p>
        </w:tc>
        <w:tc>
          <w:tcPr>
            <w:tcW w:w="459" w:type="pct"/>
            <w:tcBorders>
              <w:top w:val="single" w:sz="6" w:space="0" w:color="auto"/>
              <w:left w:val="single" w:sz="6" w:space="0" w:color="auto"/>
              <w:bottom w:val="single" w:sz="6" w:space="0" w:color="auto"/>
              <w:right w:val="single" w:sz="6" w:space="0" w:color="auto"/>
            </w:tcBorders>
            <w:vAlign w:val="center"/>
          </w:tcPr>
          <w:p w:rsidR="00065632" w:rsidRPr="00912E5D" w:rsidRDefault="00065632" w:rsidP="00912E5D">
            <w:pPr>
              <w:autoSpaceDE w:val="0"/>
              <w:autoSpaceDN w:val="0"/>
              <w:adjustRightInd w:val="0"/>
              <w:ind w:left="774"/>
              <w:rPr>
                <w:rFonts w:ascii="Franklin Gothic Medium" w:hAnsi="Franklin Gothic Medium" w:cs="Franklin Gothic Medium"/>
                <w:color w:val="000000"/>
                <w:sz w:val="22"/>
                <w:szCs w:val="22"/>
                <w:highlight w:val="yellow"/>
              </w:rPr>
            </w:pPr>
            <w:r w:rsidRPr="00912E5D">
              <w:rPr>
                <w:rFonts w:ascii="Franklin Gothic Medium" w:hAnsi="Franklin Gothic Medium" w:cs="Franklin Gothic Medium"/>
                <w:color w:val="000000"/>
                <w:sz w:val="22"/>
                <w:szCs w:val="22"/>
                <w:highlight w:val="yellow"/>
              </w:rPr>
              <w:t>3.78</w:t>
            </w:r>
          </w:p>
        </w:tc>
        <w:tc>
          <w:tcPr>
            <w:tcW w:w="813" w:type="pct"/>
            <w:tcBorders>
              <w:top w:val="single" w:sz="6" w:space="0" w:color="auto"/>
              <w:left w:val="single" w:sz="6" w:space="0" w:color="auto"/>
              <w:bottom w:val="single" w:sz="6" w:space="0" w:color="auto"/>
              <w:right w:val="single" w:sz="6" w:space="0" w:color="auto"/>
            </w:tcBorders>
            <w:vAlign w:val="center"/>
          </w:tcPr>
          <w:p w:rsidR="00065632" w:rsidRPr="00912E5D" w:rsidRDefault="00065632" w:rsidP="00912E5D">
            <w:pPr>
              <w:autoSpaceDE w:val="0"/>
              <w:autoSpaceDN w:val="0"/>
              <w:adjustRightInd w:val="0"/>
              <w:spacing w:line="288" w:lineRule="exact"/>
              <w:rPr>
                <w:rFonts w:ascii="Franklin Gothic Medium" w:hAnsi="Franklin Gothic Medium" w:cs="Franklin Gothic Medium"/>
                <w:color w:val="000000"/>
                <w:sz w:val="22"/>
                <w:szCs w:val="22"/>
                <w:highlight w:val="yellow"/>
              </w:rPr>
            </w:pPr>
            <w:r w:rsidRPr="00912E5D">
              <w:rPr>
                <w:rFonts w:ascii="Franklin Gothic Medium" w:hAnsi="Franklin Gothic Medium" w:cs="Franklin Gothic Medium"/>
                <w:color w:val="000000"/>
                <w:sz w:val="22"/>
                <w:szCs w:val="22"/>
                <w:highlight w:val="yellow"/>
              </w:rPr>
              <w:t>The primary interest of the implementation is not profit, it shows indirect (economic) benefits for the region, which, however, cannot serve for the repayment of the original amount of investment - use of financial instruments is not suitable.</w:t>
            </w:r>
          </w:p>
        </w:tc>
        <w:tc>
          <w:tcPr>
            <w:tcW w:w="397" w:type="pct"/>
            <w:tcBorders>
              <w:top w:val="single" w:sz="6" w:space="0" w:color="auto"/>
              <w:left w:val="single" w:sz="6" w:space="0" w:color="auto"/>
              <w:bottom w:val="single" w:sz="6" w:space="0" w:color="auto"/>
              <w:right w:val="single" w:sz="6" w:space="0" w:color="auto"/>
            </w:tcBorders>
            <w:vAlign w:val="center"/>
          </w:tcPr>
          <w:p w:rsidR="00065632" w:rsidRPr="00912E5D" w:rsidRDefault="00065632" w:rsidP="00912E5D">
            <w:pPr>
              <w:autoSpaceDE w:val="0"/>
              <w:autoSpaceDN w:val="0"/>
              <w:adjustRightInd w:val="0"/>
              <w:jc w:val="center"/>
              <w:rPr>
                <w:rFonts w:ascii="Franklin Gothic Medium" w:hAnsi="Franklin Gothic Medium" w:cs="Franklin Gothic Medium"/>
                <w:color w:val="000000"/>
                <w:sz w:val="22"/>
                <w:szCs w:val="22"/>
                <w:highlight w:val="yellow"/>
              </w:rPr>
            </w:pPr>
            <w:r w:rsidRPr="00912E5D">
              <w:rPr>
                <w:rFonts w:ascii="Franklin Gothic Medium" w:hAnsi="Franklin Gothic Medium" w:cs="Franklin Gothic Medium"/>
                <w:color w:val="000000"/>
                <w:sz w:val="22"/>
                <w:szCs w:val="22"/>
                <w:highlight w:val="yellow"/>
              </w:rPr>
              <w:t>N/A</w:t>
            </w:r>
          </w:p>
        </w:tc>
      </w:tr>
      <w:tr w:rsidR="00065632" w:rsidRPr="00912E5D" w:rsidTr="00560258">
        <w:tc>
          <w:tcPr>
            <w:tcW w:w="204" w:type="pct"/>
            <w:tcBorders>
              <w:top w:val="single" w:sz="6" w:space="0" w:color="auto"/>
              <w:left w:val="single" w:sz="6" w:space="0" w:color="auto"/>
              <w:bottom w:val="single" w:sz="6" w:space="0" w:color="auto"/>
              <w:right w:val="single" w:sz="6" w:space="0" w:color="auto"/>
            </w:tcBorders>
            <w:vAlign w:val="center"/>
          </w:tcPr>
          <w:p w:rsidR="00065632" w:rsidRPr="00912E5D" w:rsidRDefault="00065632" w:rsidP="00912E5D">
            <w:pPr>
              <w:autoSpaceDE w:val="0"/>
              <w:autoSpaceDN w:val="0"/>
              <w:adjustRightInd w:val="0"/>
              <w:rPr>
                <w:rFonts w:ascii="Franklin Gothic Medium" w:hAnsi="Franklin Gothic Medium" w:cs="Franklin Gothic Medium"/>
                <w:color w:val="000000"/>
                <w:sz w:val="22"/>
                <w:szCs w:val="22"/>
                <w:highlight w:val="yellow"/>
              </w:rPr>
            </w:pPr>
            <w:r w:rsidRPr="00912E5D">
              <w:rPr>
                <w:rFonts w:ascii="Franklin Gothic Medium" w:hAnsi="Franklin Gothic Medium" w:cs="Franklin Gothic Medium"/>
                <w:color w:val="000000"/>
                <w:sz w:val="22"/>
                <w:szCs w:val="22"/>
                <w:highlight w:val="yellow"/>
              </w:rPr>
              <w:t>SO 2.5.1</w:t>
            </w:r>
          </w:p>
        </w:tc>
        <w:tc>
          <w:tcPr>
            <w:tcW w:w="2208" w:type="pct"/>
            <w:tcBorders>
              <w:top w:val="single" w:sz="6" w:space="0" w:color="auto"/>
              <w:left w:val="single" w:sz="6" w:space="0" w:color="auto"/>
              <w:bottom w:val="single" w:sz="6" w:space="0" w:color="auto"/>
              <w:right w:val="single" w:sz="6" w:space="0" w:color="auto"/>
            </w:tcBorders>
            <w:vAlign w:val="center"/>
          </w:tcPr>
          <w:p w:rsidR="00065632" w:rsidRPr="00912E5D" w:rsidRDefault="00065632" w:rsidP="00912E5D">
            <w:pPr>
              <w:autoSpaceDE w:val="0"/>
              <w:autoSpaceDN w:val="0"/>
              <w:adjustRightInd w:val="0"/>
              <w:spacing w:line="288" w:lineRule="exact"/>
              <w:ind w:right="36"/>
              <w:rPr>
                <w:rFonts w:ascii="Franklin Gothic Medium" w:hAnsi="Franklin Gothic Medium" w:cs="Franklin Gothic Medium"/>
                <w:color w:val="000000"/>
                <w:sz w:val="22"/>
                <w:szCs w:val="22"/>
                <w:highlight w:val="yellow"/>
              </w:rPr>
            </w:pPr>
            <w:r w:rsidRPr="00912E5D">
              <w:rPr>
                <w:rFonts w:ascii="Franklin Gothic Medium" w:hAnsi="Franklin Gothic Medium" w:cs="Franklin Gothic Medium"/>
                <w:color w:val="000000"/>
                <w:sz w:val="22"/>
                <w:szCs w:val="22"/>
                <w:highlight w:val="yellow"/>
              </w:rPr>
              <w:t xml:space="preserve">Thermal insulation of the external walls, wall, roof ceiling and floor constructions, replacement and reconstruction of windows and doors. Also, elements of passive heating and cooling, shading and installation of controlled ventilation with recovery of </w:t>
            </w:r>
            <w:r w:rsidRPr="00912E5D">
              <w:rPr>
                <w:rFonts w:ascii="Franklin Gothic Medium" w:hAnsi="Franklin Gothic Medium" w:cs="Franklin Gothic Medium"/>
                <w:color w:val="000000"/>
                <w:sz w:val="22"/>
                <w:szCs w:val="22"/>
                <w:highlight w:val="yellow"/>
              </w:rPr>
              <w:lastRenderedPageBreak/>
              <w:t>exhaust air will be supported. In the area of equipment for heating or preparation of hot water, supported will be replacement of a heat source of a residential house for heating using solid or liquid fossil fuels for efficient environmentally friendly sources; in buildings connected to DHS, to support, in addition to a comprehensive thermal insulation of a building, replacement of a delivery station including regulation or modernisation of the overall building heating system; replacement of heat source for preparation of hot water using solid of liquid fossil fuels for efficient, environmentally friendly sources. Likewise, acquisition of natural gas condensing boilers or equipment for combined production of electricity and heat using renewable resources or natural gas and covering primary energy needs of buildings where they are located. For the same purpose, replacement of heat and water distribution systems and installation of measuring systems and heating system regulation will be supported.</w:t>
            </w:r>
          </w:p>
        </w:tc>
        <w:tc>
          <w:tcPr>
            <w:tcW w:w="459" w:type="pct"/>
            <w:tcBorders>
              <w:top w:val="single" w:sz="6" w:space="0" w:color="auto"/>
              <w:left w:val="single" w:sz="6" w:space="0" w:color="auto"/>
              <w:bottom w:val="single" w:sz="6" w:space="0" w:color="auto"/>
              <w:right w:val="single" w:sz="6" w:space="0" w:color="auto"/>
            </w:tcBorders>
            <w:vAlign w:val="center"/>
          </w:tcPr>
          <w:p w:rsidR="00065632" w:rsidRPr="00912E5D" w:rsidRDefault="00065632" w:rsidP="00912E5D">
            <w:pPr>
              <w:autoSpaceDE w:val="0"/>
              <w:autoSpaceDN w:val="0"/>
              <w:adjustRightInd w:val="0"/>
              <w:ind w:left="774"/>
              <w:rPr>
                <w:rFonts w:ascii="Franklin Gothic Medium" w:hAnsi="Franklin Gothic Medium" w:cs="Franklin Gothic Medium"/>
                <w:color w:val="000000"/>
                <w:sz w:val="22"/>
                <w:szCs w:val="22"/>
                <w:highlight w:val="yellow"/>
              </w:rPr>
            </w:pPr>
            <w:r w:rsidRPr="00912E5D">
              <w:rPr>
                <w:rFonts w:ascii="Franklin Gothic Medium" w:hAnsi="Franklin Gothic Medium" w:cs="Franklin Gothic Medium"/>
                <w:color w:val="000000"/>
                <w:sz w:val="22"/>
                <w:szCs w:val="22"/>
                <w:highlight w:val="yellow"/>
              </w:rPr>
              <w:lastRenderedPageBreak/>
              <w:t>4.35</w:t>
            </w:r>
          </w:p>
        </w:tc>
        <w:tc>
          <w:tcPr>
            <w:tcW w:w="459" w:type="pct"/>
            <w:tcBorders>
              <w:top w:val="single" w:sz="6" w:space="0" w:color="auto"/>
              <w:left w:val="single" w:sz="6" w:space="0" w:color="auto"/>
              <w:bottom w:val="single" w:sz="6" w:space="0" w:color="auto"/>
              <w:right w:val="single" w:sz="6" w:space="0" w:color="auto"/>
            </w:tcBorders>
            <w:vAlign w:val="center"/>
          </w:tcPr>
          <w:p w:rsidR="00065632" w:rsidRPr="00912E5D" w:rsidRDefault="00065632" w:rsidP="00912E5D">
            <w:pPr>
              <w:autoSpaceDE w:val="0"/>
              <w:autoSpaceDN w:val="0"/>
              <w:adjustRightInd w:val="0"/>
              <w:ind w:left="774"/>
              <w:rPr>
                <w:rFonts w:ascii="Franklin Gothic Medium" w:hAnsi="Franklin Gothic Medium" w:cs="Franklin Gothic Medium"/>
                <w:color w:val="000000"/>
                <w:sz w:val="22"/>
                <w:szCs w:val="22"/>
                <w:highlight w:val="yellow"/>
              </w:rPr>
            </w:pPr>
            <w:r w:rsidRPr="00912E5D">
              <w:rPr>
                <w:rFonts w:ascii="Franklin Gothic Medium" w:hAnsi="Franklin Gothic Medium" w:cs="Franklin Gothic Medium"/>
                <w:color w:val="000000"/>
                <w:sz w:val="22"/>
                <w:szCs w:val="22"/>
                <w:highlight w:val="yellow"/>
              </w:rPr>
              <w:t>4.65</w:t>
            </w:r>
          </w:p>
        </w:tc>
        <w:tc>
          <w:tcPr>
            <w:tcW w:w="459" w:type="pct"/>
            <w:tcBorders>
              <w:top w:val="single" w:sz="6" w:space="0" w:color="auto"/>
              <w:left w:val="single" w:sz="6" w:space="0" w:color="auto"/>
              <w:bottom w:val="single" w:sz="6" w:space="0" w:color="auto"/>
              <w:right w:val="single" w:sz="6" w:space="0" w:color="auto"/>
            </w:tcBorders>
            <w:vAlign w:val="center"/>
          </w:tcPr>
          <w:p w:rsidR="00065632" w:rsidRPr="00912E5D" w:rsidRDefault="00065632" w:rsidP="00912E5D">
            <w:pPr>
              <w:autoSpaceDE w:val="0"/>
              <w:autoSpaceDN w:val="0"/>
              <w:adjustRightInd w:val="0"/>
              <w:ind w:left="774"/>
              <w:rPr>
                <w:rFonts w:ascii="Franklin Gothic Medium" w:hAnsi="Franklin Gothic Medium" w:cs="Franklin Gothic Medium"/>
                <w:color w:val="000000"/>
                <w:sz w:val="22"/>
                <w:szCs w:val="22"/>
                <w:highlight w:val="yellow"/>
              </w:rPr>
            </w:pPr>
            <w:r w:rsidRPr="00912E5D">
              <w:rPr>
                <w:rFonts w:ascii="Franklin Gothic Medium" w:hAnsi="Franklin Gothic Medium" w:cs="Franklin Gothic Medium"/>
                <w:color w:val="000000"/>
                <w:sz w:val="22"/>
                <w:szCs w:val="22"/>
                <w:highlight w:val="yellow"/>
              </w:rPr>
              <w:t>3.94</w:t>
            </w:r>
          </w:p>
        </w:tc>
        <w:tc>
          <w:tcPr>
            <w:tcW w:w="813" w:type="pct"/>
            <w:tcBorders>
              <w:top w:val="single" w:sz="6" w:space="0" w:color="auto"/>
              <w:left w:val="single" w:sz="6" w:space="0" w:color="auto"/>
              <w:bottom w:val="single" w:sz="6" w:space="0" w:color="auto"/>
              <w:right w:val="single" w:sz="6" w:space="0" w:color="auto"/>
            </w:tcBorders>
            <w:vAlign w:val="center"/>
          </w:tcPr>
          <w:p w:rsidR="00065632" w:rsidRPr="00912E5D" w:rsidRDefault="00065632" w:rsidP="00912E5D">
            <w:pPr>
              <w:autoSpaceDE w:val="0"/>
              <w:autoSpaceDN w:val="0"/>
              <w:adjustRightInd w:val="0"/>
              <w:spacing w:line="288" w:lineRule="exact"/>
              <w:ind w:left="18" w:hanging="18"/>
              <w:rPr>
                <w:rFonts w:ascii="Franklin Gothic Medium" w:hAnsi="Franklin Gothic Medium" w:cs="Franklin Gothic Medium"/>
                <w:color w:val="000000"/>
                <w:sz w:val="22"/>
                <w:szCs w:val="22"/>
                <w:highlight w:val="yellow"/>
              </w:rPr>
            </w:pPr>
            <w:r w:rsidRPr="00912E5D">
              <w:rPr>
                <w:rFonts w:ascii="Franklin Gothic Medium" w:hAnsi="Franklin Gothic Medium" w:cs="Franklin Gothic Medium"/>
                <w:color w:val="000000"/>
                <w:sz w:val="22"/>
                <w:szCs w:val="22"/>
                <w:highlight w:val="yellow"/>
              </w:rPr>
              <w:t xml:space="preserve">It shows suitable attributes for involvement of financial instruments - </w:t>
            </w:r>
            <w:r w:rsidRPr="00912E5D">
              <w:rPr>
                <w:rFonts w:ascii="Franklin Gothic Medium" w:hAnsi="Franklin Gothic Medium" w:cs="Franklin Gothic Medium"/>
                <w:color w:val="000000"/>
                <w:sz w:val="22"/>
                <w:szCs w:val="22"/>
                <w:highlight w:val="yellow"/>
              </w:rPr>
              <w:lastRenderedPageBreak/>
              <w:t>recommended for further analysis.</w:t>
            </w:r>
          </w:p>
        </w:tc>
        <w:tc>
          <w:tcPr>
            <w:tcW w:w="397" w:type="pct"/>
            <w:tcBorders>
              <w:top w:val="single" w:sz="6" w:space="0" w:color="auto"/>
              <w:left w:val="single" w:sz="6" w:space="0" w:color="auto"/>
              <w:bottom w:val="single" w:sz="6" w:space="0" w:color="auto"/>
              <w:right w:val="single" w:sz="6" w:space="0" w:color="auto"/>
            </w:tcBorders>
            <w:vAlign w:val="center"/>
          </w:tcPr>
          <w:p w:rsidR="00065632" w:rsidRPr="00912E5D" w:rsidRDefault="00065632" w:rsidP="00912E5D">
            <w:pPr>
              <w:autoSpaceDE w:val="0"/>
              <w:autoSpaceDN w:val="0"/>
              <w:adjustRightInd w:val="0"/>
              <w:jc w:val="center"/>
              <w:rPr>
                <w:rFonts w:ascii="Franklin Gothic Medium" w:hAnsi="Franklin Gothic Medium" w:cs="Franklin Gothic Medium"/>
                <w:color w:val="000000"/>
                <w:sz w:val="22"/>
                <w:szCs w:val="22"/>
                <w:highlight w:val="yellow"/>
              </w:rPr>
            </w:pPr>
            <w:r w:rsidRPr="00912E5D">
              <w:rPr>
                <w:rFonts w:ascii="Franklin Gothic Medium" w:hAnsi="Franklin Gothic Medium" w:cs="Franklin Gothic Medium"/>
                <w:color w:val="000000"/>
                <w:sz w:val="22"/>
                <w:szCs w:val="22"/>
                <w:highlight w:val="yellow"/>
              </w:rPr>
              <w:lastRenderedPageBreak/>
              <w:t>Loan-based</w:t>
            </w:r>
          </w:p>
        </w:tc>
      </w:tr>
      <w:tr w:rsidR="00065632" w:rsidRPr="0057251F" w:rsidTr="00560258">
        <w:tc>
          <w:tcPr>
            <w:tcW w:w="204" w:type="pct"/>
            <w:tcBorders>
              <w:top w:val="single" w:sz="6" w:space="0" w:color="auto"/>
              <w:left w:val="single" w:sz="6" w:space="0" w:color="auto"/>
              <w:bottom w:val="single" w:sz="6" w:space="0" w:color="auto"/>
              <w:right w:val="single" w:sz="6" w:space="0" w:color="auto"/>
            </w:tcBorders>
            <w:vAlign w:val="center"/>
          </w:tcPr>
          <w:p w:rsidR="00065632" w:rsidRPr="00912E5D" w:rsidRDefault="00065632" w:rsidP="00912E5D">
            <w:pPr>
              <w:autoSpaceDE w:val="0"/>
              <w:autoSpaceDN w:val="0"/>
              <w:adjustRightInd w:val="0"/>
              <w:rPr>
                <w:rFonts w:ascii="Franklin Gothic Medium" w:hAnsi="Franklin Gothic Medium" w:cs="Franklin Gothic Medium"/>
                <w:color w:val="000000"/>
                <w:sz w:val="22"/>
                <w:szCs w:val="22"/>
                <w:highlight w:val="yellow"/>
              </w:rPr>
            </w:pPr>
            <w:r w:rsidRPr="00912E5D">
              <w:rPr>
                <w:rFonts w:ascii="Franklin Gothic Medium" w:hAnsi="Franklin Gothic Medium" w:cs="Franklin Gothic Medium"/>
                <w:color w:val="000000"/>
                <w:sz w:val="22"/>
                <w:szCs w:val="22"/>
                <w:highlight w:val="yellow"/>
              </w:rPr>
              <w:lastRenderedPageBreak/>
              <w:t>SO 1.1.3</w:t>
            </w:r>
          </w:p>
        </w:tc>
        <w:tc>
          <w:tcPr>
            <w:tcW w:w="2208" w:type="pct"/>
            <w:tcBorders>
              <w:top w:val="single" w:sz="6" w:space="0" w:color="auto"/>
              <w:left w:val="single" w:sz="6" w:space="0" w:color="auto"/>
              <w:bottom w:val="single" w:sz="6" w:space="0" w:color="auto"/>
              <w:right w:val="single" w:sz="6" w:space="0" w:color="auto"/>
            </w:tcBorders>
            <w:vAlign w:val="center"/>
          </w:tcPr>
          <w:p w:rsidR="00065632" w:rsidRPr="00912E5D" w:rsidRDefault="00065632" w:rsidP="00912E5D">
            <w:pPr>
              <w:autoSpaceDE w:val="0"/>
              <w:autoSpaceDN w:val="0"/>
              <w:adjustRightInd w:val="0"/>
              <w:spacing w:line="288" w:lineRule="exact"/>
              <w:ind w:right="18"/>
              <w:rPr>
                <w:rFonts w:ascii="Franklin Gothic Medium" w:hAnsi="Franklin Gothic Medium" w:cs="Franklin Gothic Medium"/>
                <w:color w:val="000000"/>
                <w:sz w:val="22"/>
                <w:szCs w:val="22"/>
                <w:highlight w:val="yellow"/>
              </w:rPr>
            </w:pPr>
            <w:r w:rsidRPr="00912E5D">
              <w:rPr>
                <w:rFonts w:ascii="Franklin Gothic Medium" w:hAnsi="Franklin Gothic Medium" w:cs="Franklin Gothic Medium"/>
                <w:color w:val="000000"/>
                <w:sz w:val="22"/>
                <w:szCs w:val="22"/>
                <w:highlight w:val="yellow"/>
              </w:rPr>
              <w:t xml:space="preserve">Revitalisation of selected immovable national cultural monuments, monuments inscribed on the UNESCO List of World Cultural and Natural Heritage and on the List of Candidates for Inscription on the UNESCO List of World Cultural and Natural Heritage. Revitalisation of cultural monuments in rural and urban conservation zones. Public infrastructure for making cultural and natural heritage accessible and more attractive. Revitalisation and making more attractive of parks and gardens by natural cultural monuments. To enhance protection, conservation, digitalisation, accessibility and use of cultural heritage, projects will be supported improving conditions for </w:t>
            </w:r>
            <w:r w:rsidRPr="00912E5D">
              <w:rPr>
                <w:rFonts w:ascii="Franklin Gothic Medium" w:hAnsi="Franklin Gothic Medium" w:cs="Franklin Gothic Medium"/>
                <w:color w:val="000000"/>
                <w:sz w:val="22"/>
                <w:szCs w:val="22"/>
                <w:highlight w:val="yellow"/>
              </w:rPr>
              <w:lastRenderedPageBreak/>
              <w:t xml:space="preserve">conservation and streamlining of management of collections, </w:t>
            </w:r>
            <w:proofErr w:type="spellStart"/>
            <w:r w:rsidRPr="00912E5D">
              <w:rPr>
                <w:rFonts w:ascii="Franklin Gothic Medium" w:hAnsi="Franklin Gothic Medium" w:cs="Franklin Gothic Medium"/>
                <w:color w:val="000000"/>
                <w:sz w:val="22"/>
                <w:szCs w:val="22"/>
                <w:highlight w:val="yellow"/>
              </w:rPr>
              <w:t>mobiliary</w:t>
            </w:r>
            <w:proofErr w:type="spellEnd"/>
            <w:r w:rsidRPr="00912E5D">
              <w:rPr>
                <w:rFonts w:ascii="Franklin Gothic Medium" w:hAnsi="Franklin Gothic Medium" w:cs="Franklin Gothic Medium"/>
                <w:color w:val="000000"/>
                <w:sz w:val="22"/>
                <w:szCs w:val="22"/>
                <w:highlight w:val="yellow"/>
              </w:rPr>
              <w:t xml:space="preserve"> and library funds, and projects which make accessible collections, </w:t>
            </w:r>
            <w:proofErr w:type="spellStart"/>
            <w:r w:rsidRPr="00912E5D">
              <w:rPr>
                <w:rFonts w:ascii="Franklin Gothic Medium" w:hAnsi="Franklin Gothic Medium" w:cs="Franklin Gothic Medium"/>
                <w:color w:val="000000"/>
                <w:sz w:val="22"/>
                <w:szCs w:val="22"/>
                <w:highlight w:val="yellow"/>
              </w:rPr>
              <w:t>mobiliary</w:t>
            </w:r>
            <w:proofErr w:type="spellEnd"/>
            <w:r w:rsidRPr="00912E5D">
              <w:rPr>
                <w:rFonts w:ascii="Franklin Gothic Medium" w:hAnsi="Franklin Gothic Medium" w:cs="Franklin Gothic Medium"/>
                <w:color w:val="000000"/>
                <w:sz w:val="22"/>
                <w:szCs w:val="22"/>
                <w:highlight w:val="yellow"/>
              </w:rPr>
              <w:t xml:space="preserve"> and library funds for the public and for the cultural and creative industries.</w:t>
            </w:r>
          </w:p>
        </w:tc>
        <w:tc>
          <w:tcPr>
            <w:tcW w:w="459" w:type="pct"/>
            <w:tcBorders>
              <w:top w:val="single" w:sz="6" w:space="0" w:color="auto"/>
              <w:left w:val="single" w:sz="6" w:space="0" w:color="auto"/>
              <w:bottom w:val="single" w:sz="6" w:space="0" w:color="auto"/>
              <w:right w:val="single" w:sz="6" w:space="0" w:color="auto"/>
            </w:tcBorders>
            <w:vAlign w:val="center"/>
          </w:tcPr>
          <w:p w:rsidR="00065632" w:rsidRPr="00912E5D" w:rsidRDefault="00065632" w:rsidP="00912E5D">
            <w:pPr>
              <w:autoSpaceDE w:val="0"/>
              <w:autoSpaceDN w:val="0"/>
              <w:adjustRightInd w:val="0"/>
              <w:ind w:left="774"/>
              <w:rPr>
                <w:rFonts w:ascii="Franklin Gothic Medium" w:hAnsi="Franklin Gothic Medium" w:cs="Franklin Gothic Medium"/>
                <w:color w:val="000000"/>
                <w:sz w:val="22"/>
                <w:szCs w:val="22"/>
                <w:highlight w:val="yellow"/>
              </w:rPr>
            </w:pPr>
            <w:r w:rsidRPr="00912E5D">
              <w:rPr>
                <w:rFonts w:ascii="Franklin Gothic Medium" w:hAnsi="Franklin Gothic Medium" w:cs="Franklin Gothic Medium"/>
                <w:color w:val="000000"/>
                <w:sz w:val="22"/>
                <w:szCs w:val="22"/>
                <w:highlight w:val="yellow"/>
              </w:rPr>
              <w:lastRenderedPageBreak/>
              <w:t>2.94</w:t>
            </w:r>
          </w:p>
        </w:tc>
        <w:tc>
          <w:tcPr>
            <w:tcW w:w="459" w:type="pct"/>
            <w:tcBorders>
              <w:top w:val="single" w:sz="6" w:space="0" w:color="auto"/>
              <w:left w:val="single" w:sz="6" w:space="0" w:color="auto"/>
              <w:bottom w:val="single" w:sz="6" w:space="0" w:color="auto"/>
              <w:right w:val="single" w:sz="6" w:space="0" w:color="auto"/>
            </w:tcBorders>
            <w:vAlign w:val="center"/>
          </w:tcPr>
          <w:p w:rsidR="00065632" w:rsidRPr="00912E5D" w:rsidRDefault="00065632" w:rsidP="00912E5D">
            <w:pPr>
              <w:autoSpaceDE w:val="0"/>
              <w:autoSpaceDN w:val="0"/>
              <w:adjustRightInd w:val="0"/>
              <w:ind w:left="774"/>
              <w:rPr>
                <w:rFonts w:ascii="Franklin Gothic Medium" w:hAnsi="Franklin Gothic Medium" w:cs="Franklin Gothic Medium"/>
                <w:color w:val="000000"/>
                <w:sz w:val="22"/>
                <w:szCs w:val="22"/>
                <w:highlight w:val="yellow"/>
              </w:rPr>
            </w:pPr>
            <w:r w:rsidRPr="00912E5D">
              <w:rPr>
                <w:rFonts w:ascii="Franklin Gothic Medium" w:hAnsi="Franklin Gothic Medium" w:cs="Franklin Gothic Medium"/>
                <w:color w:val="000000"/>
                <w:sz w:val="22"/>
                <w:szCs w:val="22"/>
                <w:highlight w:val="yellow"/>
              </w:rPr>
              <w:t>3.10</w:t>
            </w:r>
          </w:p>
        </w:tc>
        <w:tc>
          <w:tcPr>
            <w:tcW w:w="459" w:type="pct"/>
            <w:tcBorders>
              <w:top w:val="single" w:sz="6" w:space="0" w:color="auto"/>
              <w:left w:val="single" w:sz="6" w:space="0" w:color="auto"/>
              <w:bottom w:val="single" w:sz="6" w:space="0" w:color="auto"/>
              <w:right w:val="single" w:sz="6" w:space="0" w:color="auto"/>
            </w:tcBorders>
            <w:vAlign w:val="center"/>
          </w:tcPr>
          <w:p w:rsidR="00065632" w:rsidRPr="00912E5D" w:rsidRDefault="00065632" w:rsidP="00912E5D">
            <w:pPr>
              <w:autoSpaceDE w:val="0"/>
              <w:autoSpaceDN w:val="0"/>
              <w:adjustRightInd w:val="0"/>
              <w:ind w:left="774"/>
              <w:rPr>
                <w:rFonts w:ascii="Franklin Gothic Medium" w:hAnsi="Franklin Gothic Medium" w:cs="Franklin Gothic Medium"/>
                <w:color w:val="000000"/>
                <w:sz w:val="22"/>
                <w:szCs w:val="22"/>
                <w:highlight w:val="yellow"/>
              </w:rPr>
            </w:pPr>
            <w:r w:rsidRPr="00912E5D">
              <w:rPr>
                <w:rFonts w:ascii="Franklin Gothic Medium" w:hAnsi="Franklin Gothic Medium" w:cs="Franklin Gothic Medium"/>
                <w:color w:val="000000"/>
                <w:sz w:val="22"/>
                <w:szCs w:val="22"/>
                <w:highlight w:val="yellow"/>
              </w:rPr>
              <w:t>3.52</w:t>
            </w:r>
          </w:p>
        </w:tc>
        <w:tc>
          <w:tcPr>
            <w:tcW w:w="813" w:type="pct"/>
            <w:tcBorders>
              <w:top w:val="single" w:sz="6" w:space="0" w:color="auto"/>
              <w:left w:val="single" w:sz="6" w:space="0" w:color="auto"/>
              <w:bottom w:val="single" w:sz="6" w:space="0" w:color="auto"/>
              <w:right w:val="single" w:sz="6" w:space="0" w:color="auto"/>
            </w:tcBorders>
            <w:vAlign w:val="center"/>
          </w:tcPr>
          <w:p w:rsidR="00065632" w:rsidRPr="00912E5D" w:rsidRDefault="00065632" w:rsidP="00912E5D">
            <w:pPr>
              <w:autoSpaceDE w:val="0"/>
              <w:autoSpaceDN w:val="0"/>
              <w:adjustRightInd w:val="0"/>
              <w:spacing w:line="288" w:lineRule="exact"/>
              <w:rPr>
                <w:rFonts w:ascii="Franklin Gothic Medium" w:hAnsi="Franklin Gothic Medium" w:cs="Franklin Gothic Medium"/>
                <w:color w:val="000000"/>
                <w:sz w:val="22"/>
                <w:szCs w:val="22"/>
                <w:highlight w:val="yellow"/>
              </w:rPr>
            </w:pPr>
            <w:r w:rsidRPr="00912E5D">
              <w:rPr>
                <w:rFonts w:ascii="Tahoma" w:hAnsi="Tahoma" w:cs="Tahoma"/>
                <w:color w:val="000000"/>
                <w:highlight w:val="yellow"/>
              </w:rPr>
              <w:t>The primary interest of the implementation is not profit, it shows indirect (economic) benefits for the region, which, however, cannot serve for the repayment of the original amount of investment - use of financial instruments is not suitable.</w:t>
            </w:r>
          </w:p>
        </w:tc>
        <w:tc>
          <w:tcPr>
            <w:tcW w:w="397" w:type="pct"/>
            <w:tcBorders>
              <w:top w:val="single" w:sz="6" w:space="0" w:color="auto"/>
              <w:left w:val="single" w:sz="6" w:space="0" w:color="auto"/>
              <w:bottom w:val="single" w:sz="6" w:space="0" w:color="auto"/>
              <w:right w:val="single" w:sz="6" w:space="0" w:color="auto"/>
            </w:tcBorders>
            <w:vAlign w:val="center"/>
          </w:tcPr>
          <w:p w:rsidR="00065632" w:rsidRPr="0057251F" w:rsidRDefault="00065632" w:rsidP="00912E5D">
            <w:pPr>
              <w:autoSpaceDE w:val="0"/>
              <w:autoSpaceDN w:val="0"/>
              <w:adjustRightInd w:val="0"/>
              <w:jc w:val="center"/>
              <w:rPr>
                <w:rFonts w:ascii="Franklin Gothic Medium" w:hAnsi="Franklin Gothic Medium" w:cs="Franklin Gothic Medium"/>
                <w:color w:val="000000"/>
                <w:sz w:val="22"/>
                <w:szCs w:val="22"/>
              </w:rPr>
            </w:pPr>
            <w:r w:rsidRPr="00912E5D">
              <w:rPr>
                <w:rFonts w:ascii="Franklin Gothic Medium" w:hAnsi="Franklin Gothic Medium" w:cs="Franklin Gothic Medium"/>
                <w:color w:val="000000"/>
                <w:sz w:val="22"/>
                <w:szCs w:val="22"/>
                <w:highlight w:val="yellow"/>
              </w:rPr>
              <w:t>N/A</w:t>
            </w:r>
          </w:p>
        </w:tc>
      </w:tr>
    </w:tbl>
    <w:p w:rsidR="00065632" w:rsidRDefault="00065632" w:rsidP="00912E5D"/>
    <w:tbl>
      <w:tblPr>
        <w:tblW w:w="0" w:type="auto"/>
        <w:tblCellMar>
          <w:left w:w="40" w:type="dxa"/>
          <w:right w:w="40" w:type="dxa"/>
        </w:tblCellMar>
        <w:tblLook w:val="0000" w:firstRow="0" w:lastRow="0" w:firstColumn="0" w:lastColumn="0" w:noHBand="0" w:noVBand="0"/>
      </w:tblPr>
      <w:tblGrid>
        <w:gridCol w:w="586"/>
        <w:gridCol w:w="5920"/>
        <w:gridCol w:w="1271"/>
        <w:gridCol w:w="1292"/>
        <w:gridCol w:w="1135"/>
        <w:gridCol w:w="2617"/>
        <w:gridCol w:w="1261"/>
      </w:tblGrid>
      <w:tr w:rsidR="00065632" w:rsidRPr="00912E5D" w:rsidTr="00560258">
        <w:tc>
          <w:tcPr>
            <w:tcW w:w="0" w:type="auto"/>
            <w:tcBorders>
              <w:top w:val="nil"/>
              <w:left w:val="nil"/>
              <w:bottom w:val="single" w:sz="6" w:space="0" w:color="auto"/>
              <w:right w:val="nil"/>
            </w:tcBorders>
            <w:shd w:val="clear" w:color="auto" w:fill="0059C4"/>
          </w:tcPr>
          <w:p w:rsidR="00065632" w:rsidRPr="0057251F" w:rsidRDefault="00065632" w:rsidP="00912E5D">
            <w:pPr>
              <w:autoSpaceDE w:val="0"/>
              <w:autoSpaceDN w:val="0"/>
              <w:adjustRightInd w:val="0"/>
              <w:spacing w:line="288" w:lineRule="exact"/>
              <w:ind w:left="396"/>
              <w:rPr>
                <w:rFonts w:ascii="Franklin Gothic Medium" w:hAnsi="Franklin Gothic Medium" w:cs="Franklin Gothic Medium"/>
                <w:color w:val="FFFFFF"/>
                <w:position w:val="3"/>
                <w:sz w:val="22"/>
                <w:szCs w:val="22"/>
              </w:rPr>
            </w:pPr>
          </w:p>
        </w:tc>
        <w:tc>
          <w:tcPr>
            <w:tcW w:w="0" w:type="auto"/>
            <w:tcBorders>
              <w:top w:val="nil"/>
              <w:left w:val="nil"/>
              <w:bottom w:val="nil"/>
              <w:right w:val="nil"/>
            </w:tcBorders>
            <w:shd w:val="clear" w:color="auto" w:fill="0059C4"/>
          </w:tcPr>
          <w:p w:rsidR="00065632" w:rsidRPr="00912E5D" w:rsidRDefault="00065632" w:rsidP="00912E5D">
            <w:pPr>
              <w:autoSpaceDE w:val="0"/>
              <w:autoSpaceDN w:val="0"/>
              <w:adjustRightInd w:val="0"/>
              <w:ind w:left="3852"/>
              <w:rPr>
                <w:rFonts w:ascii="Franklin Gothic Medium" w:hAnsi="Franklin Gothic Medium" w:cs="Franklin Gothic Medium"/>
                <w:b/>
                <w:bCs/>
                <w:color w:val="FFFFFF"/>
                <w:sz w:val="22"/>
                <w:szCs w:val="22"/>
                <w:highlight w:val="yellow"/>
              </w:rPr>
            </w:pPr>
            <w:r w:rsidRPr="00912E5D">
              <w:rPr>
                <w:rFonts w:ascii="Franklin Gothic Medium" w:hAnsi="Franklin Gothic Medium" w:cs="Franklin Gothic Medium"/>
                <w:highlight w:val="yellow"/>
              </w:rPr>
              <w:t>Group of supported activities</w:t>
            </w:r>
          </w:p>
        </w:tc>
        <w:tc>
          <w:tcPr>
            <w:tcW w:w="0" w:type="auto"/>
            <w:tcBorders>
              <w:top w:val="nil"/>
              <w:left w:val="nil"/>
              <w:bottom w:val="nil"/>
              <w:right w:val="nil"/>
            </w:tcBorders>
            <w:shd w:val="clear" w:color="auto" w:fill="0059C4"/>
            <w:vAlign w:val="center"/>
          </w:tcPr>
          <w:p w:rsidR="00065632" w:rsidRPr="00912E5D" w:rsidRDefault="00065632" w:rsidP="00912E5D">
            <w:pPr>
              <w:autoSpaceDE w:val="0"/>
              <w:autoSpaceDN w:val="0"/>
              <w:adjustRightInd w:val="0"/>
              <w:rPr>
                <w:rFonts w:ascii="Franklin Gothic Medium" w:hAnsi="Franklin Gothic Medium" w:cs="Franklin Gothic Medium"/>
                <w:color w:val="BEE9F7"/>
                <w:sz w:val="22"/>
                <w:szCs w:val="22"/>
                <w:highlight w:val="yellow"/>
              </w:rPr>
            </w:pPr>
            <w:r w:rsidRPr="00912E5D">
              <w:rPr>
                <w:rFonts w:ascii="Franklin Gothic Medium" w:hAnsi="Franklin Gothic Medium" w:cs="Franklin Gothic Medium"/>
                <w:color w:val="BEE9F7"/>
                <w:sz w:val="22"/>
                <w:szCs w:val="22"/>
                <w:highlight w:val="yellow"/>
              </w:rPr>
              <w:t>Assessment by Deloitte</w:t>
            </w:r>
          </w:p>
        </w:tc>
        <w:tc>
          <w:tcPr>
            <w:tcW w:w="0" w:type="auto"/>
            <w:tcBorders>
              <w:top w:val="nil"/>
              <w:left w:val="nil"/>
              <w:bottom w:val="nil"/>
              <w:right w:val="nil"/>
            </w:tcBorders>
            <w:shd w:val="clear" w:color="auto" w:fill="0059C4"/>
          </w:tcPr>
          <w:p w:rsidR="00065632" w:rsidRPr="00912E5D" w:rsidRDefault="00065632" w:rsidP="00912E5D">
            <w:pPr>
              <w:autoSpaceDE w:val="0"/>
              <w:autoSpaceDN w:val="0"/>
              <w:adjustRightInd w:val="0"/>
              <w:rPr>
                <w:rFonts w:ascii="Franklin Gothic Medium" w:hAnsi="Franklin Gothic Medium" w:cs="Franklin Gothic Medium"/>
                <w:color w:val="BEE9F7"/>
                <w:sz w:val="22"/>
                <w:szCs w:val="22"/>
                <w:highlight w:val="yellow"/>
              </w:rPr>
            </w:pPr>
            <w:r w:rsidRPr="00912E5D">
              <w:rPr>
                <w:rFonts w:ascii="Franklin Gothic Medium" w:hAnsi="Franklin Gothic Medium" w:cs="Franklin Gothic Medium"/>
                <w:highlight w:val="yellow"/>
              </w:rPr>
              <w:t>Assessment by OP Project Management Division</w:t>
            </w:r>
          </w:p>
        </w:tc>
        <w:tc>
          <w:tcPr>
            <w:tcW w:w="0" w:type="auto"/>
            <w:tcBorders>
              <w:top w:val="nil"/>
              <w:left w:val="nil"/>
              <w:bottom w:val="nil"/>
              <w:right w:val="nil"/>
            </w:tcBorders>
            <w:shd w:val="clear" w:color="auto" w:fill="0059C4"/>
          </w:tcPr>
          <w:p w:rsidR="00065632" w:rsidRPr="00912E5D" w:rsidRDefault="00065632" w:rsidP="00912E5D">
            <w:pPr>
              <w:autoSpaceDE w:val="0"/>
              <w:autoSpaceDN w:val="0"/>
              <w:adjustRightInd w:val="0"/>
              <w:rPr>
                <w:rFonts w:ascii="Franklin Gothic Medium" w:hAnsi="Franklin Gothic Medium" w:cs="Franklin Gothic Medium"/>
                <w:b/>
                <w:bCs/>
                <w:color w:val="FFFFFF"/>
                <w:sz w:val="22"/>
                <w:szCs w:val="22"/>
                <w:highlight w:val="yellow"/>
              </w:rPr>
            </w:pPr>
            <w:r w:rsidRPr="00912E5D">
              <w:rPr>
                <w:rFonts w:ascii="Franklin Gothic Medium" w:hAnsi="Franklin Gothic Medium" w:cs="Franklin Gothic Medium"/>
                <w:highlight w:val="yellow"/>
              </w:rPr>
              <w:t>Assessment by subject experts</w:t>
            </w:r>
          </w:p>
        </w:tc>
        <w:tc>
          <w:tcPr>
            <w:tcW w:w="0" w:type="auto"/>
            <w:tcBorders>
              <w:top w:val="nil"/>
              <w:left w:val="nil"/>
              <w:bottom w:val="nil"/>
              <w:right w:val="nil"/>
            </w:tcBorders>
            <w:shd w:val="clear" w:color="auto" w:fill="0059C4"/>
          </w:tcPr>
          <w:p w:rsidR="00065632" w:rsidRPr="00912E5D" w:rsidRDefault="00065632" w:rsidP="00912E5D">
            <w:pPr>
              <w:autoSpaceDE w:val="0"/>
              <w:autoSpaceDN w:val="0"/>
              <w:adjustRightInd w:val="0"/>
              <w:ind w:left="648"/>
              <w:rPr>
                <w:rFonts w:ascii="Franklin Gothic Medium" w:hAnsi="Franklin Gothic Medium" w:cs="Franklin Gothic Medium"/>
                <w:b/>
                <w:bCs/>
                <w:color w:val="FFFFFF"/>
                <w:sz w:val="22"/>
                <w:szCs w:val="22"/>
                <w:highlight w:val="yellow"/>
              </w:rPr>
            </w:pPr>
            <w:r w:rsidRPr="00912E5D">
              <w:rPr>
                <w:rFonts w:ascii="Franklin Gothic Medium" w:hAnsi="Franklin Gothic Medium" w:cs="Franklin Gothic Medium"/>
                <w:highlight w:val="yellow"/>
              </w:rPr>
              <w:t>Assessment regarding potential</w:t>
            </w:r>
          </w:p>
        </w:tc>
        <w:tc>
          <w:tcPr>
            <w:tcW w:w="0" w:type="auto"/>
            <w:tcBorders>
              <w:top w:val="nil"/>
              <w:left w:val="nil"/>
              <w:bottom w:val="nil"/>
              <w:right w:val="nil"/>
            </w:tcBorders>
            <w:shd w:val="clear" w:color="auto" w:fill="0059C4"/>
          </w:tcPr>
          <w:p w:rsidR="00065632" w:rsidRPr="00912E5D" w:rsidRDefault="00065632" w:rsidP="00912E5D">
            <w:pPr>
              <w:autoSpaceDE w:val="0"/>
              <w:autoSpaceDN w:val="0"/>
              <w:adjustRightInd w:val="0"/>
              <w:rPr>
                <w:rFonts w:ascii="Franklin Gothic Medium" w:hAnsi="Franklin Gothic Medium" w:cs="Franklin Gothic Medium"/>
                <w:b/>
                <w:bCs/>
                <w:color w:val="FFFFFF"/>
                <w:sz w:val="22"/>
                <w:szCs w:val="22"/>
                <w:highlight w:val="yellow"/>
              </w:rPr>
            </w:pPr>
            <w:r w:rsidRPr="00912E5D">
              <w:rPr>
                <w:rFonts w:ascii="Franklin Gothic Medium" w:hAnsi="Franklin Gothic Medium" w:cs="Franklin Gothic Medium"/>
                <w:highlight w:val="yellow"/>
              </w:rPr>
              <w:t>Suitable type of fin.</w:t>
            </w:r>
            <w:r w:rsidRPr="00912E5D">
              <w:rPr>
                <w:rFonts w:ascii="Franklin Gothic Medium" w:hAnsi="Franklin Gothic Medium" w:cs="Franklin Gothic Medium"/>
                <w:color w:val="BEE9F7"/>
                <w:sz w:val="22"/>
                <w:szCs w:val="22"/>
                <w:highlight w:val="yellow"/>
              </w:rPr>
              <w:t xml:space="preserve"> </w:t>
            </w:r>
            <w:r w:rsidRPr="00912E5D">
              <w:rPr>
                <w:rFonts w:ascii="Franklin Gothic Medium" w:hAnsi="Franklin Gothic Medium" w:cs="Franklin Gothic Medium"/>
                <w:highlight w:val="yellow"/>
              </w:rPr>
              <w:t>instrument</w:t>
            </w:r>
          </w:p>
        </w:tc>
      </w:tr>
      <w:tr w:rsidR="00065632" w:rsidRPr="00912E5D" w:rsidTr="00560258">
        <w:tc>
          <w:tcPr>
            <w:tcW w:w="0" w:type="auto"/>
            <w:tcBorders>
              <w:top w:val="single" w:sz="6" w:space="0" w:color="auto"/>
              <w:left w:val="single" w:sz="6" w:space="0" w:color="auto"/>
              <w:bottom w:val="single" w:sz="6" w:space="0" w:color="auto"/>
              <w:right w:val="single" w:sz="6" w:space="0" w:color="auto"/>
            </w:tcBorders>
            <w:vAlign w:val="center"/>
          </w:tcPr>
          <w:p w:rsidR="00065632" w:rsidRPr="00912E5D" w:rsidRDefault="00065632" w:rsidP="00912E5D">
            <w:pPr>
              <w:autoSpaceDE w:val="0"/>
              <w:autoSpaceDN w:val="0"/>
              <w:adjustRightInd w:val="0"/>
              <w:rPr>
                <w:rFonts w:ascii="Franklin Gothic Medium" w:hAnsi="Franklin Gothic Medium" w:cs="Franklin Gothic Medium"/>
                <w:color w:val="000000"/>
                <w:sz w:val="22"/>
                <w:szCs w:val="22"/>
                <w:highlight w:val="yellow"/>
              </w:rPr>
            </w:pPr>
            <w:r w:rsidRPr="00912E5D">
              <w:rPr>
                <w:rFonts w:ascii="Franklin Gothic Medium" w:hAnsi="Franklin Gothic Medium" w:cs="Franklin Gothic Medium"/>
                <w:color w:val="000000"/>
                <w:sz w:val="22"/>
                <w:szCs w:val="22"/>
                <w:highlight w:val="yellow"/>
              </w:rPr>
              <w:t>SO 3.2.1</w:t>
            </w:r>
          </w:p>
        </w:tc>
        <w:tc>
          <w:tcPr>
            <w:tcW w:w="0" w:type="auto"/>
            <w:tcBorders>
              <w:top w:val="nil"/>
              <w:left w:val="single" w:sz="6" w:space="0" w:color="auto"/>
              <w:bottom w:val="single" w:sz="6" w:space="0" w:color="auto"/>
              <w:right w:val="single" w:sz="6" w:space="0" w:color="auto"/>
            </w:tcBorders>
            <w:vAlign w:val="center"/>
          </w:tcPr>
          <w:p w:rsidR="00065632" w:rsidRPr="00912E5D" w:rsidRDefault="00065632" w:rsidP="00912E5D">
            <w:pPr>
              <w:autoSpaceDE w:val="0"/>
              <w:autoSpaceDN w:val="0"/>
              <w:adjustRightInd w:val="0"/>
              <w:spacing w:line="270" w:lineRule="exact"/>
              <w:ind w:right="36" w:firstLine="18"/>
              <w:rPr>
                <w:rFonts w:ascii="Franklin Gothic Medium" w:hAnsi="Franklin Gothic Medium" w:cs="Franklin Gothic Medium"/>
                <w:color w:val="000000"/>
                <w:sz w:val="22"/>
                <w:szCs w:val="22"/>
                <w:highlight w:val="yellow"/>
              </w:rPr>
            </w:pPr>
            <w:r w:rsidRPr="00912E5D">
              <w:rPr>
                <w:rFonts w:ascii="Franklin Gothic Medium" w:hAnsi="Franklin Gothic Medium" w:cs="Franklin Gothic Medium"/>
                <w:color w:val="000000"/>
                <w:sz w:val="22"/>
                <w:szCs w:val="22"/>
                <w:highlight w:val="yellow"/>
              </w:rPr>
              <w:t xml:space="preserve">Projects in the area of </w:t>
            </w:r>
            <w:proofErr w:type="spellStart"/>
            <w:r w:rsidRPr="00912E5D">
              <w:rPr>
                <w:rFonts w:ascii="Franklin Gothic Medium" w:hAnsi="Franklin Gothic Medium" w:cs="Franklin Gothic Medium"/>
                <w:color w:val="000000"/>
                <w:sz w:val="22"/>
                <w:szCs w:val="22"/>
                <w:highlight w:val="yellow"/>
              </w:rPr>
              <w:t>eGovernment</w:t>
            </w:r>
            <w:proofErr w:type="spellEnd"/>
            <w:r w:rsidRPr="00912E5D">
              <w:rPr>
                <w:rFonts w:ascii="Franklin Gothic Medium" w:hAnsi="Franklin Gothic Medium" w:cs="Franklin Gothic Medium"/>
                <w:color w:val="000000"/>
                <w:sz w:val="22"/>
                <w:szCs w:val="22"/>
                <w:highlight w:val="yellow"/>
              </w:rPr>
              <w:t xml:space="preserve">, infrastructure and information and communication systems in public administration, to the extent of expansion, interconnection and consolidation of systems, applications and the data fund (including its publication) in the public administration, including cloud solutions. The aim is their efficient and safe use for individual agendas also on the basis of the "open data" principle, which will be based on sharing acquired data in order to make such data available to other public administration and non-public administration entities, in particular to ensure full electronic submission and computerization of agendas (e.g. </w:t>
            </w:r>
            <w:proofErr w:type="spellStart"/>
            <w:r w:rsidRPr="00912E5D">
              <w:rPr>
                <w:rFonts w:ascii="Franklin Gothic Medium" w:hAnsi="Franklin Gothic Medium" w:cs="Franklin Gothic Medium"/>
                <w:color w:val="000000"/>
                <w:sz w:val="22"/>
                <w:szCs w:val="22"/>
                <w:highlight w:val="yellow"/>
              </w:rPr>
              <w:t>eCulture</w:t>
            </w:r>
            <w:proofErr w:type="spellEnd"/>
            <w:r w:rsidRPr="00912E5D">
              <w:rPr>
                <w:rFonts w:ascii="Franklin Gothic Medium" w:hAnsi="Franklin Gothic Medium" w:cs="Franklin Gothic Medium"/>
                <w:color w:val="000000"/>
                <w:sz w:val="22"/>
                <w:szCs w:val="22"/>
                <w:highlight w:val="yellow"/>
              </w:rPr>
              <w:t xml:space="preserve">, </w:t>
            </w:r>
            <w:proofErr w:type="spellStart"/>
            <w:r w:rsidRPr="00912E5D">
              <w:rPr>
                <w:rFonts w:ascii="Franklin Gothic Medium" w:hAnsi="Franklin Gothic Medium" w:cs="Franklin Gothic Medium"/>
                <w:color w:val="000000"/>
                <w:sz w:val="22"/>
                <w:szCs w:val="22"/>
                <w:highlight w:val="yellow"/>
              </w:rPr>
              <w:t>eHealth</w:t>
            </w:r>
            <w:proofErr w:type="spellEnd"/>
            <w:r w:rsidRPr="00912E5D">
              <w:rPr>
                <w:rFonts w:ascii="Franklin Gothic Medium" w:hAnsi="Franklin Gothic Medium" w:cs="Franklin Gothic Medium"/>
                <w:color w:val="000000"/>
                <w:sz w:val="22"/>
                <w:szCs w:val="22"/>
                <w:highlight w:val="yellow"/>
              </w:rPr>
              <w:t xml:space="preserve">, </w:t>
            </w:r>
            <w:proofErr w:type="spellStart"/>
            <w:r w:rsidRPr="00912E5D">
              <w:rPr>
                <w:rFonts w:ascii="Franklin Gothic Medium" w:hAnsi="Franklin Gothic Medium" w:cs="Franklin Gothic Medium"/>
                <w:color w:val="000000"/>
                <w:sz w:val="22"/>
                <w:szCs w:val="22"/>
                <w:highlight w:val="yellow"/>
              </w:rPr>
              <w:t>eJustice</w:t>
            </w:r>
            <w:proofErr w:type="spellEnd"/>
            <w:r w:rsidRPr="00912E5D">
              <w:rPr>
                <w:rFonts w:ascii="Franklin Gothic Medium" w:hAnsi="Franklin Gothic Medium" w:cs="Franklin Gothic Medium"/>
                <w:color w:val="000000"/>
                <w:sz w:val="22"/>
                <w:szCs w:val="22"/>
                <w:highlight w:val="yellow"/>
              </w:rPr>
              <w:t xml:space="preserve">, </w:t>
            </w:r>
            <w:proofErr w:type="spellStart"/>
            <w:r w:rsidRPr="00912E5D">
              <w:rPr>
                <w:rFonts w:ascii="Franklin Gothic Medium" w:hAnsi="Franklin Gothic Medium" w:cs="Franklin Gothic Medium"/>
                <w:color w:val="000000"/>
                <w:sz w:val="22"/>
                <w:szCs w:val="22"/>
                <w:highlight w:val="yellow"/>
              </w:rPr>
              <w:t>eProcurement</w:t>
            </w:r>
            <w:proofErr w:type="spellEnd"/>
            <w:r w:rsidRPr="00912E5D">
              <w:rPr>
                <w:rFonts w:ascii="Franklin Gothic Medium" w:hAnsi="Franklin Gothic Medium" w:cs="Franklin Gothic Medium"/>
                <w:color w:val="000000"/>
                <w:sz w:val="22"/>
                <w:szCs w:val="22"/>
                <w:highlight w:val="yellow"/>
              </w:rPr>
              <w:t xml:space="preserve">, </w:t>
            </w:r>
            <w:proofErr w:type="spellStart"/>
            <w:r w:rsidRPr="00912E5D">
              <w:rPr>
                <w:rFonts w:ascii="Franklin Gothic Medium" w:hAnsi="Franklin Gothic Medium" w:cs="Franklin Gothic Medium"/>
                <w:color w:val="000000"/>
                <w:sz w:val="22"/>
                <w:szCs w:val="22"/>
                <w:highlight w:val="yellow"/>
              </w:rPr>
              <w:t>eSbírka</w:t>
            </w:r>
            <w:proofErr w:type="spellEnd"/>
            <w:r w:rsidRPr="00912E5D">
              <w:rPr>
                <w:rFonts w:ascii="Franklin Gothic Medium" w:hAnsi="Franklin Gothic Medium" w:cs="Franklin Gothic Medium"/>
                <w:color w:val="000000"/>
                <w:sz w:val="22"/>
                <w:szCs w:val="22"/>
                <w:highlight w:val="yellow"/>
              </w:rPr>
              <w:t xml:space="preserve">, </w:t>
            </w:r>
            <w:proofErr w:type="spellStart"/>
            <w:r w:rsidRPr="00912E5D">
              <w:rPr>
                <w:rFonts w:ascii="Franklin Gothic Medium" w:hAnsi="Franklin Gothic Medium" w:cs="Franklin Gothic Medium"/>
                <w:color w:val="000000"/>
                <w:sz w:val="22"/>
                <w:szCs w:val="22"/>
                <w:highlight w:val="yellow"/>
              </w:rPr>
              <w:t>eLegislativa</w:t>
            </w:r>
            <w:proofErr w:type="spellEnd"/>
            <w:r w:rsidRPr="00912E5D">
              <w:rPr>
                <w:rFonts w:ascii="Franklin Gothic Medium" w:hAnsi="Franklin Gothic Medium" w:cs="Franklin Gothic Medium"/>
                <w:color w:val="000000"/>
                <w:sz w:val="22"/>
                <w:szCs w:val="22"/>
                <w:highlight w:val="yellow"/>
              </w:rPr>
              <w:t xml:space="preserve">, electronic identification and authentication). Modernization of information and communication systems for the specific needs of public administration bodies and IRS will be supported. Creation and equipment of public authorities for protection of the ICT infrastructure and ensuring controlled and secure sharing of public administration data in accordance with standards of cyber security including communication and radio communication infrastructures of the State. Moreover, </w:t>
            </w:r>
            <w:r w:rsidRPr="00912E5D">
              <w:rPr>
                <w:rFonts w:ascii="Franklin Gothic Medium" w:hAnsi="Franklin Gothic Medium" w:cs="Franklin Gothic Medium"/>
                <w:color w:val="000000"/>
                <w:sz w:val="22"/>
                <w:szCs w:val="22"/>
                <w:highlight w:val="yellow"/>
              </w:rPr>
              <w:lastRenderedPageBreak/>
              <w:t>creation of new and modernization of existing information and communication systems for the specific needs of public administration bodies and IRS will be supported.</w:t>
            </w:r>
          </w:p>
        </w:tc>
        <w:tc>
          <w:tcPr>
            <w:tcW w:w="0" w:type="auto"/>
            <w:tcBorders>
              <w:top w:val="nil"/>
              <w:left w:val="single" w:sz="6" w:space="0" w:color="auto"/>
              <w:bottom w:val="single" w:sz="6" w:space="0" w:color="auto"/>
              <w:right w:val="single" w:sz="6" w:space="0" w:color="auto"/>
            </w:tcBorders>
            <w:vAlign w:val="center"/>
          </w:tcPr>
          <w:p w:rsidR="00065632" w:rsidRPr="00912E5D" w:rsidRDefault="00065632" w:rsidP="00912E5D">
            <w:pPr>
              <w:autoSpaceDE w:val="0"/>
              <w:autoSpaceDN w:val="0"/>
              <w:adjustRightInd w:val="0"/>
              <w:rPr>
                <w:rFonts w:ascii="Franklin Gothic Medium" w:hAnsi="Franklin Gothic Medium" w:cs="Franklin Gothic Medium"/>
                <w:color w:val="000000"/>
                <w:sz w:val="22"/>
                <w:szCs w:val="22"/>
                <w:highlight w:val="yellow"/>
              </w:rPr>
            </w:pPr>
            <w:r w:rsidRPr="00912E5D">
              <w:rPr>
                <w:rFonts w:ascii="Franklin Gothic Medium" w:hAnsi="Franklin Gothic Medium" w:cs="Franklin Gothic Medium"/>
                <w:color w:val="000000"/>
                <w:sz w:val="22"/>
                <w:szCs w:val="22"/>
                <w:highlight w:val="yellow"/>
              </w:rPr>
              <w:lastRenderedPageBreak/>
              <w:t>3.16</w:t>
            </w:r>
          </w:p>
        </w:tc>
        <w:tc>
          <w:tcPr>
            <w:tcW w:w="0" w:type="auto"/>
            <w:tcBorders>
              <w:top w:val="nil"/>
              <w:left w:val="single" w:sz="6" w:space="0" w:color="auto"/>
              <w:bottom w:val="single" w:sz="6" w:space="0" w:color="auto"/>
              <w:right w:val="single" w:sz="6" w:space="0" w:color="auto"/>
            </w:tcBorders>
          </w:tcPr>
          <w:p w:rsidR="00065632" w:rsidRPr="00912E5D" w:rsidRDefault="00065632" w:rsidP="00912E5D">
            <w:pPr>
              <w:autoSpaceDE w:val="0"/>
              <w:autoSpaceDN w:val="0"/>
              <w:adjustRightInd w:val="0"/>
              <w:rPr>
                <w:rFonts w:ascii="Franklin Gothic Medium" w:hAnsi="Franklin Gothic Medium" w:cs="Franklin Gothic Medium"/>
                <w:sz w:val="22"/>
                <w:szCs w:val="22"/>
                <w:highlight w:val="yellow"/>
              </w:rPr>
            </w:pPr>
          </w:p>
        </w:tc>
        <w:tc>
          <w:tcPr>
            <w:tcW w:w="0" w:type="auto"/>
            <w:tcBorders>
              <w:top w:val="nil"/>
              <w:left w:val="single" w:sz="6" w:space="0" w:color="auto"/>
              <w:bottom w:val="single" w:sz="6" w:space="0" w:color="auto"/>
              <w:right w:val="single" w:sz="6" w:space="0" w:color="auto"/>
            </w:tcBorders>
          </w:tcPr>
          <w:p w:rsidR="00065632" w:rsidRDefault="00065632" w:rsidP="00560258">
            <w:pPr>
              <w:autoSpaceDE w:val="0"/>
              <w:autoSpaceDN w:val="0"/>
              <w:adjustRightInd w:val="0"/>
              <w:ind w:left="-7328" w:right="4217"/>
              <w:rPr>
                <w:rFonts w:ascii="Franklin Gothic Medium" w:hAnsi="Franklin Gothic Medium" w:cs="Franklin Gothic Medium"/>
                <w:sz w:val="22"/>
                <w:szCs w:val="22"/>
                <w:highlight w:val="yellow"/>
              </w:rPr>
            </w:pPr>
          </w:p>
          <w:p w:rsidR="00560258" w:rsidRPr="00912E5D" w:rsidRDefault="00560258" w:rsidP="00560258">
            <w:pPr>
              <w:autoSpaceDE w:val="0"/>
              <w:autoSpaceDN w:val="0"/>
              <w:adjustRightInd w:val="0"/>
              <w:ind w:left="-7328" w:right="4217"/>
              <w:rPr>
                <w:rFonts w:ascii="Franklin Gothic Medium" w:hAnsi="Franklin Gothic Medium" w:cs="Franklin Gothic Medium"/>
                <w:sz w:val="22"/>
                <w:szCs w:val="22"/>
                <w:highlight w:val="yellow"/>
              </w:rPr>
            </w:pPr>
          </w:p>
        </w:tc>
        <w:tc>
          <w:tcPr>
            <w:tcW w:w="0" w:type="auto"/>
            <w:tcBorders>
              <w:top w:val="nil"/>
              <w:left w:val="single" w:sz="6" w:space="0" w:color="auto"/>
              <w:bottom w:val="single" w:sz="6" w:space="0" w:color="auto"/>
              <w:right w:val="single" w:sz="6" w:space="0" w:color="auto"/>
            </w:tcBorders>
            <w:vAlign w:val="center"/>
          </w:tcPr>
          <w:p w:rsidR="00065632" w:rsidRPr="00912E5D" w:rsidRDefault="00065632" w:rsidP="00912E5D">
            <w:pPr>
              <w:autoSpaceDE w:val="0"/>
              <w:autoSpaceDN w:val="0"/>
              <w:adjustRightInd w:val="0"/>
              <w:ind w:left="18" w:hanging="18"/>
              <w:rPr>
                <w:rFonts w:ascii="Franklin Gothic Medium" w:hAnsi="Franklin Gothic Medium" w:cs="Franklin Gothic Medium"/>
                <w:color w:val="000000"/>
                <w:sz w:val="22"/>
                <w:szCs w:val="22"/>
                <w:highlight w:val="yellow"/>
              </w:rPr>
            </w:pPr>
            <w:r w:rsidRPr="00912E5D">
              <w:rPr>
                <w:rFonts w:ascii="Franklin Gothic Medium" w:hAnsi="Franklin Gothic Medium" w:cs="Franklin Gothic Medium"/>
                <w:color w:val="000000"/>
                <w:sz w:val="22"/>
                <w:szCs w:val="22"/>
                <w:highlight w:val="yellow"/>
              </w:rPr>
              <w:t>Although assessment above the minimum threshold 3 has been achieved, it is not suitable to use financial instruments due to failure to overcome a binary exclusive criterion (positive values in attribute p2 profitability).</w:t>
            </w:r>
          </w:p>
          <w:p w:rsidR="00065632" w:rsidRPr="00912E5D" w:rsidRDefault="00065632" w:rsidP="00912E5D">
            <w:pPr>
              <w:autoSpaceDE w:val="0"/>
              <w:autoSpaceDN w:val="0"/>
              <w:adjustRightInd w:val="0"/>
              <w:spacing w:line="270" w:lineRule="exact"/>
              <w:rPr>
                <w:rFonts w:ascii="Franklin Gothic Medium" w:hAnsi="Franklin Gothic Medium" w:cs="Franklin Gothic Medium"/>
                <w:color w:val="000000"/>
                <w:sz w:val="22"/>
                <w:szCs w:val="22"/>
                <w:highlight w:val="yellow"/>
              </w:rPr>
            </w:pPr>
            <w:r w:rsidRPr="00912E5D">
              <w:rPr>
                <w:rFonts w:ascii="Franklin Gothic Medium" w:hAnsi="Franklin Gothic Medium" w:cs="Franklin Gothic Medium"/>
                <w:color w:val="000000"/>
                <w:sz w:val="22"/>
                <w:szCs w:val="22"/>
                <w:highlight w:val="yellow"/>
              </w:rPr>
              <w:t>The primary interest of the implementation is not profit, it shows indirect (economic) benefits for the region, which, however, cannot serve for the repayment of the original amount of investment.</w:t>
            </w:r>
          </w:p>
        </w:tc>
        <w:tc>
          <w:tcPr>
            <w:tcW w:w="0" w:type="auto"/>
            <w:tcBorders>
              <w:top w:val="nil"/>
              <w:left w:val="single" w:sz="6" w:space="0" w:color="auto"/>
              <w:bottom w:val="single" w:sz="6" w:space="0" w:color="auto"/>
              <w:right w:val="single" w:sz="6" w:space="0" w:color="auto"/>
            </w:tcBorders>
            <w:vAlign w:val="center"/>
          </w:tcPr>
          <w:p w:rsidR="00065632" w:rsidRPr="00912E5D" w:rsidRDefault="00065632" w:rsidP="00912E5D">
            <w:pPr>
              <w:autoSpaceDE w:val="0"/>
              <w:autoSpaceDN w:val="0"/>
              <w:adjustRightInd w:val="0"/>
              <w:ind w:left="738"/>
              <w:rPr>
                <w:rFonts w:ascii="Franklin Gothic Medium" w:hAnsi="Franklin Gothic Medium" w:cs="Franklin Gothic Medium"/>
                <w:color w:val="000000"/>
                <w:sz w:val="22"/>
                <w:szCs w:val="22"/>
                <w:highlight w:val="yellow"/>
              </w:rPr>
            </w:pPr>
            <w:r w:rsidRPr="00912E5D">
              <w:rPr>
                <w:rFonts w:ascii="Franklin Gothic Medium" w:hAnsi="Franklin Gothic Medium" w:cs="Franklin Gothic Medium"/>
                <w:color w:val="000000"/>
                <w:sz w:val="22"/>
                <w:szCs w:val="22"/>
                <w:highlight w:val="yellow"/>
              </w:rPr>
              <w:t>N/A</w:t>
            </w:r>
          </w:p>
        </w:tc>
      </w:tr>
      <w:tr w:rsidR="00065632" w:rsidRPr="0057251F" w:rsidTr="00560258">
        <w:tc>
          <w:tcPr>
            <w:tcW w:w="0" w:type="auto"/>
            <w:tcBorders>
              <w:top w:val="single" w:sz="6" w:space="0" w:color="auto"/>
              <w:left w:val="single" w:sz="6" w:space="0" w:color="auto"/>
              <w:bottom w:val="single" w:sz="6" w:space="0" w:color="auto"/>
              <w:right w:val="single" w:sz="6" w:space="0" w:color="auto"/>
            </w:tcBorders>
            <w:vAlign w:val="center"/>
          </w:tcPr>
          <w:p w:rsidR="00065632" w:rsidRPr="00912E5D" w:rsidRDefault="00065632" w:rsidP="00912E5D">
            <w:pPr>
              <w:autoSpaceDE w:val="0"/>
              <w:autoSpaceDN w:val="0"/>
              <w:adjustRightInd w:val="0"/>
              <w:rPr>
                <w:rFonts w:ascii="Franklin Gothic Medium" w:hAnsi="Franklin Gothic Medium" w:cs="Franklin Gothic Medium"/>
                <w:color w:val="000000"/>
                <w:sz w:val="22"/>
                <w:szCs w:val="22"/>
                <w:highlight w:val="yellow"/>
              </w:rPr>
            </w:pPr>
            <w:r w:rsidRPr="00912E5D">
              <w:rPr>
                <w:rFonts w:ascii="Franklin Gothic Medium" w:hAnsi="Franklin Gothic Medium" w:cs="Franklin Gothic Medium"/>
                <w:color w:val="000000"/>
                <w:sz w:val="22"/>
                <w:szCs w:val="22"/>
                <w:highlight w:val="yellow"/>
              </w:rPr>
              <w:lastRenderedPageBreak/>
              <w:t>SO 1.3.3</w:t>
            </w:r>
          </w:p>
        </w:tc>
        <w:tc>
          <w:tcPr>
            <w:tcW w:w="0" w:type="auto"/>
            <w:tcBorders>
              <w:top w:val="single" w:sz="6" w:space="0" w:color="auto"/>
              <w:left w:val="single" w:sz="6" w:space="0" w:color="auto"/>
              <w:bottom w:val="single" w:sz="6" w:space="0" w:color="auto"/>
              <w:right w:val="single" w:sz="6" w:space="0" w:color="auto"/>
            </w:tcBorders>
            <w:vAlign w:val="center"/>
          </w:tcPr>
          <w:p w:rsidR="00065632" w:rsidRPr="00912E5D" w:rsidRDefault="00065632" w:rsidP="00912E5D">
            <w:pPr>
              <w:autoSpaceDE w:val="0"/>
              <w:autoSpaceDN w:val="0"/>
              <w:adjustRightInd w:val="0"/>
              <w:rPr>
                <w:rFonts w:ascii="Franklin Gothic Medium" w:hAnsi="Franklin Gothic Medium" w:cs="Franklin Gothic Medium"/>
                <w:color w:val="000000"/>
                <w:sz w:val="22"/>
                <w:szCs w:val="22"/>
                <w:highlight w:val="yellow"/>
              </w:rPr>
            </w:pPr>
            <w:r w:rsidRPr="00912E5D">
              <w:rPr>
                <w:rFonts w:ascii="Franklin Gothic Medium" w:hAnsi="Franklin Gothic Medium" w:cs="Franklin Gothic Medium"/>
                <w:color w:val="000000"/>
                <w:sz w:val="22"/>
                <w:szCs w:val="22"/>
                <w:highlight w:val="yellow"/>
              </w:rPr>
              <w:t>Procurement of land-use plans, regulatory plans and land-use studies.</w:t>
            </w:r>
          </w:p>
        </w:tc>
        <w:tc>
          <w:tcPr>
            <w:tcW w:w="0" w:type="auto"/>
            <w:tcBorders>
              <w:top w:val="single" w:sz="6" w:space="0" w:color="auto"/>
              <w:left w:val="single" w:sz="6" w:space="0" w:color="auto"/>
              <w:bottom w:val="single" w:sz="6" w:space="0" w:color="auto"/>
              <w:right w:val="single" w:sz="6" w:space="0" w:color="auto"/>
            </w:tcBorders>
            <w:vAlign w:val="center"/>
          </w:tcPr>
          <w:p w:rsidR="00065632" w:rsidRPr="00912E5D" w:rsidRDefault="00065632" w:rsidP="00912E5D">
            <w:pPr>
              <w:autoSpaceDE w:val="0"/>
              <w:autoSpaceDN w:val="0"/>
              <w:adjustRightInd w:val="0"/>
              <w:rPr>
                <w:rFonts w:ascii="Franklin Gothic Medium" w:hAnsi="Franklin Gothic Medium" w:cs="Franklin Gothic Medium"/>
                <w:color w:val="000000"/>
                <w:sz w:val="22"/>
                <w:szCs w:val="22"/>
                <w:highlight w:val="yellow"/>
              </w:rPr>
            </w:pPr>
            <w:r w:rsidRPr="00912E5D">
              <w:rPr>
                <w:rFonts w:ascii="Franklin Gothic Medium" w:hAnsi="Franklin Gothic Medium" w:cs="Franklin Gothic Medium"/>
                <w:color w:val="000000"/>
                <w:sz w:val="22"/>
                <w:szCs w:val="22"/>
                <w:highlight w:val="yellow"/>
              </w:rPr>
              <w:t>1.71</w:t>
            </w:r>
          </w:p>
        </w:tc>
        <w:tc>
          <w:tcPr>
            <w:tcW w:w="0" w:type="auto"/>
            <w:tcBorders>
              <w:top w:val="single" w:sz="6" w:space="0" w:color="auto"/>
              <w:left w:val="single" w:sz="6" w:space="0" w:color="auto"/>
              <w:bottom w:val="single" w:sz="6" w:space="0" w:color="auto"/>
              <w:right w:val="single" w:sz="6" w:space="0" w:color="auto"/>
            </w:tcBorders>
            <w:vAlign w:val="center"/>
          </w:tcPr>
          <w:p w:rsidR="00065632" w:rsidRPr="00912E5D" w:rsidRDefault="00065632" w:rsidP="00912E5D">
            <w:pPr>
              <w:autoSpaceDE w:val="0"/>
              <w:autoSpaceDN w:val="0"/>
              <w:adjustRightInd w:val="0"/>
              <w:rPr>
                <w:rFonts w:ascii="Franklin Gothic Medium" w:hAnsi="Franklin Gothic Medium" w:cs="Franklin Gothic Medium"/>
                <w:color w:val="000000"/>
                <w:sz w:val="22"/>
                <w:szCs w:val="22"/>
                <w:highlight w:val="yellow"/>
              </w:rPr>
            </w:pPr>
            <w:r w:rsidRPr="00912E5D">
              <w:rPr>
                <w:rFonts w:ascii="Franklin Gothic Medium" w:hAnsi="Franklin Gothic Medium" w:cs="Franklin Gothic Medium"/>
                <w:color w:val="000000"/>
                <w:sz w:val="22"/>
                <w:szCs w:val="22"/>
                <w:highlight w:val="yellow"/>
              </w:rPr>
              <w:t>1.08</w:t>
            </w:r>
          </w:p>
        </w:tc>
        <w:tc>
          <w:tcPr>
            <w:tcW w:w="0" w:type="auto"/>
            <w:tcBorders>
              <w:top w:val="single" w:sz="6" w:space="0" w:color="auto"/>
              <w:left w:val="single" w:sz="6" w:space="0" w:color="auto"/>
              <w:bottom w:val="single" w:sz="6" w:space="0" w:color="auto"/>
              <w:right w:val="single" w:sz="6" w:space="0" w:color="auto"/>
            </w:tcBorders>
          </w:tcPr>
          <w:p w:rsidR="00065632" w:rsidRPr="00912E5D" w:rsidRDefault="00065632" w:rsidP="00912E5D">
            <w:pPr>
              <w:autoSpaceDE w:val="0"/>
              <w:autoSpaceDN w:val="0"/>
              <w:adjustRightInd w:val="0"/>
              <w:rPr>
                <w:rFonts w:ascii="Franklin Gothic Medium" w:hAnsi="Franklin Gothic Medium" w:cs="Franklin Gothic Medium"/>
                <w:sz w:val="22"/>
                <w:szCs w:val="22"/>
                <w:highlight w:val="yellow"/>
              </w:rPr>
            </w:pPr>
          </w:p>
        </w:tc>
        <w:tc>
          <w:tcPr>
            <w:tcW w:w="0" w:type="auto"/>
            <w:tcBorders>
              <w:top w:val="single" w:sz="6" w:space="0" w:color="auto"/>
              <w:left w:val="single" w:sz="6" w:space="0" w:color="auto"/>
              <w:bottom w:val="single" w:sz="6" w:space="0" w:color="auto"/>
              <w:right w:val="single" w:sz="6" w:space="0" w:color="auto"/>
            </w:tcBorders>
            <w:vAlign w:val="center"/>
          </w:tcPr>
          <w:p w:rsidR="00065632" w:rsidRPr="00912E5D" w:rsidRDefault="00065632" w:rsidP="00912E5D">
            <w:pPr>
              <w:autoSpaceDE w:val="0"/>
              <w:autoSpaceDN w:val="0"/>
              <w:adjustRightInd w:val="0"/>
              <w:rPr>
                <w:rFonts w:ascii="Franklin Gothic Medium" w:hAnsi="Franklin Gothic Medium" w:cs="Franklin Gothic Medium"/>
                <w:color w:val="000000"/>
                <w:sz w:val="22"/>
                <w:szCs w:val="22"/>
                <w:highlight w:val="yellow"/>
              </w:rPr>
            </w:pPr>
            <w:r w:rsidRPr="00912E5D">
              <w:rPr>
                <w:rFonts w:ascii="Franklin Gothic Medium" w:hAnsi="Franklin Gothic Medium" w:cs="Franklin Gothic Medium"/>
                <w:color w:val="000000"/>
                <w:sz w:val="22"/>
                <w:szCs w:val="22"/>
                <w:highlight w:val="yellow"/>
              </w:rPr>
              <w:t>The primary interest of the implementation is not profit, it shows indirect (economic) benefits for the region, which, however, cannot serve for the repayment of the original amount of investment - use of financial instruments is not suitable.</w:t>
            </w:r>
          </w:p>
        </w:tc>
        <w:tc>
          <w:tcPr>
            <w:tcW w:w="0" w:type="auto"/>
            <w:tcBorders>
              <w:top w:val="single" w:sz="6" w:space="0" w:color="auto"/>
              <w:left w:val="single" w:sz="6" w:space="0" w:color="auto"/>
              <w:bottom w:val="single" w:sz="6" w:space="0" w:color="auto"/>
              <w:right w:val="single" w:sz="6" w:space="0" w:color="auto"/>
            </w:tcBorders>
            <w:vAlign w:val="center"/>
          </w:tcPr>
          <w:p w:rsidR="00065632" w:rsidRPr="0057251F" w:rsidRDefault="00065632" w:rsidP="00912E5D">
            <w:pPr>
              <w:autoSpaceDE w:val="0"/>
              <w:autoSpaceDN w:val="0"/>
              <w:adjustRightInd w:val="0"/>
              <w:ind w:left="738"/>
              <w:rPr>
                <w:rFonts w:ascii="Franklin Gothic Medium" w:hAnsi="Franklin Gothic Medium" w:cs="Franklin Gothic Medium"/>
                <w:color w:val="000000"/>
                <w:spacing w:val="-20"/>
                <w:sz w:val="22"/>
                <w:szCs w:val="22"/>
              </w:rPr>
            </w:pPr>
            <w:r w:rsidRPr="00912E5D">
              <w:rPr>
                <w:rFonts w:ascii="Franklin Gothic Medium" w:hAnsi="Franklin Gothic Medium" w:cs="Franklin Gothic Medium"/>
                <w:color w:val="000000"/>
                <w:spacing w:val="-20"/>
                <w:sz w:val="22"/>
                <w:szCs w:val="22"/>
                <w:highlight w:val="yellow"/>
              </w:rPr>
              <w:t>N/A</w:t>
            </w:r>
          </w:p>
        </w:tc>
      </w:tr>
    </w:tbl>
    <w:p w:rsidR="00065632" w:rsidRDefault="00065632" w:rsidP="00912E5D"/>
    <w:p w:rsidR="00065632" w:rsidRPr="00912E5D" w:rsidRDefault="00065632" w:rsidP="00912E5D"/>
    <w:p w:rsidR="00065632" w:rsidRPr="003F42D3" w:rsidRDefault="00065632" w:rsidP="00DA4E52">
      <w:pPr>
        <w:rPr>
          <w:sz w:val="2"/>
          <w:szCs w:val="2"/>
        </w:rPr>
      </w:pPr>
    </w:p>
    <w:p w:rsidR="00065632" w:rsidRDefault="00065632" w:rsidP="00DA4E52">
      <w:pPr>
        <w:ind w:left="54"/>
      </w:pPr>
      <w:r>
        <w:t>In the conclusion of the initial assessment, it may be stated that:</w:t>
      </w:r>
    </w:p>
    <w:p w:rsidR="00065632" w:rsidRDefault="00065632" w:rsidP="00065632">
      <w:pPr>
        <w:pStyle w:val="Odstavecseseznamem"/>
        <w:numPr>
          <w:ilvl w:val="0"/>
          <w:numId w:val="46"/>
        </w:numPr>
      </w:pPr>
      <w:r>
        <w:rPr>
          <w:b/>
          <w:bCs/>
        </w:rPr>
        <w:t>a significant potential for the use of financial instruments is shown by area of intervention 2.5 Reduction in energy consumption in the housing sector</w:t>
      </w:r>
      <w:r>
        <w:t>;</w:t>
      </w:r>
    </w:p>
    <w:p w:rsidR="00065632" w:rsidRDefault="00065632" w:rsidP="00065632">
      <w:pPr>
        <w:pStyle w:val="Odstavecseseznamem"/>
        <w:numPr>
          <w:ilvl w:val="0"/>
          <w:numId w:val="46"/>
        </w:numPr>
      </w:pPr>
      <w:proofErr w:type="gramStart"/>
      <w:r>
        <w:t>the</w:t>
      </w:r>
      <w:proofErr w:type="gramEnd"/>
      <w:r>
        <w:t xml:space="preserve"> assessment of specific objective 2.1 Improving the quality and availability of services leading to social inclusion, specifically </w:t>
      </w:r>
      <w:r>
        <w:rPr>
          <w:b/>
          <w:bCs/>
        </w:rPr>
        <w:t>area of intervention acquisition of apartments and residential buildings for social housing</w:t>
      </w:r>
      <w:r>
        <w:t>, should continue.</w:t>
      </w:r>
    </w:p>
    <w:p w:rsidR="00065632" w:rsidRDefault="00065632" w:rsidP="00DA4E52">
      <w:pPr>
        <w:ind w:left="54"/>
        <w:rPr>
          <w:rFonts w:ascii="Times New Roman" w:hAnsi="Times New Roman" w:cs="Times New Roman"/>
          <w:sz w:val="22"/>
          <w:szCs w:val="22"/>
        </w:rPr>
      </w:pPr>
      <w:proofErr w:type="gramStart"/>
      <w:r>
        <w:t>Further analytical conclusions and proposals to set up specific IFIs, including mapping of market failures and quantification of a potential added value and leverage of deployment of IFIs, concern only the selected areas.</w:t>
      </w:r>
      <w:proofErr w:type="gramEnd"/>
      <w:r>
        <w:t xml:space="preserve"> </w:t>
      </w:r>
    </w:p>
    <w:p w:rsidR="00065632" w:rsidRDefault="00065632" w:rsidP="00DA4E52">
      <w:pPr>
        <w:sectPr w:rsidR="00065632" w:rsidSect="000A7EC9">
          <w:pgSz w:w="16838" w:h="11906" w:orient="landscape" w:code="9"/>
          <w:pgMar w:top="1418" w:right="1418" w:bottom="1418" w:left="1418" w:header="709" w:footer="709" w:gutter="0"/>
          <w:paperSrc w:first="15" w:other="15"/>
          <w:cols w:space="708"/>
          <w:docGrid w:linePitch="360"/>
        </w:sectPr>
      </w:pPr>
    </w:p>
    <w:p w:rsidR="00065632" w:rsidRDefault="00065632" w:rsidP="00DA4E52">
      <w:pPr>
        <w:pStyle w:val="Nadpis2"/>
      </w:pPr>
      <w:bookmarkStart w:id="61" w:name="_Toc393879196"/>
      <w:bookmarkStart w:id="62" w:name="_Toc397701292"/>
      <w:bookmarkStart w:id="63" w:name="_Toc400570380"/>
      <w:bookmarkStart w:id="64" w:name="_Toc401150109"/>
      <w:bookmarkStart w:id="65" w:name="_Toc409797483"/>
      <w:bookmarkStart w:id="66" w:name="_Toc418767141"/>
      <w:bookmarkStart w:id="67" w:name="_Toc426033651"/>
      <w:r>
        <w:lastRenderedPageBreak/>
        <w:t xml:space="preserve">Analysis of market </w:t>
      </w:r>
      <w:bookmarkEnd w:id="61"/>
      <w:r>
        <w:t>failures and sub-optimal investment situations</w:t>
      </w:r>
      <w:bookmarkEnd w:id="62"/>
      <w:bookmarkEnd w:id="63"/>
      <w:bookmarkEnd w:id="64"/>
      <w:bookmarkEnd w:id="65"/>
      <w:bookmarkEnd w:id="66"/>
      <w:bookmarkEnd w:id="67"/>
      <w:r>
        <w:t xml:space="preserve"> </w:t>
      </w:r>
    </w:p>
    <w:p w:rsidR="00065632" w:rsidRDefault="00065632" w:rsidP="00DA4E52">
      <w:pPr>
        <w:pStyle w:val="Nadpis3"/>
      </w:pPr>
      <w:bookmarkStart w:id="68" w:name="_Toc409797484"/>
      <w:bookmarkStart w:id="69" w:name="_Toc418767142"/>
      <w:bookmarkStart w:id="70" w:name="_Toc426033652"/>
      <w:r>
        <w:t>Specific objective 2.1: Improving the quality and availability of services leading to social inclusion</w:t>
      </w:r>
      <w:bookmarkEnd w:id="68"/>
      <w:bookmarkEnd w:id="69"/>
      <w:bookmarkEnd w:id="70"/>
    </w:p>
    <w:p w:rsidR="00065632" w:rsidRDefault="00065632" w:rsidP="006C01B3">
      <w:pPr>
        <w:pStyle w:val="Nadpis4"/>
      </w:pPr>
      <w:r>
        <w:t>Selection of supported activities of SO 2.1 with a potential for IFIs</w:t>
      </w:r>
    </w:p>
    <w:p w:rsidR="00065632" w:rsidRDefault="00065632" w:rsidP="00DA4E52">
      <w:r>
        <w:t>In line with conclusion of the pre-screening survey, activities in the area of support for social housing were subjected to further analysis.</w:t>
      </w:r>
    </w:p>
    <w:p w:rsidR="00065632" w:rsidRDefault="00065632" w:rsidP="00DA4E52">
      <w:r>
        <w:t>Beneficiaries can be NGOs, State organisation units, co-funded organisations of State organisation units, regions, organizations established by regions, municipalities, organizations established by municipalities, voluntary associations of municipalities, organizations established by voluntary associations of municipalities, churches, and religious organizations.</w:t>
      </w:r>
    </w:p>
    <w:p w:rsidR="00065632" w:rsidRPr="00353014" w:rsidRDefault="00065632" w:rsidP="006C01B3">
      <w:pPr>
        <w:pStyle w:val="Nadpis4"/>
      </w:pPr>
      <w:r>
        <w:t>General characteristics of the market environment</w:t>
      </w:r>
    </w:p>
    <w:p w:rsidR="00065632" w:rsidRDefault="00065632" w:rsidP="00DA4E52">
      <w:r>
        <w:t xml:space="preserve">The concept of social is not limited only to groups of people with insufficient or no income but it also aims at groups of people who would be able to pay rent but lessors are unwilling to enter into a lease contract with them for some reason. Even if this happens, contracts are often limited by time and a significant increase in the rent is often a prerequisite of its prolongation. Often, these are </w:t>
      </w:r>
      <w:proofErr w:type="gramStart"/>
      <w:r>
        <w:t>clients</w:t>
      </w:r>
      <w:proofErr w:type="gramEnd"/>
      <w:r>
        <w:t xml:space="preserve"> who are able to pay rent but a one-off payment, e.g. a security deposit, etc., is a problem for them. </w:t>
      </w:r>
    </w:p>
    <w:p w:rsidR="00065632" w:rsidRDefault="00065632" w:rsidP="00DA4E52">
      <w:r>
        <w:t xml:space="preserve">The system of shelters and hostels offers only short-term solutions and it is very often misused. The state then pays prices for the tenants </w:t>
      </w:r>
      <w:proofErr w:type="gramStart"/>
      <w:r>
        <w:t>which</w:t>
      </w:r>
      <w:proofErr w:type="gramEnd"/>
      <w:r>
        <w:t xml:space="preserve"> often exceed market ones in apartments that are often absolutely unsatisfactory in terms of basic hygiene requirements. This way, high sums of additional payments for inadequately high rent in buildings not corresponding to basic qualitative standards are inefficiently paid from the state budget.</w:t>
      </w:r>
    </w:p>
    <w:p w:rsidR="00065632" w:rsidRDefault="00065632" w:rsidP="00DA4E52">
      <w:r>
        <w:t>One of the variants of possible solution of the issue is support for investment activities of municipalities in terms of construction of new housing units, reconstruction of the existing housing or purchase of suitable apartments from private owners which are subsequently provided to defined target applicants with a described difficult life situation as regards income. This type of support envisages to use its earmarked allocation for IROP, mainly due to the fact that municipalities are currently very passive without involvement of public intervention in the monitored area (despite the existence of sectional state aid) and do not attribute adequate attention to the issue with regard to the breadth of the problem, see the estimate of investment need below.</w:t>
      </w:r>
    </w:p>
    <w:p w:rsidR="00065632" w:rsidRPr="00835491" w:rsidRDefault="00065632" w:rsidP="00DA4E52">
      <w:r>
        <w:t xml:space="preserve">A satisfactory solution of the issue of social housing is greatly complicated by the fact that there is no clear definition of a state concept in the monitored area, specifically with regard to absence of legislation governing the issue in a comprehensive manner. The current government declares efforts to prepare and approve the concept and legislation in the next two years, stating that priorities should be clearly defined (new housing units, support for hostels, support for social programmes focused on prevention of problem occurrence, etc.). </w:t>
      </w:r>
      <w:r>
        <w:rPr>
          <w:b/>
          <w:bCs/>
        </w:rPr>
        <w:t>In this situation, when it is not clear whether support for extension of municipal housing will be prioritised, or whether a certain mandatory quota will be enacted for municipalities to provide social apartments, it is not possible to make clear recommendations in terms of use of subsidy support or financial instruments.</w:t>
      </w:r>
      <w:r>
        <w:t xml:space="preserve"> Other information presented in this chapter focus only on mapping the situation of support for investment in building social housing capacities, it does not focus on hostels or non-investment instruments, typically implemented under the responsibility of the Ministry of Labour and Social Affairs.</w:t>
      </w:r>
    </w:p>
    <w:p w:rsidR="00065632" w:rsidRDefault="00065632" w:rsidP="006C01B3">
      <w:pPr>
        <w:pStyle w:val="Nadpis4"/>
      </w:pPr>
      <w:r>
        <w:t>Supply characteristics</w:t>
      </w:r>
    </w:p>
    <w:p w:rsidR="00065632" w:rsidRDefault="00065632" w:rsidP="00DA4E52">
      <w:r>
        <w:t xml:space="preserve">In the current programming period 2007–2013, support for repairs of housing used for social housing was allowed through part of the allocation of </w:t>
      </w:r>
      <w:r>
        <w:rPr>
          <w:b/>
          <w:bCs/>
        </w:rPr>
        <w:t>area of intervention 5.2 of the Integrated Operational Programme</w:t>
      </w:r>
      <w:r>
        <w:t xml:space="preserve">, with the possibility to drawn subsidy support of 40–60% of eligible expenditure. According to materials provided by the Contractor, </w:t>
      </w:r>
      <w:r>
        <w:rPr>
          <w:b/>
          <w:bCs/>
        </w:rPr>
        <w:t>eight projects with a total drawn aid of CZK 75 million were implemented</w:t>
      </w:r>
      <w:r>
        <w:t>.</w:t>
      </w:r>
      <w:r>
        <w:rPr>
          <w:b/>
          <w:bCs/>
        </w:rPr>
        <w:t xml:space="preserve"> </w:t>
      </w:r>
    </w:p>
    <w:p w:rsidR="00065632" w:rsidRDefault="00065632" w:rsidP="00DA4E52">
      <w:r>
        <w:lastRenderedPageBreak/>
        <w:t xml:space="preserve">Following the establishment of the JESSICA programme, the monitored area was designated for aid provided in the form of a soft loan. Similarly, this programme was also designed for creation of social housing in the form of reconstructions of non-residential premises or modernisation of residential buildings. </w:t>
      </w:r>
      <w:r>
        <w:rPr>
          <w:b/>
          <w:bCs/>
        </w:rPr>
        <w:t>Funds of CZK 50 million were earmarked for this type of aid from the JESSICA allocation, but so far only grant application has been submitted, which is now in the evaluation process</w:t>
      </w:r>
      <w:r>
        <w:t>.</w:t>
      </w:r>
    </w:p>
    <w:p w:rsidR="00065632" w:rsidRDefault="00065632" w:rsidP="00DA4E52">
      <w:r>
        <w:t xml:space="preserve">Also, </w:t>
      </w:r>
      <w:r>
        <w:rPr>
          <w:b/>
          <w:bCs/>
        </w:rPr>
        <w:t>an independent programme of the State Fund for Housing Development, financed from national sources</w:t>
      </w:r>
      <w:r>
        <w:t xml:space="preserve">, established in accordance with Government Regulation No. 284/2011 Sb., operates to support of investment projects in the area of social housing. Apartments with size of 25–90 m2 are supported, for which loans of up to 70% of the eligible costs are provided for a fixed interest rate starting at 2% p.a. depending on the applicant's rating, with maturity of up to 30 years. </w:t>
      </w:r>
      <w:r>
        <w:rPr>
          <w:b/>
          <w:bCs/>
        </w:rPr>
        <w:t>In 2013 and 2014, 8 contracts with a total principal of CZK 320.7 million were concluded</w:t>
      </w:r>
      <w:r>
        <w:t xml:space="preserve"> with an average interest rate of 2.42%. The aid allowed construction or reconstruction of 244 apartments. The remaining sources for financing must be secured by the applicant, and the applicant must not offer the property as a pledge, since the SFHD has an exclusive right to it.</w:t>
      </w:r>
    </w:p>
    <w:p w:rsidR="00065632" w:rsidRDefault="00065632" w:rsidP="00DA4E52">
      <w:r>
        <w:t>Since 2003, a similarly defined national programme Support for Construction of Assisted Apartments (</w:t>
      </w:r>
      <w:proofErr w:type="spellStart"/>
      <w:r>
        <w:t>Podpora</w:t>
      </w:r>
      <w:proofErr w:type="spellEnd"/>
      <w:r>
        <w:t xml:space="preserve"> </w:t>
      </w:r>
      <w:proofErr w:type="spellStart"/>
      <w:r>
        <w:t>výstavby</w:t>
      </w:r>
      <w:proofErr w:type="spellEnd"/>
      <w:r>
        <w:t xml:space="preserve"> </w:t>
      </w:r>
      <w:proofErr w:type="spellStart"/>
      <w:r>
        <w:t>podporovaných</w:t>
      </w:r>
      <w:proofErr w:type="spellEnd"/>
      <w:r>
        <w:t xml:space="preserve"> </w:t>
      </w:r>
      <w:proofErr w:type="spellStart"/>
      <w:r>
        <w:t>bytů</w:t>
      </w:r>
      <w:proofErr w:type="spellEnd"/>
      <w:r>
        <w:t xml:space="preserve">) has been in operation, which offers </w:t>
      </w:r>
      <w:r>
        <w:rPr>
          <w:sz w:val="20"/>
          <w:szCs w:val="20"/>
        </w:rPr>
        <w:t>in the case of construction or reconstruction of "start-up apartments" financial support of up to CZK 600 thousand</w:t>
      </w:r>
      <w:r>
        <w:t>.</w:t>
      </w:r>
      <w:r>
        <w:rPr>
          <w:sz w:val="20"/>
          <w:szCs w:val="20"/>
        </w:rPr>
        <w:t xml:space="preserve"> In the case of purchase of a "start-up apartment" not more than CZK 400 thousand. </w:t>
      </w:r>
      <w:r>
        <w:t xml:space="preserve">This programme is also open to private investors and has nationwide applicability. </w:t>
      </w:r>
    </w:p>
    <w:p w:rsidR="00065632" w:rsidRDefault="00065632" w:rsidP="00DA4E52">
      <w:r>
        <w:t>11,794 apartments for target group envisaged in SO 2.1 (i.e. excluding apartments for seniors) have been purchased under the programme since 2003. Persons falling under target group for these apartments must not owe or co-owe an apartment and their income is limited.  At the same time, the following social handicaps are present in these persons: The person lived or lives in a socially excluded Roma locality or his/her family is at risk of or a child has been removed to institutional care due to unsatisfactory housing or due to its loss, or the person lives in another adverse social situation—e.g. is completing or has completed a prison sentence, has achieved the age of majority and is leaving an institutional education facility or foster care, is leaving a social care institution due to transformation of social facilities, has completed a re-socialisation programme and is leaving a shelter or a halfway house, has refugee status and is a participant in the National Integration Programme. Rent in the start-up apartments is limited to the cost level.</w:t>
      </w:r>
    </w:p>
    <w:p w:rsidR="00065632" w:rsidRDefault="00065632" w:rsidP="006C01B3">
      <w:pPr>
        <w:pStyle w:val="Nadpis4"/>
      </w:pPr>
      <w:r>
        <w:t>Demand characteristics</w:t>
      </w:r>
    </w:p>
    <w:p w:rsidR="00065632" w:rsidRPr="00C8570D" w:rsidRDefault="00065632" w:rsidP="00DA4E52">
      <w:r>
        <w:t xml:space="preserve">The information listed in the supply analysis clearly shows that currently the supply of various forms of support for investment in construction of housing funds usable to address the issue of social housing exceeds the active demand by eligible applicants. The absorption capacity potential may not be assessed based on previous drawing of this aid; for this reason, the Contractor attempted to analyse </w:t>
      </w:r>
      <w:r>
        <w:rPr>
          <w:b/>
          <w:bCs/>
        </w:rPr>
        <w:t>the total investment need for social housing</w:t>
      </w:r>
      <w:r>
        <w:t>, which will allow a framework assessment of potential demand—which, however, must be suitably activated.</w:t>
      </w:r>
    </w:p>
    <w:p w:rsidR="00065632" w:rsidRPr="00E80979" w:rsidRDefault="00065632" w:rsidP="00DA4E52">
      <w:r>
        <w:t xml:space="preserve">Based on the information provided by the Contractor, we work on the expert estimate of the amount of investment need in the monitored area formulated by the Agency for Social Inclusion. According to data from strategic plans of local partnerships and other underlying information, the agency estimates that in order to ensure sufficient capacity of social rental housing it would be necessary to </w:t>
      </w:r>
      <w:r>
        <w:rPr>
          <w:b/>
          <w:bCs/>
        </w:rPr>
        <w:t>build/reconstruct 9,350 apartments, which corresponds to, given an average price of approx. CZK 1.25, cost of CZK 11.7 billion</w:t>
      </w:r>
      <w:r>
        <w:t xml:space="preserve">. </w:t>
      </w:r>
    </w:p>
    <w:p w:rsidR="00065632" w:rsidRPr="00967A43" w:rsidRDefault="00065632" w:rsidP="00DA4E52">
      <w:r>
        <w:t xml:space="preserve">An alternative view of the issue is provided by the output of modelling carried out by representatives of the Ministry of Regional Development Housing Policy Division, which is based mainly on experience with interest in aid provided through the existing grant title Start-up Apartment, which has been supporting financing of monitored projects since 2003. According to our own calculations, we can expect </w:t>
      </w:r>
      <w:r>
        <w:rPr>
          <w:b/>
          <w:bCs/>
        </w:rPr>
        <w:t>the need to ensure approx. 127 start-up apartments annually; with the aforementioned average costs, the resulting absorption capacity</w:t>
      </w:r>
      <w:r>
        <w:t xml:space="preserve"> (for 2015–2023) </w:t>
      </w:r>
      <w:r>
        <w:rPr>
          <w:b/>
          <w:bCs/>
        </w:rPr>
        <w:t>is approx. CZK billion 1.43</w:t>
      </w:r>
      <w:r>
        <w:t xml:space="preserve">. </w:t>
      </w:r>
    </w:p>
    <w:p w:rsidR="00065632" w:rsidRDefault="00065632" w:rsidP="006C01B3">
      <w:pPr>
        <w:pStyle w:val="Nadpis4"/>
      </w:pPr>
      <w:r>
        <w:t>Market failure and sub-optimal investment situation</w:t>
      </w:r>
    </w:p>
    <w:p w:rsidR="00065632" w:rsidRPr="00D40384" w:rsidRDefault="00065632" w:rsidP="00DA4E52">
      <w:r>
        <w:t xml:space="preserve">By carrying out the analysis of demand and supply for the monitored specific objectives, the Contractor reached a conclusion that the market has failed. A lack of suitable properties for the provision of social housing is felt not only by lease seekers but all persons who are involuntarily exposed to negative consequences associated with unresolved housing situation and social exclusion. Since this is an acute, </w:t>
      </w:r>
      <w:r>
        <w:lastRenderedPageBreak/>
        <w:t>politically sensitive issue, local governments are unable to finance construction of apartments, although a considerable amount of funds is earmarked for financial assistance; however, they are distributed under conditions not attractive for potential applicants.</w:t>
      </w:r>
    </w:p>
    <w:p w:rsidR="00065632" w:rsidRPr="00734045" w:rsidRDefault="00065632" w:rsidP="00DA4E52">
      <w:r>
        <w:t>In our view, the market failure is mainly due to:</w:t>
      </w:r>
    </w:p>
    <w:p w:rsidR="00065632" w:rsidRPr="00077E2C" w:rsidRDefault="00065632" w:rsidP="00065632">
      <w:pPr>
        <w:pStyle w:val="Odstavecseseznamem"/>
        <w:numPr>
          <w:ilvl w:val="0"/>
          <w:numId w:val="42"/>
        </w:numPr>
      </w:pPr>
      <w:r>
        <w:t>Long term return on investment.</w:t>
      </w:r>
    </w:p>
    <w:p w:rsidR="00065632" w:rsidRPr="00077E2C" w:rsidRDefault="00065632" w:rsidP="00065632">
      <w:pPr>
        <w:pStyle w:val="Odstavecseseznamem"/>
        <w:numPr>
          <w:ilvl w:val="0"/>
          <w:numId w:val="42"/>
        </w:numPr>
      </w:pPr>
      <w:r>
        <w:t>Insufficient loan capacity of potential beneficiaries—applicants for a (soft) loan must finance the rest of their investment from their own sources. Municipal budgets are often very tight and it is problematic to obtain banking investment financing due to frequent excessive debt ratio of municipalities.</w:t>
      </w:r>
    </w:p>
    <w:p w:rsidR="00065632" w:rsidRPr="00077E2C" w:rsidRDefault="00065632" w:rsidP="00065632">
      <w:pPr>
        <w:pStyle w:val="Odstavecseseznamem"/>
        <w:numPr>
          <w:ilvl w:val="0"/>
          <w:numId w:val="42"/>
        </w:numPr>
      </w:pPr>
      <w:r>
        <w:t>Long-term commitment associated with a risk—for the entire investment time, the municipality must actively ensure its "operation". Due to the fact that social habits are not deeply rooted in potential tenants, there is a high risk of property destruction and problems with repairs or evictions; this may be covered by insurance but it poses a significant organisational burden for municipalities.</w:t>
      </w:r>
    </w:p>
    <w:p w:rsidR="00065632" w:rsidRPr="00077E2C" w:rsidRDefault="00065632" w:rsidP="00065632">
      <w:pPr>
        <w:pStyle w:val="Odstavecseseznamem"/>
        <w:numPr>
          <w:ilvl w:val="0"/>
          <w:numId w:val="42"/>
        </w:numPr>
      </w:pPr>
      <w:r>
        <w:t>Political aspect—the period of investment duration exceeds the length of electoral term.</w:t>
      </w:r>
    </w:p>
    <w:p w:rsidR="00065632" w:rsidRPr="00077E2C" w:rsidRDefault="00065632" w:rsidP="00065632">
      <w:pPr>
        <w:pStyle w:val="Odstavecseseznamem"/>
        <w:numPr>
          <w:ilvl w:val="0"/>
          <w:numId w:val="42"/>
        </w:numPr>
      </w:pPr>
      <w:r>
        <w:t>Increased workload above the "standard duties" - project implementation is connected to excessive workload both during the preparatory work, and also during the implementation and sustainability phases (not to speak about administrative burden associated with drawing a subsidized loan or subsidy from EU funds).</w:t>
      </w:r>
    </w:p>
    <w:p w:rsidR="00065632" w:rsidRDefault="00065632" w:rsidP="00065632">
      <w:pPr>
        <w:pStyle w:val="Odstavecseseznamem"/>
        <w:numPr>
          <w:ilvl w:val="0"/>
          <w:numId w:val="42"/>
        </w:numPr>
      </w:pPr>
      <w:r>
        <w:t>Absence of comprehensive consideration of benefits and costs of projects in planning the investment.</w:t>
      </w:r>
    </w:p>
    <w:p w:rsidR="00065632" w:rsidRDefault="00065632" w:rsidP="00065632">
      <w:pPr>
        <w:pStyle w:val="Odstavecseseznamem"/>
        <w:numPr>
          <w:ilvl w:val="0"/>
          <w:numId w:val="42"/>
        </w:numPr>
      </w:pPr>
      <w:r>
        <w:t>Legislative ambiguity and absence of comprehensive state policy in the monitored area.</w:t>
      </w:r>
    </w:p>
    <w:p w:rsidR="00065632" w:rsidRDefault="00065632" w:rsidP="00DA4E52">
      <w:r>
        <w:t>The Contractor states that the entire monitored area suffers from severe market failures, which bring about lack of interest of potential beneficiaries to implement these projects.</w:t>
      </w:r>
    </w:p>
    <w:p w:rsidR="00065632" w:rsidRDefault="00065632" w:rsidP="00DA4E52">
      <w:r>
        <w:rPr>
          <w:b/>
          <w:bCs/>
        </w:rPr>
        <w:t xml:space="preserve">In accordance with the methodology, it is necessary to carry out also qualitative analysis after having carried a quantitative one. Within qualitative assessment, a fact should be noted that the terms investment need and demand for IROP state aid should not be mistaken; it is apparent that the available demand is considerably smaller than the actual investment need </w:t>
      </w:r>
      <w:r>
        <w:t>—the Contractor takes this fact into account. The main reasons for this difference include in particular consequences of market failures and reasons that the calculations made by the agency and the housing division use other assumptions than IROP targeting (e.g. the fact that social housing for seniors may not be financed from IROP, private entities may not be supported as beneficiaries, aid will probably not be available in the entire Czech Republic but only in excluded localities and outside Prague, etc.). The Contractor further considers unclear whether it is better to address the monitored area through subsidy assistance or suitable set financial instrument in the form of a soft loan—this decision is strongly linked primarily to two open questions without clarification of which one cannot specify a suitable form of correction of the identified market failure. These open questions are as follows:</w:t>
      </w:r>
    </w:p>
    <w:p w:rsidR="00065632" w:rsidRDefault="00065632" w:rsidP="00065632">
      <w:pPr>
        <w:pStyle w:val="Odstavecseseznamem"/>
        <w:numPr>
          <w:ilvl w:val="0"/>
          <w:numId w:val="48"/>
        </w:numPr>
      </w:pPr>
      <w:r>
        <w:t xml:space="preserve">What will be the final version of the upcoming </w:t>
      </w:r>
      <w:r>
        <w:rPr>
          <w:b/>
          <w:bCs/>
        </w:rPr>
        <w:t>concept of solution of the issue of social housing and the form of the related law under preparation</w:t>
      </w:r>
      <w:r>
        <w:t>—what will be the solution priorities, what will be the recommended tools, what national funds will be earmarked for the area, whether investment or non-investment form of addressing the issue will be given preference, etc.</w:t>
      </w:r>
    </w:p>
    <w:p w:rsidR="00065632" w:rsidRDefault="00065632" w:rsidP="00065632">
      <w:pPr>
        <w:pStyle w:val="Odstavecseseznamem"/>
        <w:numPr>
          <w:ilvl w:val="0"/>
          <w:numId w:val="48"/>
        </w:numPr>
      </w:pPr>
      <w:r>
        <w:t>How the issues of disinterest in funds will be addresses which can be observed in the current period in all types of assistance allocated (of national and EU sources)—</w:t>
      </w:r>
      <w:r>
        <w:rPr>
          <w:b/>
          <w:bCs/>
        </w:rPr>
        <w:t>how the information barrier will be addressed</w:t>
      </w:r>
      <w:r>
        <w:t>, when potential beneficiaries associate the issue mainly with a lot of costs but they do not see potential (long-term) benefits of an active solution of the issue in their territory.</w:t>
      </w:r>
    </w:p>
    <w:p w:rsidR="00065632" w:rsidRDefault="00065632" w:rsidP="00DA4E52">
      <w:pPr>
        <w:rPr>
          <w:b/>
          <w:bCs/>
        </w:rPr>
      </w:pPr>
      <w:r>
        <w:rPr>
          <w:b/>
          <w:bCs/>
        </w:rPr>
        <w:t xml:space="preserve">With regard to the above, the Contractor recommends that the managing authority start drawing in a subsidy form, and the programme document should state that the area may be, in the future, transferred to a newly established financial instrument, probably on the loan principle with a subsidy component. </w:t>
      </w:r>
    </w:p>
    <w:p w:rsidR="00065632" w:rsidRDefault="00065632" w:rsidP="000979B7">
      <w:pPr>
        <w:pStyle w:val="Nadpis4"/>
      </w:pPr>
      <w:r>
        <w:lastRenderedPageBreak/>
        <w:t>Proposal of measures to rectify market failure</w:t>
      </w:r>
    </w:p>
    <w:p w:rsidR="00065632" w:rsidRDefault="00065632" w:rsidP="00DA4E52">
      <w:r>
        <w:t xml:space="preserve">Below, the Contractor lists conclusions of a comparison of the impact of a subsidy scheme or a financial instrument as regards the identified market failures. </w:t>
      </w:r>
      <w:proofErr w:type="gramStart"/>
      <w:r>
        <w:t>The below table lists market failures and evaluations as to how we expect the choice of the first or the second variant of intervention to change the situation in the monitored attribute.</w:t>
      </w:r>
      <w:proofErr w:type="gramEnd"/>
    </w:p>
    <w:tbl>
      <w:tblPr>
        <w:tblW w:w="9242" w:type="dxa"/>
        <w:tblInd w:w="-56" w:type="dxa"/>
        <w:tblBorders>
          <w:bottom w:val="single" w:sz="4" w:space="0" w:color="92D400"/>
          <w:insideH w:val="single" w:sz="4" w:space="0" w:color="92D400"/>
        </w:tblBorders>
        <w:tblCellMar>
          <w:top w:w="28" w:type="dxa"/>
          <w:left w:w="28" w:type="dxa"/>
          <w:bottom w:w="28" w:type="dxa"/>
          <w:right w:w="28" w:type="dxa"/>
        </w:tblCellMar>
        <w:tblLook w:val="00A0" w:firstRow="1" w:lastRow="0" w:firstColumn="1" w:lastColumn="0" w:noHBand="0" w:noVBand="0"/>
      </w:tblPr>
      <w:tblGrid>
        <w:gridCol w:w="2155"/>
        <w:gridCol w:w="3260"/>
        <w:gridCol w:w="3827"/>
      </w:tblGrid>
      <w:tr w:rsidR="00065632">
        <w:tc>
          <w:tcPr>
            <w:tcW w:w="2155" w:type="dxa"/>
            <w:shd w:val="clear" w:color="auto" w:fill="92D400"/>
            <w:vAlign w:val="center"/>
          </w:tcPr>
          <w:p w:rsidR="00065632" w:rsidRPr="00693AAF" w:rsidRDefault="00065632" w:rsidP="00693AAF">
            <w:pPr>
              <w:pStyle w:val="Highlight2"/>
              <w:spacing w:after="0"/>
              <w:jc w:val="center"/>
              <w:rPr>
                <w:b w:val="0"/>
                <w:bCs w:val="0"/>
                <w:color w:val="FFFFFF"/>
              </w:rPr>
            </w:pPr>
            <w:r w:rsidRPr="00693AAF">
              <w:rPr>
                <w:color w:val="FFFFFF"/>
              </w:rPr>
              <w:t>Market failure</w:t>
            </w:r>
          </w:p>
        </w:tc>
        <w:tc>
          <w:tcPr>
            <w:tcW w:w="3260" w:type="dxa"/>
            <w:shd w:val="clear" w:color="auto" w:fill="92D400"/>
            <w:vAlign w:val="center"/>
          </w:tcPr>
          <w:p w:rsidR="00065632" w:rsidRPr="00693AAF" w:rsidRDefault="00065632" w:rsidP="00693AAF">
            <w:pPr>
              <w:pStyle w:val="Highlight2"/>
              <w:spacing w:after="0"/>
              <w:jc w:val="center"/>
              <w:rPr>
                <w:b w:val="0"/>
                <w:bCs w:val="0"/>
                <w:color w:val="FFFFFF"/>
              </w:rPr>
            </w:pPr>
            <w:r w:rsidRPr="00693AAF">
              <w:rPr>
                <w:color w:val="FFFFFF"/>
              </w:rPr>
              <w:t>Subsidies</w:t>
            </w:r>
          </w:p>
        </w:tc>
        <w:tc>
          <w:tcPr>
            <w:tcW w:w="3827" w:type="dxa"/>
            <w:shd w:val="clear" w:color="auto" w:fill="92D400"/>
            <w:vAlign w:val="center"/>
          </w:tcPr>
          <w:p w:rsidR="00065632" w:rsidRPr="00693AAF" w:rsidRDefault="00065632" w:rsidP="00693AAF">
            <w:pPr>
              <w:pStyle w:val="Highlight2"/>
              <w:spacing w:after="0"/>
              <w:jc w:val="center"/>
              <w:rPr>
                <w:b w:val="0"/>
                <w:bCs w:val="0"/>
                <w:color w:val="FFFFFF"/>
              </w:rPr>
            </w:pPr>
            <w:r w:rsidRPr="00693AAF">
              <w:rPr>
                <w:color w:val="FFFFFF"/>
              </w:rPr>
              <w:t>Loan instrument</w:t>
            </w:r>
          </w:p>
        </w:tc>
      </w:tr>
      <w:tr w:rsidR="00065632">
        <w:tc>
          <w:tcPr>
            <w:tcW w:w="2155" w:type="dxa"/>
            <w:shd w:val="clear" w:color="auto" w:fill="FFFFFF"/>
            <w:vAlign w:val="center"/>
          </w:tcPr>
          <w:p w:rsidR="00065632" w:rsidRPr="00693AAF" w:rsidRDefault="00065632" w:rsidP="00693AAF">
            <w:pPr>
              <w:pStyle w:val="Highlight2"/>
              <w:spacing w:after="0"/>
              <w:jc w:val="left"/>
            </w:pPr>
            <w:r w:rsidRPr="00693AAF">
              <w:rPr>
                <w:color w:val="000000"/>
              </w:rPr>
              <w:t>Long payback period</w:t>
            </w:r>
          </w:p>
        </w:tc>
        <w:tc>
          <w:tcPr>
            <w:tcW w:w="3260" w:type="dxa"/>
            <w:shd w:val="clear" w:color="auto" w:fill="FFFFFF"/>
            <w:vAlign w:val="center"/>
          </w:tcPr>
          <w:p w:rsidR="00065632" w:rsidRPr="00693AAF" w:rsidRDefault="00065632" w:rsidP="00693AAF">
            <w:pPr>
              <w:pStyle w:val="Highlight2"/>
              <w:spacing w:after="0"/>
              <w:jc w:val="center"/>
              <w:rPr>
                <w:b w:val="0"/>
                <w:bCs w:val="0"/>
              </w:rPr>
            </w:pPr>
            <w:r w:rsidRPr="00693AAF">
              <w:rPr>
                <w:b w:val="0"/>
                <w:bCs w:val="0"/>
                <w:color w:val="000000"/>
              </w:rPr>
              <w:t>Covering a part of an investment with a non-returnable subsidy decreases the payback period.</w:t>
            </w:r>
          </w:p>
        </w:tc>
        <w:tc>
          <w:tcPr>
            <w:tcW w:w="3827" w:type="dxa"/>
            <w:shd w:val="clear" w:color="auto" w:fill="FFFFFF"/>
            <w:vAlign w:val="center"/>
          </w:tcPr>
          <w:p w:rsidR="00065632" w:rsidRPr="00693AAF" w:rsidRDefault="00065632" w:rsidP="00693AAF">
            <w:pPr>
              <w:pStyle w:val="Highlight2"/>
              <w:spacing w:after="0"/>
              <w:jc w:val="center"/>
              <w:rPr>
                <w:b w:val="0"/>
                <w:bCs w:val="0"/>
              </w:rPr>
            </w:pPr>
            <w:r w:rsidRPr="00693AAF">
              <w:rPr>
                <w:b w:val="0"/>
                <w:bCs w:val="0"/>
                <w:color w:val="000000"/>
              </w:rPr>
              <w:t>A soft loan shortens the ordinary payback period and so does any subsidy component—less than an actual subsidy.</w:t>
            </w:r>
          </w:p>
        </w:tc>
      </w:tr>
      <w:tr w:rsidR="00065632">
        <w:tc>
          <w:tcPr>
            <w:tcW w:w="2155" w:type="dxa"/>
            <w:shd w:val="clear" w:color="auto" w:fill="FFFFFF"/>
            <w:vAlign w:val="center"/>
          </w:tcPr>
          <w:p w:rsidR="00065632" w:rsidRPr="00693AAF" w:rsidRDefault="00065632" w:rsidP="00693AAF">
            <w:pPr>
              <w:pStyle w:val="Highlight2"/>
              <w:spacing w:after="0"/>
              <w:jc w:val="left"/>
            </w:pPr>
            <w:r w:rsidRPr="00693AAF">
              <w:rPr>
                <w:color w:val="000000"/>
              </w:rPr>
              <w:t>Insufficient loan capacity</w:t>
            </w:r>
          </w:p>
        </w:tc>
        <w:tc>
          <w:tcPr>
            <w:tcW w:w="3260" w:type="dxa"/>
            <w:shd w:val="clear" w:color="auto" w:fill="FFFFFF"/>
            <w:vAlign w:val="center"/>
          </w:tcPr>
          <w:p w:rsidR="00065632" w:rsidRPr="00693AAF" w:rsidRDefault="00065632" w:rsidP="00693AAF">
            <w:pPr>
              <w:pStyle w:val="Highlight2"/>
              <w:spacing w:after="0"/>
              <w:jc w:val="center"/>
              <w:rPr>
                <w:b w:val="0"/>
                <w:bCs w:val="0"/>
              </w:rPr>
            </w:pPr>
            <w:r w:rsidRPr="00693AAF">
              <w:rPr>
                <w:b w:val="0"/>
                <w:bCs w:val="0"/>
                <w:color w:val="000000"/>
              </w:rPr>
              <w:t>Subsidies do not increase indebtedness; however, the need to secure co-financing does.</w:t>
            </w:r>
          </w:p>
        </w:tc>
        <w:tc>
          <w:tcPr>
            <w:tcW w:w="3827" w:type="dxa"/>
            <w:shd w:val="clear" w:color="auto" w:fill="FFFFFF"/>
            <w:vAlign w:val="center"/>
          </w:tcPr>
          <w:p w:rsidR="00065632" w:rsidRPr="00693AAF" w:rsidRDefault="00065632" w:rsidP="00693AAF">
            <w:pPr>
              <w:pStyle w:val="Highlight2"/>
              <w:spacing w:after="0"/>
              <w:jc w:val="center"/>
              <w:rPr>
                <w:b w:val="0"/>
                <w:bCs w:val="0"/>
              </w:rPr>
            </w:pPr>
            <w:r w:rsidRPr="00693AAF">
              <w:rPr>
                <w:b w:val="0"/>
                <w:bCs w:val="0"/>
                <w:color w:val="000000"/>
              </w:rPr>
              <w:t xml:space="preserve">Discounted loans place lower demands on indebtedness than commercial ones do. The rating allows supporting also higher-risk projects. </w:t>
            </w:r>
          </w:p>
        </w:tc>
      </w:tr>
      <w:tr w:rsidR="00065632">
        <w:tc>
          <w:tcPr>
            <w:tcW w:w="2155" w:type="dxa"/>
            <w:shd w:val="clear" w:color="auto" w:fill="FFFFFF"/>
            <w:vAlign w:val="center"/>
          </w:tcPr>
          <w:p w:rsidR="00065632" w:rsidRPr="00693AAF" w:rsidRDefault="00065632" w:rsidP="00693AAF">
            <w:pPr>
              <w:pStyle w:val="Highlight2"/>
              <w:spacing w:after="0"/>
              <w:jc w:val="left"/>
            </w:pPr>
            <w:r w:rsidRPr="00693AAF">
              <w:rPr>
                <w:color w:val="000000"/>
              </w:rPr>
              <w:t>Long-term commitment</w:t>
            </w:r>
          </w:p>
        </w:tc>
        <w:tc>
          <w:tcPr>
            <w:tcW w:w="3260" w:type="dxa"/>
            <w:shd w:val="clear" w:color="auto" w:fill="FFFFFF"/>
            <w:vAlign w:val="center"/>
          </w:tcPr>
          <w:p w:rsidR="00065632" w:rsidRPr="00693AAF" w:rsidRDefault="00065632" w:rsidP="00693AAF">
            <w:pPr>
              <w:pStyle w:val="Highlight2"/>
              <w:spacing w:after="0"/>
              <w:jc w:val="center"/>
              <w:rPr>
                <w:b w:val="0"/>
                <w:bCs w:val="0"/>
              </w:rPr>
            </w:pPr>
            <w:r w:rsidRPr="00693AAF">
              <w:rPr>
                <w:b w:val="0"/>
                <w:bCs w:val="0"/>
                <w:color w:val="000000"/>
              </w:rPr>
              <w:t>Without any substantial impact</w:t>
            </w:r>
          </w:p>
        </w:tc>
        <w:tc>
          <w:tcPr>
            <w:tcW w:w="3827" w:type="dxa"/>
            <w:shd w:val="clear" w:color="auto" w:fill="FFFFFF"/>
            <w:vAlign w:val="center"/>
          </w:tcPr>
          <w:p w:rsidR="00065632" w:rsidRPr="00693AAF" w:rsidRDefault="00065632" w:rsidP="00693AAF">
            <w:pPr>
              <w:pStyle w:val="Highlight2"/>
              <w:spacing w:after="0"/>
              <w:jc w:val="center"/>
              <w:rPr>
                <w:b w:val="0"/>
                <w:bCs w:val="0"/>
              </w:rPr>
            </w:pPr>
            <w:r w:rsidRPr="00693AAF">
              <w:rPr>
                <w:b w:val="0"/>
                <w:bCs w:val="0"/>
                <w:color w:val="auto"/>
              </w:rPr>
              <w:t>Without any substantial impact</w:t>
            </w:r>
          </w:p>
        </w:tc>
      </w:tr>
      <w:tr w:rsidR="00065632">
        <w:tc>
          <w:tcPr>
            <w:tcW w:w="2155" w:type="dxa"/>
            <w:shd w:val="clear" w:color="auto" w:fill="FFFFFF"/>
            <w:vAlign w:val="center"/>
          </w:tcPr>
          <w:p w:rsidR="00065632" w:rsidRPr="00693AAF" w:rsidRDefault="00065632" w:rsidP="00693AAF">
            <w:pPr>
              <w:pStyle w:val="Highlight2"/>
              <w:spacing w:after="0"/>
              <w:jc w:val="left"/>
            </w:pPr>
            <w:r w:rsidRPr="00693AAF">
              <w:rPr>
                <w:color w:val="000000"/>
              </w:rPr>
              <w:t>Political aspect</w:t>
            </w:r>
          </w:p>
        </w:tc>
        <w:tc>
          <w:tcPr>
            <w:tcW w:w="3260" w:type="dxa"/>
            <w:shd w:val="clear" w:color="auto" w:fill="FFFFFF"/>
            <w:vAlign w:val="center"/>
          </w:tcPr>
          <w:p w:rsidR="00065632" w:rsidRPr="00693AAF" w:rsidRDefault="00065632" w:rsidP="00693AAF">
            <w:pPr>
              <w:pStyle w:val="Highlight2"/>
              <w:spacing w:after="0"/>
              <w:jc w:val="center"/>
              <w:rPr>
                <w:b w:val="0"/>
                <w:bCs w:val="0"/>
              </w:rPr>
            </w:pPr>
            <w:r w:rsidRPr="00693AAF">
              <w:rPr>
                <w:b w:val="0"/>
                <w:bCs w:val="0"/>
                <w:color w:val="000000"/>
              </w:rPr>
              <w:t>Positive perception of subsidies by the public</w:t>
            </w:r>
          </w:p>
        </w:tc>
        <w:tc>
          <w:tcPr>
            <w:tcW w:w="3827" w:type="dxa"/>
            <w:shd w:val="clear" w:color="auto" w:fill="FFFFFF"/>
            <w:vAlign w:val="center"/>
          </w:tcPr>
          <w:p w:rsidR="00065632" w:rsidRPr="00693AAF" w:rsidRDefault="00065632" w:rsidP="00693AAF">
            <w:pPr>
              <w:pStyle w:val="Highlight2"/>
              <w:spacing w:after="0"/>
              <w:jc w:val="center"/>
              <w:rPr>
                <w:b w:val="0"/>
                <w:bCs w:val="0"/>
              </w:rPr>
            </w:pPr>
            <w:r w:rsidRPr="00693AAF">
              <w:rPr>
                <w:b w:val="0"/>
                <w:bCs w:val="0"/>
                <w:color w:val="auto"/>
              </w:rPr>
              <w:t>Without any substantial impact</w:t>
            </w:r>
          </w:p>
        </w:tc>
      </w:tr>
      <w:tr w:rsidR="00065632">
        <w:tc>
          <w:tcPr>
            <w:tcW w:w="2155" w:type="dxa"/>
            <w:shd w:val="clear" w:color="auto" w:fill="FFFFFF"/>
            <w:vAlign w:val="center"/>
          </w:tcPr>
          <w:p w:rsidR="00065632" w:rsidRPr="00693AAF" w:rsidRDefault="00065632" w:rsidP="00693AAF">
            <w:pPr>
              <w:pStyle w:val="Highlight2"/>
              <w:spacing w:after="0"/>
              <w:jc w:val="left"/>
            </w:pPr>
            <w:r w:rsidRPr="00693AAF">
              <w:rPr>
                <w:color w:val="000000"/>
              </w:rPr>
              <w:t>Increased workload</w:t>
            </w:r>
          </w:p>
        </w:tc>
        <w:tc>
          <w:tcPr>
            <w:tcW w:w="3260" w:type="dxa"/>
            <w:shd w:val="clear" w:color="auto" w:fill="FFFFFF"/>
            <w:vAlign w:val="center"/>
          </w:tcPr>
          <w:p w:rsidR="00065632" w:rsidRPr="00693AAF" w:rsidRDefault="00065632" w:rsidP="00693AAF">
            <w:pPr>
              <w:pStyle w:val="Highlight2"/>
              <w:spacing w:after="0"/>
              <w:jc w:val="center"/>
              <w:rPr>
                <w:b w:val="0"/>
                <w:bCs w:val="0"/>
              </w:rPr>
            </w:pPr>
            <w:r w:rsidRPr="00693AAF">
              <w:rPr>
                <w:b w:val="0"/>
                <w:bCs w:val="0"/>
                <w:color w:val="000000"/>
              </w:rPr>
              <w:t>Subsidies are perceived rather negatively by final beneficiaries due to their administrative burden, i.e. subsidies may enhance the market failure</w:t>
            </w:r>
          </w:p>
        </w:tc>
        <w:tc>
          <w:tcPr>
            <w:tcW w:w="3827" w:type="dxa"/>
            <w:shd w:val="clear" w:color="auto" w:fill="FFFFFF"/>
            <w:vAlign w:val="center"/>
          </w:tcPr>
          <w:p w:rsidR="00065632" w:rsidRPr="00693AAF" w:rsidRDefault="00065632" w:rsidP="00693AAF">
            <w:pPr>
              <w:pStyle w:val="Highlight2"/>
              <w:spacing w:after="0"/>
              <w:jc w:val="center"/>
              <w:rPr>
                <w:b w:val="0"/>
                <w:bCs w:val="0"/>
              </w:rPr>
            </w:pPr>
            <w:r w:rsidRPr="00693AAF">
              <w:rPr>
                <w:b w:val="0"/>
                <w:bCs w:val="0"/>
                <w:color w:val="000000"/>
              </w:rPr>
              <w:t xml:space="preserve">Setting of drawing through financial instruments is considerably simpler; neutral influence on the market failure (primarily from the point of view of the final beneficiary) </w:t>
            </w:r>
          </w:p>
        </w:tc>
      </w:tr>
      <w:tr w:rsidR="00065632">
        <w:tc>
          <w:tcPr>
            <w:tcW w:w="2155" w:type="dxa"/>
            <w:shd w:val="clear" w:color="auto" w:fill="FFFFFF"/>
            <w:vAlign w:val="center"/>
          </w:tcPr>
          <w:p w:rsidR="00065632" w:rsidRPr="00693AAF" w:rsidRDefault="00065632" w:rsidP="00693AAF">
            <w:pPr>
              <w:pStyle w:val="Highlight2"/>
              <w:spacing w:after="0"/>
              <w:jc w:val="left"/>
            </w:pPr>
            <w:r w:rsidRPr="00693AAF">
              <w:rPr>
                <w:color w:val="000000"/>
              </w:rPr>
              <w:t xml:space="preserve">Absence of comprehensive consideration of benefits and costs </w:t>
            </w:r>
          </w:p>
        </w:tc>
        <w:tc>
          <w:tcPr>
            <w:tcW w:w="3260" w:type="dxa"/>
            <w:shd w:val="clear" w:color="auto" w:fill="FFFFFF"/>
            <w:vAlign w:val="center"/>
          </w:tcPr>
          <w:p w:rsidR="00065632" w:rsidRPr="00693AAF" w:rsidRDefault="00065632" w:rsidP="00693AAF">
            <w:pPr>
              <w:pStyle w:val="Highlight2"/>
              <w:spacing w:after="0"/>
              <w:jc w:val="center"/>
              <w:rPr>
                <w:b w:val="0"/>
                <w:bCs w:val="0"/>
              </w:rPr>
            </w:pPr>
            <w:r w:rsidRPr="00693AAF">
              <w:rPr>
                <w:b w:val="0"/>
                <w:bCs w:val="0"/>
                <w:color w:val="000000"/>
              </w:rPr>
              <w:t>Without any substantial impact</w:t>
            </w:r>
          </w:p>
        </w:tc>
        <w:tc>
          <w:tcPr>
            <w:tcW w:w="3827" w:type="dxa"/>
            <w:shd w:val="clear" w:color="auto" w:fill="FFFFFF"/>
            <w:vAlign w:val="center"/>
          </w:tcPr>
          <w:p w:rsidR="00065632" w:rsidRPr="00693AAF" w:rsidRDefault="00065632" w:rsidP="00693AAF">
            <w:pPr>
              <w:pStyle w:val="Highlight2"/>
              <w:spacing w:after="0"/>
              <w:jc w:val="center"/>
              <w:rPr>
                <w:b w:val="0"/>
                <w:bCs w:val="0"/>
              </w:rPr>
            </w:pPr>
            <w:r w:rsidRPr="00693AAF">
              <w:rPr>
                <w:b w:val="0"/>
                <w:bCs w:val="0"/>
                <w:color w:val="000000"/>
              </w:rPr>
              <w:t>In planning a project, the beneficiary has to calculate the economic return; a positive influence on the market failure</w:t>
            </w:r>
          </w:p>
        </w:tc>
      </w:tr>
      <w:tr w:rsidR="00065632">
        <w:tc>
          <w:tcPr>
            <w:tcW w:w="2155" w:type="dxa"/>
            <w:shd w:val="clear" w:color="auto" w:fill="FFFFFF"/>
            <w:vAlign w:val="center"/>
          </w:tcPr>
          <w:p w:rsidR="00065632" w:rsidRPr="00693AAF" w:rsidRDefault="00065632" w:rsidP="00693AAF">
            <w:pPr>
              <w:pStyle w:val="Highlight2"/>
              <w:spacing w:after="0"/>
              <w:jc w:val="left"/>
            </w:pPr>
            <w:r w:rsidRPr="00693AAF">
              <w:rPr>
                <w:color w:val="000000"/>
              </w:rPr>
              <w:t>Legislative ambiguity</w:t>
            </w:r>
          </w:p>
        </w:tc>
        <w:tc>
          <w:tcPr>
            <w:tcW w:w="7087" w:type="dxa"/>
            <w:gridSpan w:val="2"/>
            <w:shd w:val="clear" w:color="auto" w:fill="FFFFFF"/>
            <w:vAlign w:val="center"/>
          </w:tcPr>
          <w:p w:rsidR="00065632" w:rsidRPr="00693AAF" w:rsidRDefault="00065632" w:rsidP="00693AAF">
            <w:pPr>
              <w:pStyle w:val="Highlight2"/>
              <w:spacing w:after="0"/>
              <w:jc w:val="center"/>
              <w:rPr>
                <w:b w:val="0"/>
                <w:bCs w:val="0"/>
              </w:rPr>
            </w:pPr>
            <w:r w:rsidRPr="00693AAF">
              <w:rPr>
                <w:b w:val="0"/>
                <w:bCs w:val="0"/>
                <w:color w:val="000000"/>
              </w:rPr>
              <w:t xml:space="preserve">Clarifying legislative ambiguity will help decide which form of aid will be more suitable. </w:t>
            </w:r>
          </w:p>
        </w:tc>
      </w:tr>
    </w:tbl>
    <w:p w:rsidR="00065632" w:rsidRDefault="00065632" w:rsidP="00DA4E52">
      <w:pPr>
        <w:pStyle w:val="Titulek"/>
        <w:spacing w:after="240" w:afterAutospacing="0"/>
      </w:pPr>
      <w:bookmarkStart w:id="71" w:name="_Toc409795564"/>
      <w:bookmarkStart w:id="72" w:name="_Toc417655502"/>
      <w:bookmarkStart w:id="73" w:name="_Toc426033913"/>
      <w:r>
        <w:t xml:space="preserve">Table </w:t>
      </w:r>
      <w:r>
        <w:fldChar w:fldCharType="begin"/>
      </w:r>
      <w:r>
        <w:instrText xml:space="preserve"> SEQ Tabulka \* ARABIC </w:instrText>
      </w:r>
      <w:r>
        <w:fldChar w:fldCharType="separate"/>
      </w:r>
      <w:r>
        <w:rPr>
          <w:noProof/>
        </w:rPr>
        <w:t>4</w:t>
      </w:r>
      <w:r>
        <w:fldChar w:fldCharType="end"/>
      </w:r>
      <w:r>
        <w:t>: An overview of the potential of subsidy and a loan instrument to correct the identified market failures</w:t>
      </w:r>
      <w:bookmarkEnd w:id="71"/>
      <w:bookmarkEnd w:id="72"/>
      <w:bookmarkEnd w:id="73"/>
    </w:p>
    <w:p w:rsidR="00065632" w:rsidRPr="00E15207" w:rsidRDefault="00065632" w:rsidP="00DA4E52">
      <w:pPr>
        <w:rPr>
          <w:color w:val="000000"/>
          <w:sz w:val="24"/>
          <w:szCs w:val="24"/>
        </w:rPr>
      </w:pPr>
      <w:r>
        <w:t>The subsidy-based form of financial assistance is undeniably more attractive for applicants in the economic and political aspect; however, debt financing is more suitable to ensure long-term operability of investments, and therefore actual fulfilment of the purpose of implementation of as much new social housing from the identified investment need of the CR as possible. Assessing the suitability of choice between both forms of support, or specifically finding their suitable combination, will be the subject of further analysis upon clarification of open question; it will be carried out as an update to the ex-ante assessment. The update will have to address mainly the following known limitations, risks and problems:</w:t>
      </w:r>
    </w:p>
    <w:p w:rsidR="00065632" w:rsidRPr="00E15207" w:rsidRDefault="00065632" w:rsidP="00065632">
      <w:pPr>
        <w:pStyle w:val="Odstavecseseznamem"/>
        <w:numPr>
          <w:ilvl w:val="0"/>
          <w:numId w:val="47"/>
        </w:numPr>
        <w:ind w:left="714" w:hanging="357"/>
      </w:pPr>
      <w:r>
        <w:t>Profitability of projects works on the assumption of 100% occupancy rate and it does not address the risk of vacancy of apartments, which could prolong the payback period of a project behind an acceptable level.</w:t>
      </w:r>
    </w:p>
    <w:p w:rsidR="00065632" w:rsidRPr="00E15207" w:rsidRDefault="00065632" w:rsidP="00065632">
      <w:pPr>
        <w:pStyle w:val="Odstavecseseznamem"/>
        <w:numPr>
          <w:ilvl w:val="0"/>
          <w:numId w:val="47"/>
        </w:numPr>
        <w:ind w:left="714" w:hanging="357"/>
      </w:pPr>
      <w:r>
        <w:t>The current method of application evaluation does not exclude approval of unsuitable projects. The return on project is determined based on its simple rate of return. If a discount factor based on a usual reference yield rate on mortgage bonds s applied, the payback period could be, again, prolonged behind acceptable.</w:t>
      </w:r>
    </w:p>
    <w:p w:rsidR="00065632" w:rsidRDefault="00065632" w:rsidP="00065632">
      <w:pPr>
        <w:pStyle w:val="Odstavecseseznamem"/>
        <w:numPr>
          <w:ilvl w:val="0"/>
          <w:numId w:val="47"/>
        </w:numPr>
        <w:ind w:left="714" w:hanging="357"/>
      </w:pPr>
      <w:r>
        <w:t>Under the pressure to pay back loans, municipalities may resort to an increase in rent above the required threshold. The possibility of IROP rules setting rules that would make impossible to increase rent above the inflation rate is a complicated legal issue and this procedure may not be relied on—</w:t>
      </w:r>
      <w:proofErr w:type="spellStart"/>
      <w:r>
        <w:t>e.g</w:t>
      </w:r>
      <w:proofErr w:type="spellEnd"/>
      <w:r>
        <w:t xml:space="preserve"> the programme of SFHD assistance obliges beneficiaries to observe the limit of rent amount only in relation to the first concluded lease contract; subsequent increase is not limited. </w:t>
      </w:r>
    </w:p>
    <w:p w:rsidR="00065632" w:rsidRPr="00E15207" w:rsidRDefault="00065632" w:rsidP="00065632">
      <w:pPr>
        <w:pStyle w:val="Odstavecseseznamem"/>
        <w:numPr>
          <w:ilvl w:val="0"/>
          <w:numId w:val="47"/>
        </w:numPr>
        <w:ind w:left="714" w:hanging="357"/>
      </w:pPr>
      <w:r>
        <w:t xml:space="preserve">It is not clear in the plan of involvement of a combined financial instrument including a subsidy component (e.g. 20% of the investment amount) whether it would be possible to comply with the </w:t>
      </w:r>
      <w:r>
        <w:lastRenderedPageBreak/>
        <w:t>limitations associated with state aid guidelines. In the case this possibility is not confirmed, it would be necessary to apply for two forms of aid separately.</w:t>
      </w:r>
    </w:p>
    <w:p w:rsidR="00065632" w:rsidRDefault="00065632" w:rsidP="00DA4E52">
      <w:pPr>
        <w:pStyle w:val="Highlight2"/>
      </w:pPr>
    </w:p>
    <w:p w:rsidR="00065632" w:rsidRDefault="00065632" w:rsidP="00DA4E52">
      <w:pPr>
        <w:spacing w:after="0"/>
        <w:jc w:val="left"/>
      </w:pPr>
      <w:r>
        <w:br w:type="page"/>
      </w:r>
    </w:p>
    <w:p w:rsidR="00065632" w:rsidRDefault="00065632" w:rsidP="00DA4E52">
      <w:pPr>
        <w:pStyle w:val="Nadpis3"/>
      </w:pPr>
      <w:bookmarkStart w:id="74" w:name="_Toc409797485"/>
      <w:bookmarkStart w:id="75" w:name="_Toc418767143"/>
      <w:bookmarkStart w:id="76" w:name="_Toc426033653"/>
      <w:r>
        <w:lastRenderedPageBreak/>
        <w:t>Specific objective 2.5 – Reduction in energy consumption in the housing sector</w:t>
      </w:r>
      <w:bookmarkEnd w:id="74"/>
      <w:bookmarkEnd w:id="75"/>
      <w:bookmarkEnd w:id="76"/>
    </w:p>
    <w:p w:rsidR="00065632" w:rsidRDefault="00065632" w:rsidP="000979B7">
      <w:pPr>
        <w:pStyle w:val="Nadpis4"/>
      </w:pPr>
      <w:r>
        <w:t>Selection of supported activities of SO 2.5 with a potential for IFIs</w:t>
      </w:r>
    </w:p>
    <w:p w:rsidR="00065632" w:rsidRDefault="00065632" w:rsidP="00DA4E52">
      <w:r>
        <w:t>Based on the pre-screening survey it was preliminary assessed that the entire specific objective is suitable for involvement of loan financial instruments, i.e. areas of intervention:</w:t>
      </w:r>
    </w:p>
    <w:p w:rsidR="00065632" w:rsidRPr="00726B84" w:rsidRDefault="00065632" w:rsidP="00065632">
      <w:pPr>
        <w:pStyle w:val="Odstavecseseznamem"/>
        <w:numPr>
          <w:ilvl w:val="0"/>
          <w:numId w:val="21"/>
        </w:numPr>
      </w:pPr>
      <w:r>
        <w:t>Reduction in energy consumption by improving insulation properties of buildings;</w:t>
      </w:r>
    </w:p>
    <w:p w:rsidR="00065632" w:rsidRPr="00726B84" w:rsidRDefault="00065632" w:rsidP="00065632">
      <w:pPr>
        <w:pStyle w:val="Odstavecseseznamem"/>
        <w:numPr>
          <w:ilvl w:val="0"/>
          <w:numId w:val="21"/>
        </w:numPr>
      </w:pPr>
      <w:r>
        <w:t>Devices for heating or preparation of hot water;</w:t>
      </w:r>
    </w:p>
    <w:p w:rsidR="00065632" w:rsidRPr="00726B84" w:rsidRDefault="00065632" w:rsidP="00065632">
      <w:pPr>
        <w:pStyle w:val="Odstavecseseznamem"/>
        <w:numPr>
          <w:ilvl w:val="0"/>
          <w:numId w:val="21"/>
        </w:numPr>
      </w:pPr>
      <w:r>
        <w:t xml:space="preserve">Shift to economical, environmentally friendly resources. </w:t>
      </w:r>
    </w:p>
    <w:p w:rsidR="00065632" w:rsidRDefault="00065632" w:rsidP="00DA4E52">
      <w:r>
        <w:t>Beneficiaries may be owners of residential buildings and associations of apartment owners—buildings with four and more apartments.</w:t>
      </w:r>
    </w:p>
    <w:p w:rsidR="00065632" w:rsidRDefault="00065632" w:rsidP="000979B7">
      <w:pPr>
        <w:pStyle w:val="Nadpis4"/>
      </w:pPr>
      <w:r>
        <w:t>General characteristics of the market environment</w:t>
      </w:r>
    </w:p>
    <w:p w:rsidR="00065632" w:rsidRPr="0009702A" w:rsidRDefault="00065632" w:rsidP="00DA4E52">
      <w:r>
        <w:t xml:space="preserve">The energy sector is an important regulatory field, which is subject to a significant influence from state authorities. In this respect, two of the key materials are the </w:t>
      </w:r>
      <w:r>
        <w:rPr>
          <w:b/>
          <w:bCs/>
        </w:rPr>
        <w:t>National Energy Efficiency Action Plan of the Czech Republic and the Update to the State Energy Concept of the Czech Republic</w:t>
      </w:r>
      <w:r>
        <w:t xml:space="preserve"> that set out targets for the future period and instruments to achieve them. The provisions on the general characteristics of the environment are mainly based on the knowledge of the up-to-date national action plan, specifically its second version released by the Ministry of Industry and Trade on 30 October 2014.</w:t>
      </w:r>
    </w:p>
    <w:p w:rsidR="00065632" w:rsidRPr="0009702A" w:rsidRDefault="00065632" w:rsidP="00DA4E52">
      <w:r>
        <w:t xml:space="preserve">The Czech Republic has strongly supported the increasing of energy efficiency since 1989. The Czech Republic rapidly liberalized the energy market, giving a substantial impetus for increasing the energy efficiency. To increase energy efficiency, the instruments in the area of regulatory (legislative), economic instruments and awareness are actively used by the government of the Czech Republic on a long-term basis. Within the framework of economic instruments, both the national resources and the resources from the EU structural funds are used. In line with the Europe 2020 Strategy, the Czech Republic encourages the use of a significant volume of resources from the future multiannual financial framework on energy efficiency and support for entrepreneurship, which should help to ensure Europe's competitiveness. </w:t>
      </w:r>
    </w:p>
    <w:p w:rsidR="00065632" w:rsidRPr="0009702A" w:rsidRDefault="00065632" w:rsidP="00DA4E52">
      <w:r>
        <w:t xml:space="preserve">In connection with the commitments following from the implementation of the Directive 2012/27/EU of the European Parliament and of the Council on energy efficiency, </w:t>
      </w:r>
      <w:r>
        <w:rPr>
          <w:b/>
          <w:bCs/>
        </w:rPr>
        <w:t xml:space="preserve">the indicative national target has been set for the Czech Republic in the amount of 47.84 PJ (13.29 </w:t>
      </w:r>
      <w:proofErr w:type="spellStart"/>
      <w:r>
        <w:rPr>
          <w:b/>
          <w:bCs/>
        </w:rPr>
        <w:t>TWh</w:t>
      </w:r>
      <w:proofErr w:type="spellEnd"/>
      <w:r>
        <w:rPr>
          <w:b/>
          <w:bCs/>
        </w:rPr>
        <w:t>) of new savings in final energy consumption until 2020.</w:t>
      </w:r>
      <w:r>
        <w:t xml:space="preserve"> In connection with the above target, appropriate measures have been </w:t>
      </w:r>
      <w:proofErr w:type="gramStart"/>
      <w:r>
        <w:t>defined,</w:t>
      </w:r>
      <w:proofErr w:type="gramEnd"/>
      <w:r>
        <w:t xml:space="preserve"> which include emphasis on the area dealing with the increasing of energy efficiency of buildings.</w:t>
      </w:r>
    </w:p>
    <w:p w:rsidR="00065632" w:rsidRPr="0009702A" w:rsidRDefault="00065632" w:rsidP="00DA4E52">
      <w:r>
        <w:rPr>
          <w:b/>
          <w:bCs/>
        </w:rPr>
        <w:t>To fulfil Article 7 of the above Directive, the Czech Republic opted for the implementation of a set of other policy measures under Article 7(9) of Directive. For the purposes of the implementation, the Czech Republic calls this method an "alternative approach".</w:t>
      </w:r>
      <w:r>
        <w:rPr>
          <w:rStyle w:val="Znakapoznpodarou"/>
        </w:rPr>
        <w:t xml:space="preserve"> </w:t>
      </w:r>
      <w:r>
        <w:rPr>
          <w:rStyle w:val="Znakapoznpodarou"/>
        </w:rPr>
        <w:footnoteReference w:id="3"/>
      </w:r>
      <w:r>
        <w:rPr>
          <w:b/>
          <w:bCs/>
        </w:rPr>
        <w:t xml:space="preserve"> </w:t>
      </w:r>
      <w:r>
        <w:t xml:space="preserve">As far as other policy measures offered and described by the above Directive are concerned, the Czech Republic will use the financing schemes and instruments, and training or education including energy advisory </w:t>
      </w:r>
      <w:proofErr w:type="gramStart"/>
      <w:r>
        <w:t>programmes, that</w:t>
      </w:r>
      <w:proofErr w:type="gramEnd"/>
      <w:r>
        <w:t xml:space="preserve"> lead to the application of energy-efficient technology or techniques and have the effect of reducing end-user energy consumption:</w:t>
      </w:r>
    </w:p>
    <w:p w:rsidR="00065632" w:rsidRPr="0009702A" w:rsidRDefault="00065632" w:rsidP="00065632">
      <w:pPr>
        <w:pStyle w:val="Odstavecseseznamem"/>
        <w:numPr>
          <w:ilvl w:val="0"/>
          <w:numId w:val="37"/>
        </w:numPr>
      </w:pPr>
      <w:r>
        <w:t>Financial engineering instruments;</w:t>
      </w:r>
    </w:p>
    <w:p w:rsidR="00065632" w:rsidRPr="0009702A" w:rsidRDefault="00065632" w:rsidP="00065632">
      <w:pPr>
        <w:pStyle w:val="Odstavecseseznamem"/>
        <w:numPr>
          <w:ilvl w:val="0"/>
          <w:numId w:val="37"/>
        </w:numPr>
      </w:pPr>
      <w:r>
        <w:t>Investment grants;</w:t>
      </w:r>
    </w:p>
    <w:p w:rsidR="00065632" w:rsidRPr="0009702A" w:rsidRDefault="00065632" w:rsidP="00065632">
      <w:pPr>
        <w:pStyle w:val="Odstavecseseznamem"/>
        <w:numPr>
          <w:ilvl w:val="0"/>
          <w:numId w:val="40"/>
        </w:numPr>
      </w:pPr>
      <w:r>
        <w:t>Non-investment grants (analysing suitability of the use of the EPC method, energy management, awareness).</w:t>
      </w:r>
    </w:p>
    <w:p w:rsidR="00065632" w:rsidRDefault="00065632" w:rsidP="00DA4E52">
      <w:r>
        <w:t xml:space="preserve">The issue of increasing energy efficiency, or reducing energy intensity, is addressed, in their focus, by four planned operational programmes in the 2014–2020 </w:t>
      </w:r>
      <w:proofErr w:type="gramStart"/>
      <w:r>
        <w:t>period</w:t>
      </w:r>
      <w:proofErr w:type="gramEnd"/>
      <w:r>
        <w:t xml:space="preserve">, namely: </w:t>
      </w:r>
    </w:p>
    <w:p w:rsidR="00065632" w:rsidRDefault="00065632" w:rsidP="00065632">
      <w:pPr>
        <w:pStyle w:val="Odstavecseseznamem"/>
        <w:numPr>
          <w:ilvl w:val="0"/>
          <w:numId w:val="40"/>
        </w:numPr>
      </w:pPr>
      <w:r>
        <w:lastRenderedPageBreak/>
        <w:t>OP E and OP Prague in the area of public buildings;</w:t>
      </w:r>
    </w:p>
    <w:p w:rsidR="00065632" w:rsidRDefault="00065632" w:rsidP="00065632">
      <w:pPr>
        <w:pStyle w:val="Odstavecseseznamem"/>
        <w:numPr>
          <w:ilvl w:val="0"/>
          <w:numId w:val="40"/>
        </w:numPr>
      </w:pPr>
      <w:r>
        <w:t>OP EIC in the area of business sector;</w:t>
      </w:r>
    </w:p>
    <w:p w:rsidR="00065632" w:rsidRDefault="00065632" w:rsidP="00065632">
      <w:pPr>
        <w:pStyle w:val="Odstavecseseznamem"/>
        <w:numPr>
          <w:ilvl w:val="0"/>
          <w:numId w:val="40"/>
        </w:numPr>
      </w:pPr>
      <w:r>
        <w:t>IROP in the area of housing sector—residential buildings.</w:t>
      </w:r>
    </w:p>
    <w:p w:rsidR="00065632" w:rsidRDefault="00065632" w:rsidP="00DA4E52">
      <w:r>
        <w:t xml:space="preserve">Measurable progress can be observed in the area of energy consumption in the housing sector over the past two years, mainly with regard to the availability of state aid for this area (EU and national programmes). However, despite the measurable progress, there is a vast majority of single-family houses and apartment complexes which do not meet the basic parameters of energy-sustainable use of energy. Renovation of residential buildings is the aim of IROP aid, specifically the focus of </w:t>
      </w:r>
      <w:r>
        <w:rPr>
          <w:b/>
          <w:bCs/>
        </w:rPr>
        <w:t>SO 2.5, whose activities plan to reduce the energy intensity of residential buildings (buildings with four and more residential units) in the housing sector to cost-optimal level, and increase the share of renewable energy resources.</w:t>
      </w:r>
      <w:r>
        <w:t xml:space="preserve"> The objective is, in particular, to increase the incentive of owners of buildings to implement projects or to accelerate the pace of implementation of those projects that the Czech Republic is obliged to fulfil with respect to the valid commitments arising from the above mentioned Energy Efficiency Directive.</w:t>
      </w:r>
    </w:p>
    <w:p w:rsidR="00065632" w:rsidRDefault="00065632" w:rsidP="00DA4E52">
      <w:r>
        <w:t xml:space="preserve">The </w:t>
      </w:r>
      <w:r>
        <w:rPr>
          <w:b/>
          <w:bCs/>
        </w:rPr>
        <w:t>Report on the progress in meeting the national energy efficiency targets in the Czech Republic</w:t>
      </w:r>
      <w:r>
        <w:t>, which is an annex to the National Energy Efficiency Action Plan of the Czech Republic, specifies an assumption of contribution by individual EU and national programmes to the fulfilment of the Directive objectives. Savings of 1,796 TJ in 2014–2016 are expected for the IROP in 2014–2016; if we prolong the time line until 2020 accordingly, we may expect a requirement of contribution of up to 5,500 TJ. To make fulfilment of the indicated objectives possible, IROP sources must be involved using the highest possible multiplier effect so that a sufficient number of applicants can be supported.</w:t>
      </w:r>
    </w:p>
    <w:p w:rsidR="00065632" w:rsidRDefault="00065632" w:rsidP="00DA4E52">
      <w:r>
        <w:t xml:space="preserve">The </w:t>
      </w:r>
      <w:r>
        <w:rPr>
          <w:b/>
          <w:bCs/>
        </w:rPr>
        <w:t>Strategy of Building Renovation</w:t>
      </w:r>
      <w:r>
        <w:t>, which is also an annex to the National Energy Efficiency Action Plan of the Czech Republic, specifies particular recommendations for aid programmes in using suitable instruments leading to achievement of the set objectives The material states that it is suitable to use "</w:t>
      </w:r>
      <w:r>
        <w:rPr>
          <w:i/>
          <w:iCs/>
        </w:rPr>
        <w:t>possibilities of a financial leverage of a state investment on private investments, where a motivational aid intensity for private entities of 25% and for public entities of 50% of investment costs can be considered—the aid intensity will depend on the financial instrument used.</w:t>
      </w:r>
      <w:r>
        <w:t xml:space="preserve">" </w:t>
      </w:r>
      <w:r>
        <w:rPr>
          <w:b/>
          <w:bCs/>
        </w:rPr>
        <w:t>The Contractor agrees with the stated conclusions, and therefore proposes, for IROP specific objective 2.5, use of a loan financial instrument, which will bring about revolving involvement of public sources side by side with private ones, and state aid calculated as a gross grant equivalent will not exceed aid intensity of 25% of the total amount of eligible investment</w:t>
      </w:r>
      <w:r>
        <w:t xml:space="preserve">. IROP aid will be presented as one soft loan up to 100% of investment's eligible expenditure, which, however, will be a sum of sources from IROP and private entities—according to model examples, participation of approx. 50:50 can be expected. </w:t>
      </w:r>
    </w:p>
    <w:p w:rsidR="00065632" w:rsidRDefault="00065632" w:rsidP="000979B7">
      <w:pPr>
        <w:pStyle w:val="Nadpis4"/>
      </w:pPr>
      <w:r>
        <w:t>Supply characteristics</w:t>
      </w:r>
    </w:p>
    <w:p w:rsidR="00065632" w:rsidRDefault="00065632" w:rsidP="00DA4E52">
      <w:r>
        <w:t>The issue of investments in increasing the energy efficiency in the residential housing sector shows greater dynamism in terms of annually generated investments than one can observe in the public sector. The pace of these investments is, however, to a certain extent determined by the existence of some of the forms of state aid and it still fails to reach the necessary amount of 1.5% of annual savings on the volume of energy delivered to the network to end customers which is identified as a minimum threshold for successful fulfilment of objectives the CR had set in relation to the EU Directive on Energy Efficiency and year 2020.</w:t>
      </w:r>
    </w:p>
    <w:p w:rsidR="00065632" w:rsidRPr="009134B6" w:rsidRDefault="00065632" w:rsidP="00DA4E52">
      <w:r>
        <w:t>According to the analysis of available information and interviews with public and private sector representatives, the availability of state aid in the form of a grant mechanism or a soft loan is a key element in decision making – project implementation covered fully by own resources (where appropriate, with the use of funding through EPC) is a very rare approach and is rather a reaction to a very unsatisfactory state of the building as a whole; it does not primarily stem from environmental motives. There are no accurate data; however, the majority of all projects of implementation of construction and technological projects of increasing energy intensity in buildings in the residential housing sector are implemented only provided that some form of state aid is used.</w:t>
      </w:r>
    </w:p>
    <w:p w:rsidR="00065632" w:rsidRDefault="00065632" w:rsidP="00DA4E52">
      <w:r>
        <w:t>With regard to the fact that the planned IROP aid targets only support for buildings in the housing sector, which show significant differences from buildings with non-residential purpose of use, any previous experience outside the housing sector will be analysed to a very limited extent.</w:t>
      </w:r>
    </w:p>
    <w:p w:rsidR="00065632" w:rsidRDefault="00065632" w:rsidP="00DA4E52">
      <w:pPr>
        <w:pStyle w:val="Highlight2"/>
      </w:pPr>
      <w:r>
        <w:t>Public foreign sources of financing</w:t>
      </w:r>
    </w:p>
    <w:p w:rsidR="00065632" w:rsidRDefault="00065632" w:rsidP="00DA4E52">
      <w:r>
        <w:lastRenderedPageBreak/>
        <w:t>In the Czech Republic mostly funds from the Operational Programme Environment were in the last 7 years used to support the increasing of energy efficiency. In the case of focus on the overlap with the analysis by the monitored area of intervention, the following data can be considered relevant.</w:t>
      </w:r>
    </w:p>
    <w:p w:rsidR="00065632" w:rsidRDefault="00065632" w:rsidP="00DA4E52">
      <w:pPr>
        <w:rPr>
          <w:b/>
          <w:bCs/>
        </w:rPr>
      </w:pPr>
      <w:r>
        <w:rPr>
          <w:b/>
          <w:bCs/>
        </w:rPr>
        <w:t>Housing sector:</w:t>
      </w:r>
    </w:p>
    <w:p w:rsidR="00065632" w:rsidRPr="00B023AB" w:rsidRDefault="00065632" w:rsidP="00065632">
      <w:pPr>
        <w:pStyle w:val="Odstavecseseznamem"/>
        <w:numPr>
          <w:ilvl w:val="0"/>
          <w:numId w:val="38"/>
        </w:numPr>
        <w:rPr>
          <w:b/>
          <w:bCs/>
        </w:rPr>
      </w:pPr>
      <w:r>
        <w:rPr>
          <w:b/>
          <w:bCs/>
        </w:rPr>
        <w:t>IOP – standard form of subsidy for area of intervention 5.2</w:t>
      </w:r>
    </w:p>
    <w:p w:rsidR="00065632" w:rsidRPr="00B023AB" w:rsidRDefault="00065632" w:rsidP="00065632">
      <w:pPr>
        <w:pStyle w:val="Odstavecseseznamem"/>
        <w:numPr>
          <w:ilvl w:val="1"/>
          <w:numId w:val="38"/>
        </w:numPr>
        <w:rPr>
          <w:b/>
          <w:bCs/>
        </w:rPr>
      </w:pPr>
      <w:r>
        <w:t>CZK 5,535 million allocated (incl. later earmarked allocation for JESSICA), only small excess of demand for sources;</w:t>
      </w:r>
    </w:p>
    <w:p w:rsidR="00065632" w:rsidRPr="00B023AB" w:rsidRDefault="00065632" w:rsidP="00065632">
      <w:pPr>
        <w:pStyle w:val="Odstavecseseznamem"/>
        <w:numPr>
          <w:ilvl w:val="1"/>
          <w:numId w:val="38"/>
        </w:numPr>
        <w:rPr>
          <w:b/>
          <w:bCs/>
        </w:rPr>
      </w:pPr>
      <w:r>
        <w:t>A total of 1,477 grant applications were submitted and grant decisions were issued for 1,384 projects;</w:t>
      </w:r>
    </w:p>
    <w:p w:rsidR="00065632" w:rsidRPr="00C23D05" w:rsidRDefault="00065632" w:rsidP="00065632">
      <w:pPr>
        <w:pStyle w:val="Odstavecseseznamem"/>
        <w:numPr>
          <w:ilvl w:val="1"/>
          <w:numId w:val="38"/>
        </w:numPr>
        <w:rPr>
          <w:b/>
          <w:bCs/>
        </w:rPr>
      </w:pPr>
      <w:r>
        <w:t>Part of the objective's allocation supported projects of regeneration of deprived zones without a direct link to reducing the housing sector energy intensity.</w:t>
      </w:r>
    </w:p>
    <w:p w:rsidR="00065632" w:rsidRPr="00B023AB" w:rsidRDefault="00065632" w:rsidP="00C23D05">
      <w:pPr>
        <w:pStyle w:val="Odstavecseseznamem"/>
        <w:ind w:left="1500"/>
        <w:rPr>
          <w:b/>
          <w:bCs/>
        </w:rPr>
      </w:pPr>
    </w:p>
    <w:p w:rsidR="00065632" w:rsidRPr="00484F0F" w:rsidRDefault="00065632" w:rsidP="00065632">
      <w:pPr>
        <w:pStyle w:val="Odstavecseseznamem"/>
        <w:numPr>
          <w:ilvl w:val="0"/>
          <w:numId w:val="38"/>
        </w:numPr>
        <w:rPr>
          <w:b/>
          <w:bCs/>
        </w:rPr>
      </w:pPr>
      <w:r>
        <w:rPr>
          <w:b/>
          <w:bCs/>
        </w:rPr>
        <w:t>IOP, financial instrument JESSICA within the area of intervention 5.2</w:t>
      </w:r>
    </w:p>
    <w:p w:rsidR="00065632" w:rsidRPr="004270FC" w:rsidRDefault="00065632" w:rsidP="00065632">
      <w:pPr>
        <w:pStyle w:val="Odstavecseseznamem"/>
        <w:numPr>
          <w:ilvl w:val="1"/>
          <w:numId w:val="38"/>
        </w:numPr>
      </w:pPr>
      <w:r>
        <w:t>The allocation in the amount of circa CZK 600 million has been earmarked for the financial instrument; the demand for resources broadly followed the offered funds.</w:t>
      </w:r>
    </w:p>
    <w:p w:rsidR="00065632" w:rsidRPr="004270FC" w:rsidRDefault="00065632" w:rsidP="00065632">
      <w:pPr>
        <w:pStyle w:val="Odstavecseseznamem"/>
        <w:numPr>
          <w:ilvl w:val="1"/>
          <w:numId w:val="38"/>
        </w:numPr>
      </w:pPr>
      <w:r>
        <w:t>Measures were aided to recover multi-apartment buildings and the activity to ensure modern social housing.</w:t>
      </w:r>
    </w:p>
    <w:p w:rsidR="00065632" w:rsidRPr="00AC50F0" w:rsidRDefault="00065632" w:rsidP="00DA4E52">
      <w:pPr>
        <w:rPr>
          <w:b/>
          <w:bCs/>
        </w:rPr>
      </w:pPr>
      <w:r>
        <w:rPr>
          <w:b/>
          <w:bCs/>
        </w:rPr>
        <w:t>Renovations outside the housing sector:</w:t>
      </w:r>
    </w:p>
    <w:p w:rsidR="00065632" w:rsidRDefault="00065632" w:rsidP="00065632">
      <w:pPr>
        <w:pStyle w:val="Odstavecseseznamem"/>
        <w:numPr>
          <w:ilvl w:val="0"/>
          <w:numId w:val="38"/>
        </w:numPr>
      </w:pPr>
      <w:proofErr w:type="gramStart"/>
      <w:r>
        <w:rPr>
          <w:b/>
          <w:bCs/>
        </w:rPr>
        <w:t>OPE,</w:t>
      </w:r>
      <w:proofErr w:type="gramEnd"/>
      <w:r>
        <w:rPr>
          <w:b/>
          <w:bCs/>
        </w:rPr>
        <w:t xml:space="preserve"> SO 3.2</w:t>
      </w:r>
      <w:r>
        <w:rPr>
          <w:rStyle w:val="Siln"/>
        </w:rPr>
        <w:t xml:space="preserve"> Energy savings and waste heat recovery for non-entrepreneurship sphere</w:t>
      </w:r>
      <w:r>
        <w:t>.</w:t>
      </w:r>
    </w:p>
    <w:p w:rsidR="00065632" w:rsidRDefault="00065632" w:rsidP="00065632">
      <w:pPr>
        <w:pStyle w:val="Odstavecseseznamem"/>
        <w:numPr>
          <w:ilvl w:val="1"/>
          <w:numId w:val="38"/>
        </w:numPr>
      </w:pPr>
      <w:r>
        <w:t>Allocated CZK 15,290 million, significant excess of demand for resources;</w:t>
      </w:r>
    </w:p>
    <w:p w:rsidR="00065632" w:rsidRDefault="00065632" w:rsidP="00065632">
      <w:pPr>
        <w:pStyle w:val="Odstavecseseznamem"/>
        <w:numPr>
          <w:ilvl w:val="1"/>
          <w:numId w:val="38"/>
        </w:numPr>
      </w:pPr>
      <w:r>
        <w:t>In total 7,889 applications for aid were filed, 5,638 projects show a positive status, and 2,251 show a negative status.</w:t>
      </w:r>
    </w:p>
    <w:p w:rsidR="00065632" w:rsidRPr="00CE3213" w:rsidRDefault="00065632" w:rsidP="00065632">
      <w:pPr>
        <w:pStyle w:val="Odstavecseseznamem"/>
        <w:numPr>
          <w:ilvl w:val="1"/>
          <w:numId w:val="38"/>
        </w:numPr>
      </w:pPr>
      <w:r>
        <w:t>Projects with a positive status have significantly exceeded the allocation available (CZK 27.1 billion), projects with a negative status represent unrealised requested funding amounting to CZK 18</w:t>
      </w:r>
      <w:proofErr w:type="gramStart"/>
      <w:r>
        <w:t>,98</w:t>
      </w:r>
      <w:proofErr w:type="gramEnd"/>
      <w:r>
        <w:t xml:space="preserve"> billion.</w:t>
      </w:r>
    </w:p>
    <w:p w:rsidR="00065632" w:rsidRPr="001F4BEB" w:rsidRDefault="00065632" w:rsidP="00065632">
      <w:pPr>
        <w:pStyle w:val="Odstavecseseznamem"/>
        <w:numPr>
          <w:ilvl w:val="0"/>
          <w:numId w:val="38"/>
        </w:numPr>
        <w:rPr>
          <w:b/>
          <w:bCs/>
        </w:rPr>
      </w:pPr>
      <w:r>
        <w:rPr>
          <w:b/>
          <w:bCs/>
        </w:rPr>
        <w:t xml:space="preserve">OP PK, SO 2.2 Energy-efficient and sustainable use of energy and natural resources </w:t>
      </w:r>
    </w:p>
    <w:p w:rsidR="00065632" w:rsidRDefault="00065632" w:rsidP="00065632">
      <w:pPr>
        <w:pStyle w:val="Odstavecseseznamem"/>
        <w:numPr>
          <w:ilvl w:val="1"/>
          <w:numId w:val="38"/>
        </w:numPr>
      </w:pPr>
      <w:r>
        <w:t>Allocated CZK 198 million; significant excess of demand for resources, amount of CZK 357 million; decisions were issued for 12 projects of total 21 applications.</w:t>
      </w:r>
    </w:p>
    <w:p w:rsidR="00065632" w:rsidRPr="004458F9" w:rsidRDefault="00065632" w:rsidP="00065632">
      <w:pPr>
        <w:pStyle w:val="Odstavecseseznamem"/>
        <w:numPr>
          <w:ilvl w:val="0"/>
          <w:numId w:val="38"/>
        </w:numPr>
        <w:rPr>
          <w:b/>
          <w:bCs/>
        </w:rPr>
      </w:pPr>
      <w:r>
        <w:rPr>
          <w:b/>
          <w:bCs/>
        </w:rPr>
        <w:t>ROP Moravia-Silesia, financial instrument JESSICA</w:t>
      </w:r>
    </w:p>
    <w:p w:rsidR="00065632" w:rsidRPr="004270FC" w:rsidRDefault="00065632" w:rsidP="00065632">
      <w:pPr>
        <w:pStyle w:val="Odstavecseseznamem"/>
        <w:numPr>
          <w:ilvl w:val="1"/>
          <w:numId w:val="38"/>
        </w:numPr>
      </w:pPr>
      <w:r>
        <w:t xml:space="preserve">Approx. CZK 507 million was earmarked from the total allocation of priority axis 2 of the ROP Moravia-Silesia (CZK 5,158) for JESSICA activities. By the end of 2014, 3 loan agreements with final beneficiaries </w:t>
      </w:r>
      <w:proofErr w:type="gramStart"/>
      <w:r>
        <w:t>has</w:t>
      </w:r>
      <w:proofErr w:type="gramEnd"/>
      <w:r>
        <w:t xml:space="preserve"> been concluded. There is still approx. CZK 150 million available.</w:t>
      </w:r>
    </w:p>
    <w:p w:rsidR="00065632" w:rsidRDefault="00065632" w:rsidP="00065632">
      <w:pPr>
        <w:pStyle w:val="Odstavecseseznamem"/>
        <w:numPr>
          <w:ilvl w:val="1"/>
          <w:numId w:val="38"/>
        </w:numPr>
      </w:pPr>
      <w:r>
        <w:t>This concerns only a limited excess; the measures were aided to use deprived zones as well as the measures to invest into the infrastructure of public services.</w:t>
      </w:r>
    </w:p>
    <w:p w:rsidR="00065632" w:rsidRPr="001F4BEB" w:rsidRDefault="00065632" w:rsidP="00065632">
      <w:pPr>
        <w:pStyle w:val="Odstavecseseznamem"/>
        <w:numPr>
          <w:ilvl w:val="0"/>
          <w:numId w:val="38"/>
        </w:numPr>
        <w:rPr>
          <w:b/>
          <w:bCs/>
        </w:rPr>
      </w:pPr>
      <w:r>
        <w:rPr>
          <w:b/>
          <w:bCs/>
        </w:rPr>
        <w:t xml:space="preserve">OP EI, Eco Energy Programme </w:t>
      </w:r>
    </w:p>
    <w:p w:rsidR="00065632" w:rsidRPr="004270FC" w:rsidRDefault="00065632" w:rsidP="00065632">
      <w:pPr>
        <w:pStyle w:val="Odstavecseseznamem"/>
        <w:numPr>
          <w:ilvl w:val="1"/>
          <w:numId w:val="38"/>
        </w:numPr>
      </w:pPr>
      <w:r>
        <w:t xml:space="preserve">Allocated CZK 9,970 million; significant excess of demand for resources, amount of CZK 20,406 million; decisions were issued for 1,223 projects of total 2,177 applications. </w:t>
      </w:r>
    </w:p>
    <w:p w:rsidR="00065632" w:rsidRPr="004270FC" w:rsidRDefault="00065632" w:rsidP="00065632">
      <w:pPr>
        <w:pStyle w:val="Odstavecseseznamem"/>
        <w:numPr>
          <w:ilvl w:val="1"/>
          <w:numId w:val="38"/>
        </w:numPr>
      </w:pPr>
      <w:r>
        <w:t>This concerns only a limited excess; the measures were aided to improve energy performance of production and to use renewable and secondary energy sources to a higher extent</w:t>
      </w:r>
    </w:p>
    <w:p w:rsidR="00065632" w:rsidRDefault="00065632" w:rsidP="00065632">
      <w:pPr>
        <w:pStyle w:val="Odstavecseseznamem"/>
        <w:numPr>
          <w:ilvl w:val="1"/>
          <w:numId w:val="38"/>
        </w:numPr>
      </w:pPr>
      <w:r>
        <w:t>The support was directed towards the industrial sector, not only into the public sphere;</w:t>
      </w:r>
    </w:p>
    <w:p w:rsidR="00065632" w:rsidRPr="004458F9" w:rsidRDefault="00065632" w:rsidP="00065632">
      <w:pPr>
        <w:pStyle w:val="Odstavecseseznamem"/>
        <w:numPr>
          <w:ilvl w:val="0"/>
          <w:numId w:val="38"/>
        </w:numPr>
      </w:pPr>
      <w:r>
        <w:t xml:space="preserve">For the area of intervention considered, the use of </w:t>
      </w:r>
      <w:r>
        <w:rPr>
          <w:b/>
          <w:bCs/>
        </w:rPr>
        <w:t>the financial instrument JESSICA from OP PK</w:t>
      </w:r>
      <w:r>
        <w:t xml:space="preserve"> could be deemed to be associated – however, the necessary implementation structure has never been implemented and therefore no support data are available.</w:t>
      </w:r>
    </w:p>
    <w:p w:rsidR="00065632" w:rsidRDefault="00065632" w:rsidP="00DA4E52">
      <w:pPr>
        <w:pStyle w:val="Highlight2"/>
      </w:pPr>
      <w:r>
        <w:t>Public domestic sources of financing</w:t>
      </w:r>
    </w:p>
    <w:p w:rsidR="00065632" w:rsidRPr="007F59E4" w:rsidRDefault="00065632" w:rsidP="00DA4E52">
      <w:r>
        <w:lastRenderedPageBreak/>
        <w:t>In the case of focus on the overlap with the analysis by the areas of support considered and the sector specialisation, it is observed that the below national support programmes are worthy of analysis:</w:t>
      </w:r>
    </w:p>
    <w:p w:rsidR="00065632" w:rsidRPr="00A55334" w:rsidRDefault="00065632" w:rsidP="00065632">
      <w:pPr>
        <w:pStyle w:val="Odstavecseseznamem"/>
        <w:numPr>
          <w:ilvl w:val="0"/>
          <w:numId w:val="39"/>
        </w:numPr>
        <w:rPr>
          <w:b/>
          <w:bCs/>
        </w:rPr>
      </w:pPr>
      <w:r>
        <w:rPr>
          <w:b/>
          <w:bCs/>
        </w:rPr>
        <w:t>Green Savings</w:t>
      </w:r>
    </w:p>
    <w:p w:rsidR="00065632" w:rsidRPr="00A55334" w:rsidRDefault="00065632" w:rsidP="00065632">
      <w:pPr>
        <w:pStyle w:val="Odstavecseseznamem"/>
        <w:numPr>
          <w:ilvl w:val="1"/>
          <w:numId w:val="39"/>
        </w:numPr>
      </w:pPr>
      <w:r>
        <w:t>The programme aided quality thermal insulation of single-family houses and residential buildings, replacement of non-ecological heating for low-emission biomass resources and efficient heat pumps, installation of these sources in low-energy new buildings, installation of solar thermic collectors, and construction in the passive energy standard;</w:t>
      </w:r>
    </w:p>
    <w:p w:rsidR="00065632" w:rsidRPr="00A55334" w:rsidRDefault="00065632" w:rsidP="00065632">
      <w:pPr>
        <w:pStyle w:val="Odstavecseseznamem"/>
        <w:numPr>
          <w:ilvl w:val="1"/>
          <w:numId w:val="39"/>
        </w:numPr>
      </w:pPr>
      <w:r>
        <w:t>Eligible applicants under the programme were defined as: natural persons entrepreneurs and non-entrepreneurs, associations of apartment owners, housing cooperatives, towns and municipalities (including urban districts), business entities, or other legal entities;</w:t>
      </w:r>
    </w:p>
    <w:p w:rsidR="00065632" w:rsidRPr="00A55334" w:rsidRDefault="00065632" w:rsidP="00065632">
      <w:pPr>
        <w:pStyle w:val="Odstavecseseznamem"/>
        <w:numPr>
          <w:ilvl w:val="1"/>
          <w:numId w:val="39"/>
        </w:numPr>
      </w:pPr>
      <w:r>
        <w:t>The overlap of the programme with IROP is significant; however, part of areas of intervention and part of eligible beneficiaries exceeds the IROP delimitation. Moreover, these are data on aid several years ago, therefore the comparison must be interpreted with caution;</w:t>
      </w:r>
    </w:p>
    <w:p w:rsidR="00065632" w:rsidRPr="00A55334" w:rsidRDefault="00065632" w:rsidP="00065632">
      <w:pPr>
        <w:pStyle w:val="Odstavecseseznamem"/>
        <w:numPr>
          <w:ilvl w:val="1"/>
          <w:numId w:val="39"/>
        </w:numPr>
      </w:pPr>
      <w:r>
        <w:t>A total of 80,696 applications were received, 74 thousand were assisted, 6.6 thousand rejected;</w:t>
      </w:r>
    </w:p>
    <w:p w:rsidR="00065632" w:rsidRPr="00A55334" w:rsidRDefault="00065632" w:rsidP="00065632">
      <w:pPr>
        <w:pStyle w:val="Odstavecseseznamem"/>
        <w:numPr>
          <w:ilvl w:val="1"/>
          <w:numId w:val="39"/>
        </w:numPr>
      </w:pPr>
      <w:r>
        <w:t xml:space="preserve">Assisted projects received aid of CZK 20 </w:t>
      </w:r>
      <w:proofErr w:type="gramStart"/>
      <w:r>
        <w:t>billion,</w:t>
      </w:r>
      <w:proofErr w:type="gramEnd"/>
      <w:r>
        <w:t xml:space="preserve"> non-assisted projects did not receive aid in required amount of CZK 3.4 billion.</w:t>
      </w:r>
    </w:p>
    <w:p w:rsidR="00065632" w:rsidRPr="004D0520" w:rsidRDefault="00065632" w:rsidP="00065632">
      <w:pPr>
        <w:pStyle w:val="Odstavecseseznamem"/>
        <w:numPr>
          <w:ilvl w:val="0"/>
          <w:numId w:val="39"/>
        </w:numPr>
        <w:rPr>
          <w:b/>
          <w:bCs/>
        </w:rPr>
      </w:pPr>
      <w:r>
        <w:rPr>
          <w:b/>
          <w:bCs/>
        </w:rPr>
        <w:t>New Green Savings 2013</w:t>
      </w:r>
    </w:p>
    <w:p w:rsidR="00065632" w:rsidRPr="004D0520" w:rsidRDefault="00065632" w:rsidP="00065632">
      <w:pPr>
        <w:pStyle w:val="Odstavecseseznamem"/>
        <w:numPr>
          <w:ilvl w:val="1"/>
          <w:numId w:val="39"/>
        </w:numPr>
      </w:pPr>
      <w:r>
        <w:t>The programme aided owners of single-family houses in making measures to reduce the energy intensity of existing houses, construction of houses with very low energy intensity, replacement of non-ecological heat sources for heating, and installation of solar thermal systems;</w:t>
      </w:r>
    </w:p>
    <w:p w:rsidR="00065632" w:rsidRPr="004D0520" w:rsidRDefault="00065632" w:rsidP="00065632">
      <w:pPr>
        <w:pStyle w:val="Odstavecseseznamem"/>
        <w:numPr>
          <w:ilvl w:val="1"/>
          <w:numId w:val="39"/>
        </w:numPr>
      </w:pPr>
      <w:r>
        <w:t>The programme focus does not overlap factually with the IROP; however, it was included in the analysis for the description of the time development of the programme, to allow observing the development of interest in the programme over time—the below information on interest and non-aided projects, however, is not taken into account in quantifying the potential demand for the IROP programme;</w:t>
      </w:r>
    </w:p>
    <w:p w:rsidR="00065632" w:rsidRPr="004D0520" w:rsidRDefault="00065632" w:rsidP="00065632">
      <w:pPr>
        <w:pStyle w:val="Odstavecseseznamem"/>
        <w:numPr>
          <w:ilvl w:val="1"/>
          <w:numId w:val="39"/>
        </w:numPr>
      </w:pPr>
      <w:r>
        <w:t>A total of 15,771 applications were received, 9.2 thousand were assisted, 6.5 thousand rejected;</w:t>
      </w:r>
    </w:p>
    <w:p w:rsidR="00065632" w:rsidRPr="004D0520" w:rsidRDefault="00065632" w:rsidP="00065632">
      <w:pPr>
        <w:pStyle w:val="Odstavecseseznamem"/>
        <w:numPr>
          <w:ilvl w:val="1"/>
          <w:numId w:val="39"/>
        </w:numPr>
      </w:pPr>
      <w:r>
        <w:t xml:space="preserve">Assisted projects received aid of CZK 716 </w:t>
      </w:r>
      <w:proofErr w:type="gramStart"/>
      <w:r>
        <w:t>million,</w:t>
      </w:r>
      <w:proofErr w:type="gramEnd"/>
      <w:r>
        <w:t xml:space="preserve"> non-assisted projects did not receive aid in required amount of CZK 636 million.</w:t>
      </w:r>
    </w:p>
    <w:p w:rsidR="00065632" w:rsidRPr="004D0520" w:rsidRDefault="00065632" w:rsidP="00065632">
      <w:pPr>
        <w:pStyle w:val="Odstavecseseznamem"/>
        <w:numPr>
          <w:ilvl w:val="0"/>
          <w:numId w:val="39"/>
        </w:numPr>
        <w:rPr>
          <w:b/>
          <w:bCs/>
        </w:rPr>
      </w:pPr>
      <w:r>
        <w:rPr>
          <w:b/>
          <w:bCs/>
        </w:rPr>
        <w:t xml:space="preserve">New Green Savings </w:t>
      </w:r>
    </w:p>
    <w:p w:rsidR="00065632" w:rsidRPr="004D0520" w:rsidRDefault="00065632" w:rsidP="00065632">
      <w:pPr>
        <w:pStyle w:val="Odstavecseseznamem"/>
        <w:numPr>
          <w:ilvl w:val="1"/>
          <w:numId w:val="39"/>
        </w:numPr>
      </w:pPr>
      <w:r>
        <w:t>A programme to assist renovations of single-family houses, residential buildings and public buildings has been ready since 2014. So far, only assistance for single-family houses has been launched;</w:t>
      </w:r>
    </w:p>
    <w:p w:rsidR="00065632" w:rsidRDefault="00065632" w:rsidP="00065632">
      <w:pPr>
        <w:pStyle w:val="Odstavecseseznamem"/>
        <w:numPr>
          <w:ilvl w:val="1"/>
          <w:numId w:val="39"/>
        </w:numPr>
      </w:pPr>
      <w:r>
        <w:t xml:space="preserve">Assistance to renovation of single-family houses has been launched so far, the total allocation for the call has been earmarked as CZK 1.9 billion. As of 31 December 2014, 6,110 applications have been </w:t>
      </w:r>
      <w:proofErr w:type="gramStart"/>
      <w:r>
        <w:t>recorded,</w:t>
      </w:r>
      <w:proofErr w:type="gramEnd"/>
      <w:r>
        <w:t xml:space="preserve"> the requested allocation is CZK 1,377 billion. The programme focus does not overlap factually with the IROP; however, it was included in the analysis for the description of the time development of the programme, to allow observing the development of interest in the programme over time—the below information on interest, however, is not taken into account in quantifying the potential demand for the IROP programme –.</w:t>
      </w:r>
    </w:p>
    <w:p w:rsidR="00065632" w:rsidRPr="004D0520" w:rsidRDefault="00065632" w:rsidP="00065632">
      <w:pPr>
        <w:pStyle w:val="Odstavecseseznamem"/>
        <w:numPr>
          <w:ilvl w:val="1"/>
          <w:numId w:val="39"/>
        </w:numPr>
      </w:pPr>
      <w:r>
        <w:t>The expected date of launch of calls for residential buildings is 1 April 2015. In the residential building segment, the NGS will support renovations of residential buildings only in the territory of Prague (in the form of a non-returnable subsidy paid ex post; the aid intensity will be coordinated with IROP) and construction of residential buildings with very low energy intensity in the territory of the entire Czech Republic.</w:t>
      </w:r>
    </w:p>
    <w:p w:rsidR="00065632" w:rsidRPr="00B76511" w:rsidRDefault="00065632" w:rsidP="00065632">
      <w:pPr>
        <w:pStyle w:val="Odstavecseseznamem"/>
        <w:numPr>
          <w:ilvl w:val="0"/>
          <w:numId w:val="39"/>
        </w:numPr>
      </w:pPr>
      <w:r>
        <w:rPr>
          <w:b/>
          <w:bCs/>
        </w:rPr>
        <w:t>Panel 2013+ Programme</w:t>
      </w:r>
    </w:p>
    <w:p w:rsidR="00065632" w:rsidRPr="00B76511" w:rsidRDefault="00065632" w:rsidP="00065632">
      <w:pPr>
        <w:pStyle w:val="Odstavecseseznamem"/>
        <w:numPr>
          <w:ilvl w:val="1"/>
          <w:numId w:val="39"/>
        </w:numPr>
      </w:pPr>
      <w:r>
        <w:lastRenderedPageBreak/>
        <w:t>The programme aims to facilitate, through soft loans, financing of repairs of residential buildings, i.e. the programme targets almost the same area of intervention as the monitored IROP SO 2.5;</w:t>
      </w:r>
    </w:p>
    <w:p w:rsidR="00065632" w:rsidRDefault="00065632" w:rsidP="00065632">
      <w:pPr>
        <w:pStyle w:val="Odstavecseseznamem"/>
        <w:numPr>
          <w:ilvl w:val="1"/>
          <w:numId w:val="39"/>
        </w:numPr>
      </w:pPr>
      <w:r>
        <w:t>Eligible applicants under the programme are defined as: a natural or legal person that is the owner or co-owner of a house; a natural or legal person that is the owner or a co-owner of an apartment or non-residential premises in a building under the law on ownership of apartments; an association of apartment owners established in a building under the law on ownership of apartments.</w:t>
      </w:r>
    </w:p>
    <w:p w:rsidR="00065632" w:rsidRPr="004D0520" w:rsidRDefault="00065632" w:rsidP="00065632">
      <w:pPr>
        <w:pStyle w:val="Odstavecseseznamem"/>
        <w:numPr>
          <w:ilvl w:val="1"/>
          <w:numId w:val="39"/>
        </w:numPr>
      </w:pPr>
      <w:r>
        <w:t>A total of 400 applications were received, 306 were assisted, 55 rejected;</w:t>
      </w:r>
    </w:p>
    <w:p w:rsidR="00065632" w:rsidRPr="00B76511" w:rsidRDefault="00065632" w:rsidP="00065632">
      <w:pPr>
        <w:pStyle w:val="Odstavecseseznamem"/>
        <w:numPr>
          <w:ilvl w:val="1"/>
          <w:numId w:val="39"/>
        </w:numPr>
      </w:pPr>
      <w:r>
        <w:t>The programme allocation for 2013 and 2014 of CZK 1.63 billion has not yet been exhausted; assisted projects secured funds through loan agreements of CZK 974 million, non-assisted projects failed to obtain aid of requested amount of CZK 278 million.</w:t>
      </w:r>
    </w:p>
    <w:p w:rsidR="00065632" w:rsidRPr="007F59E4" w:rsidRDefault="00065632" w:rsidP="00DA4E52">
      <w:r>
        <w:t xml:space="preserve">In addition, the aid through </w:t>
      </w:r>
      <w:r>
        <w:rPr>
          <w:b/>
          <w:bCs/>
        </w:rPr>
        <w:t>the EFEKT Programme</w:t>
      </w:r>
      <w:r>
        <w:t xml:space="preserve"> enunciated by the Ministry of Industry and Trade is provided at the national level; however, this programme is aimed at awareness-raising and information activities (with emphasis placed on energy-efficient measures and the use of renewable energy resources) and at investment projects of a lesser scale (implementation of energy-efficient projects particularly in municipalities), with the annual budget equal to CZK 30 million – thus, any comparison would be usable to a substantially limited extent.</w:t>
      </w:r>
    </w:p>
    <w:p w:rsidR="00065632" w:rsidRDefault="00065632" w:rsidP="00DA4E52">
      <w:r>
        <w:t>National sources of financing also include regional, urban and municipal aid schemes; however, these programmes by far do not achieve volumes of financing that would be comparable to the focus of this analysis.</w:t>
      </w:r>
    </w:p>
    <w:p w:rsidR="00065632" w:rsidRDefault="00065632" w:rsidP="00DA4E52">
      <w:pPr>
        <w:pStyle w:val="Highlight2"/>
      </w:pPr>
      <w:r>
        <w:t>Private domestic sources of financing</w:t>
      </w:r>
    </w:p>
    <w:p w:rsidR="00065632" w:rsidRPr="007E6DF5" w:rsidRDefault="00065632" w:rsidP="00DA4E52">
      <w:r>
        <w:t xml:space="preserve">Financing of projects using </w:t>
      </w:r>
      <w:r>
        <w:rPr>
          <w:b/>
          <w:bCs/>
        </w:rPr>
        <w:t>conventional bank products</w:t>
      </w:r>
      <w:r>
        <w:t xml:space="preserve"> is used, both in full and in combination with budgeted resources of the final beneficiary, typically using resources accumulated in the "repair fund". As specified above, the projects are further very often implemented involving subsidy-based financing or using a soft loan, which covers a substantial part of project expenses.</w:t>
      </w:r>
    </w:p>
    <w:p w:rsidR="00065632" w:rsidRPr="007E6DF5" w:rsidRDefault="00065632" w:rsidP="00DA4E52">
      <w:r>
        <w:t>Despite the effort to acquire data about the financing volume of monitored projects, the data was not available; the approached representatives of the largest banking houses only confirmed that they offer very favourable loan conditions, mainly depending on the reliability and creditworthiness of the applicants and availability of a building as a guarantee.</w:t>
      </w:r>
    </w:p>
    <w:p w:rsidR="00065632" w:rsidRPr="007E6DF5" w:rsidRDefault="00065632" w:rsidP="00DA4E52">
      <w:r>
        <w:t xml:space="preserve">As far as specific banking terms and conditions for the projects of </w:t>
      </w:r>
      <w:proofErr w:type="gramStart"/>
      <w:r>
        <w:rPr>
          <w:i/>
          <w:iCs/>
        </w:rPr>
        <w:t>Reducing</w:t>
      </w:r>
      <w:proofErr w:type="gramEnd"/>
      <w:r>
        <w:rPr>
          <w:i/>
          <w:iCs/>
        </w:rPr>
        <w:t xml:space="preserve"> energy intensity in the housing sector</w:t>
      </w:r>
      <w:r>
        <w:t xml:space="preserve"> are concerned, the conditions for obtaining loans follow typically the following attributes:</w:t>
      </w:r>
    </w:p>
    <w:p w:rsidR="00065632" w:rsidRPr="007E6DF5" w:rsidRDefault="00065632" w:rsidP="00065632">
      <w:pPr>
        <w:pStyle w:val="Odstavecseseznamem"/>
        <w:numPr>
          <w:ilvl w:val="0"/>
          <w:numId w:val="41"/>
        </w:numPr>
      </w:pPr>
      <w:r>
        <w:t>Requirement for guarantee for loan resources using real estate or a bill of exchange;</w:t>
      </w:r>
    </w:p>
    <w:p w:rsidR="00065632" w:rsidRDefault="00065632" w:rsidP="00065632">
      <w:pPr>
        <w:pStyle w:val="Odstavecseseznamem"/>
        <w:numPr>
          <w:ilvl w:val="0"/>
          <w:numId w:val="41"/>
        </w:numPr>
      </w:pPr>
      <w:r>
        <w:t>Interest rate of 2–5% based on the project type and budget, rate of co-financing, maturity, possibility of loan securing, and client's creditworthiness and history.</w:t>
      </w:r>
    </w:p>
    <w:p w:rsidR="00065632" w:rsidRPr="007E6DF5" w:rsidRDefault="00065632" w:rsidP="00DA4E52">
      <w:r>
        <w:t xml:space="preserve">An increased intensity of </w:t>
      </w:r>
      <w:r>
        <w:rPr>
          <w:b/>
          <w:bCs/>
        </w:rPr>
        <w:t>supply of soft loans</w:t>
      </w:r>
      <w:r>
        <w:t xml:space="preserve"> can be observed in the monitored area, typically provided by commercial banks; the advantages are a subsidy by the EIB/EIF. An advantage of these loans for the final beneficiary is reduction in the interest rate and/or prolongation of the acceptable maturity, or mitigation of requirements on provision of guarantees. Despite the effort to acquire data about the volume of financing for the monitored projects, the data could not have been obtained.</w:t>
      </w:r>
    </w:p>
    <w:p w:rsidR="00065632" w:rsidRDefault="00065632" w:rsidP="00DA4E52">
      <w:pPr>
        <w:rPr>
          <w:b/>
          <w:bCs/>
        </w:rPr>
      </w:pPr>
      <w:r>
        <w:t xml:space="preserve">As far as </w:t>
      </w:r>
      <w:r>
        <w:rPr>
          <w:b/>
          <w:bCs/>
        </w:rPr>
        <w:t>alternative sources of private financing</w:t>
      </w:r>
      <w:r>
        <w:t xml:space="preserve"> are concerned, the use of the Energy Performance Contracting method (EPC) is the most frequent form of aid. The EPC method may be used to commercially finance energy savings with a short payback period (within 8 to 10 years and within 5 to 7 years in the public sector and in the commercial sector, respectively) as well as where it is possible to guarantee a specific way of the use of a building (i.e. especially administration buildings, both public and commercial, schools, hospitals, etc.). This method is typically suitable for technological measures, but it can be used in combination with the renovation of cladding of building, where this is financed by other means. The combination of state aid and the EPC method ensures effective use of public funds with the multiplier effect. According to the data provided by the Association of Energy Service Providers, circa 200 projects were aided over the last twenty years, with the summary investment requirements of circa CZK 2 billion. </w:t>
      </w:r>
      <w:r>
        <w:rPr>
          <w:b/>
          <w:bCs/>
        </w:rPr>
        <w:t>This type of financing is not used for projects in the monitored housing sector, therefore there is no need to analyse it.</w:t>
      </w:r>
    </w:p>
    <w:p w:rsidR="00065632" w:rsidRDefault="00065632" w:rsidP="000979B7">
      <w:pPr>
        <w:pStyle w:val="Nadpis4"/>
      </w:pPr>
      <w:r>
        <w:lastRenderedPageBreak/>
        <w:t>Demand characteristics</w:t>
      </w:r>
    </w:p>
    <w:p w:rsidR="00065632" w:rsidRPr="00A94200" w:rsidRDefault="00065632" w:rsidP="000979B7">
      <w:pPr>
        <w:pStyle w:val="CaptionIntroductionparagraph"/>
      </w:pPr>
      <w:r>
        <w:t>Analysis of absorption capacities in the programming period 2007–2013</w:t>
      </w:r>
    </w:p>
    <w:p w:rsidR="00065632" w:rsidRDefault="00065632" w:rsidP="00D36F9D">
      <w:pPr>
        <w:pStyle w:val="Highlight2"/>
      </w:pPr>
      <w:r>
        <w:t>Public foreign sources of financing</w:t>
      </w:r>
    </w:p>
    <w:p w:rsidR="00065632" w:rsidRDefault="00065632" w:rsidP="00D36F9D">
      <w:r>
        <w:t xml:space="preserve">The quarterly monitoring report for Q3 2014 on the state of drawing Structural Funds </w:t>
      </w:r>
      <w:proofErr w:type="spellStart"/>
      <w:r>
        <w:t>funds</w:t>
      </w:r>
      <w:proofErr w:type="spellEnd"/>
      <w:r>
        <w:t xml:space="preserve"> in 2007–2013 shows that </w:t>
      </w:r>
      <w:r>
        <w:rPr>
          <w:b/>
          <w:bCs/>
        </w:rPr>
        <w:t>aid was not granted to 93 projects in the monitored area of intervention IOP 5.2</w:t>
      </w:r>
      <w:r>
        <w:t xml:space="preserve">. Based on other estimates provided by the Contractor, these projects were rejected due to qualitative reasons (the application failed to meet at least one eligibility criterion, it did not comply with formal requirements, it was withdrawn by the applicant), </w:t>
      </w:r>
      <w:r>
        <w:rPr>
          <w:b/>
          <w:bCs/>
        </w:rPr>
        <w:t>projects were not rejected due to insufficient allocation</w:t>
      </w:r>
      <w:r>
        <w:t>. It is also important to mention that the conclusions must be interpreted with caution as aid was provided only in areas with valid IUDP.</w:t>
      </w:r>
    </w:p>
    <w:p w:rsidR="00065632" w:rsidRDefault="00065632" w:rsidP="00D36F9D">
      <w:r>
        <w:t>According to information provided by the State Fund for Housing Development ("SFHD"), the allocation earmarked for the JESSICA programme has not yet been exhausted; however, grant applications have been accepted for the entire allocation amount. Based on data as of December 2014, the state of drawing was as follows:</w:t>
      </w:r>
    </w:p>
    <w:tbl>
      <w:tblPr>
        <w:tblW w:w="9100" w:type="dxa"/>
        <w:tblInd w:w="-56" w:type="dxa"/>
        <w:tblBorders>
          <w:bottom w:val="single" w:sz="4" w:space="0" w:color="92D400"/>
          <w:insideH w:val="single" w:sz="4" w:space="0" w:color="92D400"/>
        </w:tblBorders>
        <w:tblCellMar>
          <w:top w:w="28" w:type="dxa"/>
          <w:left w:w="28" w:type="dxa"/>
          <w:bottom w:w="28" w:type="dxa"/>
          <w:right w:w="28" w:type="dxa"/>
        </w:tblCellMar>
        <w:tblLook w:val="00A0" w:firstRow="1" w:lastRow="0" w:firstColumn="1" w:lastColumn="0" w:noHBand="0" w:noVBand="0"/>
      </w:tblPr>
      <w:tblGrid>
        <w:gridCol w:w="5698"/>
        <w:gridCol w:w="1559"/>
        <w:gridCol w:w="1843"/>
      </w:tblGrid>
      <w:tr w:rsidR="00065632">
        <w:tc>
          <w:tcPr>
            <w:tcW w:w="5698" w:type="dxa"/>
            <w:shd w:val="clear" w:color="auto" w:fill="92D400"/>
          </w:tcPr>
          <w:p w:rsidR="00065632" w:rsidRPr="00693AAF" w:rsidRDefault="00065632" w:rsidP="00693AAF">
            <w:pPr>
              <w:spacing w:after="0"/>
              <w:rPr>
                <w:b/>
                <w:bCs/>
                <w:color w:val="FFFFFF"/>
              </w:rPr>
            </w:pPr>
            <w:r w:rsidRPr="00693AAF">
              <w:rPr>
                <w:b/>
                <w:bCs/>
                <w:color w:val="FFFFFF"/>
              </w:rPr>
              <w:t>State of the application</w:t>
            </w:r>
          </w:p>
        </w:tc>
        <w:tc>
          <w:tcPr>
            <w:tcW w:w="1559" w:type="dxa"/>
            <w:shd w:val="clear" w:color="auto" w:fill="92D400"/>
          </w:tcPr>
          <w:p w:rsidR="00065632" w:rsidRPr="00693AAF" w:rsidRDefault="00065632" w:rsidP="00693AAF">
            <w:pPr>
              <w:spacing w:after="0"/>
              <w:rPr>
                <w:b/>
                <w:bCs/>
                <w:color w:val="FFFFFF"/>
              </w:rPr>
            </w:pPr>
            <w:r w:rsidRPr="00693AAF">
              <w:rPr>
                <w:b/>
                <w:bCs/>
                <w:color w:val="FFFFFF"/>
              </w:rPr>
              <w:t>Number of applications</w:t>
            </w:r>
          </w:p>
        </w:tc>
        <w:tc>
          <w:tcPr>
            <w:tcW w:w="1843" w:type="dxa"/>
            <w:shd w:val="clear" w:color="auto" w:fill="92D400"/>
          </w:tcPr>
          <w:p w:rsidR="00065632" w:rsidRPr="00693AAF" w:rsidRDefault="00065632" w:rsidP="00693AAF">
            <w:pPr>
              <w:spacing w:after="0"/>
              <w:rPr>
                <w:b/>
                <w:bCs/>
                <w:color w:val="FFFFFF"/>
              </w:rPr>
            </w:pPr>
            <w:r w:rsidRPr="00693AAF">
              <w:rPr>
                <w:b/>
                <w:bCs/>
                <w:color w:val="FFFFFF"/>
              </w:rPr>
              <w:t>Volume of funds</w:t>
            </w:r>
          </w:p>
        </w:tc>
      </w:tr>
      <w:tr w:rsidR="00065632">
        <w:tc>
          <w:tcPr>
            <w:tcW w:w="5698" w:type="dxa"/>
            <w:shd w:val="clear" w:color="auto" w:fill="FFFFFF"/>
            <w:vAlign w:val="bottom"/>
          </w:tcPr>
          <w:p w:rsidR="00065632" w:rsidRDefault="00065632" w:rsidP="00693AAF">
            <w:pPr>
              <w:spacing w:after="0"/>
            </w:pPr>
            <w:r>
              <w:t>Soft loan applications in the evaluation stage</w:t>
            </w:r>
          </w:p>
        </w:tc>
        <w:tc>
          <w:tcPr>
            <w:tcW w:w="1559" w:type="dxa"/>
            <w:shd w:val="clear" w:color="auto" w:fill="FFFFFF"/>
            <w:vAlign w:val="bottom"/>
          </w:tcPr>
          <w:p w:rsidR="00065632" w:rsidRDefault="00065632" w:rsidP="00693AAF">
            <w:pPr>
              <w:spacing w:after="0"/>
            </w:pPr>
            <w:r>
              <w:t>28 pieces</w:t>
            </w:r>
          </w:p>
        </w:tc>
        <w:tc>
          <w:tcPr>
            <w:tcW w:w="1843" w:type="dxa"/>
            <w:shd w:val="clear" w:color="auto" w:fill="FFFFFF"/>
          </w:tcPr>
          <w:p w:rsidR="00065632" w:rsidRDefault="00065632" w:rsidP="00693AAF">
            <w:pPr>
              <w:spacing w:after="0"/>
            </w:pPr>
            <w:r>
              <w:t>CZK 162.6 million</w:t>
            </w:r>
          </w:p>
        </w:tc>
      </w:tr>
      <w:tr w:rsidR="00065632">
        <w:tc>
          <w:tcPr>
            <w:tcW w:w="5698" w:type="dxa"/>
            <w:shd w:val="clear" w:color="auto" w:fill="FFFFFF"/>
            <w:vAlign w:val="bottom"/>
          </w:tcPr>
          <w:p w:rsidR="00065632" w:rsidRDefault="00065632" w:rsidP="00693AAF">
            <w:pPr>
              <w:spacing w:after="0"/>
            </w:pPr>
            <w:r>
              <w:t>Approved loan applications</w:t>
            </w:r>
          </w:p>
        </w:tc>
        <w:tc>
          <w:tcPr>
            <w:tcW w:w="1559" w:type="dxa"/>
            <w:shd w:val="clear" w:color="auto" w:fill="FFFFFF"/>
            <w:vAlign w:val="bottom"/>
          </w:tcPr>
          <w:p w:rsidR="00065632" w:rsidRDefault="00065632" w:rsidP="00693AAF">
            <w:pPr>
              <w:spacing w:after="0"/>
            </w:pPr>
            <w:r>
              <w:t>13 pieces</w:t>
            </w:r>
          </w:p>
        </w:tc>
        <w:tc>
          <w:tcPr>
            <w:tcW w:w="1843" w:type="dxa"/>
            <w:shd w:val="clear" w:color="auto" w:fill="FFFFFF"/>
          </w:tcPr>
          <w:p w:rsidR="00065632" w:rsidRDefault="00065632" w:rsidP="00693AAF">
            <w:pPr>
              <w:spacing w:after="0"/>
            </w:pPr>
            <w:r>
              <w:t>CZK 57.5 million</w:t>
            </w:r>
          </w:p>
        </w:tc>
      </w:tr>
      <w:tr w:rsidR="00065632">
        <w:tc>
          <w:tcPr>
            <w:tcW w:w="5698" w:type="dxa"/>
            <w:shd w:val="clear" w:color="auto" w:fill="FFFFFF"/>
            <w:vAlign w:val="bottom"/>
          </w:tcPr>
          <w:p w:rsidR="00065632" w:rsidRDefault="00065632" w:rsidP="00693AAF">
            <w:pPr>
              <w:spacing w:after="0"/>
            </w:pPr>
            <w:r>
              <w:t>Signed loan agreements</w:t>
            </w:r>
          </w:p>
        </w:tc>
        <w:tc>
          <w:tcPr>
            <w:tcW w:w="1559" w:type="dxa"/>
            <w:shd w:val="clear" w:color="auto" w:fill="FFFFFF"/>
            <w:vAlign w:val="bottom"/>
          </w:tcPr>
          <w:p w:rsidR="00065632" w:rsidRDefault="00065632" w:rsidP="00693AAF">
            <w:pPr>
              <w:spacing w:after="0"/>
            </w:pPr>
            <w:r>
              <w:t>100 pieces</w:t>
            </w:r>
          </w:p>
        </w:tc>
        <w:tc>
          <w:tcPr>
            <w:tcW w:w="1843" w:type="dxa"/>
            <w:shd w:val="clear" w:color="auto" w:fill="FFFFFF"/>
          </w:tcPr>
          <w:p w:rsidR="00065632" w:rsidRDefault="00065632" w:rsidP="00693AAF">
            <w:pPr>
              <w:spacing w:after="0"/>
            </w:pPr>
            <w:r>
              <w:t>CZK 356.3 million</w:t>
            </w:r>
          </w:p>
        </w:tc>
      </w:tr>
    </w:tbl>
    <w:p w:rsidR="00065632" w:rsidRDefault="00065632" w:rsidP="00D36F9D">
      <w:pPr>
        <w:pStyle w:val="Titulek"/>
      </w:pPr>
      <w:bookmarkStart w:id="77" w:name="_Toc409795565"/>
      <w:bookmarkStart w:id="78" w:name="_Toc417655503"/>
      <w:bookmarkStart w:id="79" w:name="_Toc426033914"/>
      <w:r>
        <w:t xml:space="preserve">Table </w:t>
      </w:r>
      <w:r>
        <w:fldChar w:fldCharType="begin"/>
      </w:r>
      <w:r>
        <w:instrText xml:space="preserve"> SEQ Tabulka \* ARABIC </w:instrText>
      </w:r>
      <w:r>
        <w:fldChar w:fldCharType="separate"/>
      </w:r>
      <w:r>
        <w:rPr>
          <w:noProof/>
        </w:rPr>
        <w:t>5</w:t>
      </w:r>
      <w:r>
        <w:fldChar w:fldCharType="end"/>
      </w:r>
      <w:r>
        <w:t>: State of play of the JESSICA programme implementation</w:t>
      </w:r>
      <w:bookmarkEnd w:id="77"/>
      <w:bookmarkEnd w:id="78"/>
      <w:bookmarkEnd w:id="79"/>
    </w:p>
    <w:p w:rsidR="00065632" w:rsidRDefault="00065632" w:rsidP="00D36F9D">
      <w:r>
        <w:rPr>
          <w:b/>
          <w:bCs/>
        </w:rPr>
        <w:t>According to information from the SFHD, projects applying under JESSICA were not rejected due to insufficient allocation</w:t>
      </w:r>
      <w:r>
        <w:t>; several projects have been recorded that are registered as substitute projects, which will be activated for assistance in the event that an applicant withdraws from a previously submitted application or a loan agreement is terminated, etc. The state of play of funds drawing is greatly affected by a relatively late launch of the programme; soft loans have only been provided since January 2014.</w:t>
      </w:r>
    </w:p>
    <w:p w:rsidR="00065632" w:rsidRDefault="00065632" w:rsidP="00D36F9D">
      <w:r>
        <w:t>The aforementioned conclusions regarding the drawing from the IOP and JESSICA IOP for revitalisation of housing do not directly suggest there is unmet demand by quality projects; however, the conclusions of the data analysis must be interpreted with caution. According to conclusions of a number of available quality studies, there is a considerable investment need in the monitored area; the potential absorption capacity reaches hundreds of billions CZK</w:t>
      </w:r>
      <w:r>
        <w:rPr>
          <w:rStyle w:val="Znakapoznpodarou"/>
        </w:rPr>
        <w:footnoteReference w:id="4"/>
      </w:r>
      <w:r>
        <w:t>. The recorded only minimum excess of interest in available funds is underlined by several significant factors, which are analysed in the chapter on market failure—in the view of contacted experts, Contractor's representatives and based on the Contractor's assessment, a number of potentially suitable projects did not probably file an application due to the fact that the great competition of other projects was demotivating, mainly in connection with relatively high cost of project preparation incurred by the entity without any guarantee of subsidy / soft loan.</w:t>
      </w:r>
    </w:p>
    <w:p w:rsidR="00065632" w:rsidRDefault="00065632" w:rsidP="00D36F9D">
      <w:r>
        <w:t xml:space="preserve">The other above analysed programmes such as ECO ENERGY under OPEI, aid under OP E or from funds of ROP Moravia-Silesia were not further analysed because in the area of demand, these projects cannot act as substitutable and any comparison could be misleading. </w:t>
      </w:r>
    </w:p>
    <w:p w:rsidR="00065632" w:rsidRPr="00693AAF" w:rsidRDefault="00065632">
      <w:pPr>
        <w:spacing w:after="0"/>
        <w:jc w:val="left"/>
        <w:rPr>
          <w:b/>
          <w:bCs/>
          <w:color w:val="92D400"/>
          <w:sz w:val="20"/>
          <w:szCs w:val="20"/>
        </w:rPr>
      </w:pPr>
      <w:r>
        <w:br w:type="page"/>
      </w:r>
    </w:p>
    <w:p w:rsidR="00065632" w:rsidRDefault="00065632" w:rsidP="00D36F9D">
      <w:pPr>
        <w:pStyle w:val="Highlight2"/>
      </w:pPr>
      <w:r>
        <w:lastRenderedPageBreak/>
        <w:t>Public domestic sources of financing</w:t>
      </w:r>
    </w:p>
    <w:p w:rsidR="00065632" w:rsidRPr="00D350BA" w:rsidRDefault="00065632" w:rsidP="00D36F9D">
      <w:r>
        <w:t xml:space="preserve">As regards the Green Savings programme (the first definition, which included a factual overlap with the planned definition of IROP in terms of aid for residential buildings), annual reports of the programme or additionally provided materials, unfortunately, do not allow a more detailed analysis what was the ratio of rejected applications on formal/qualitative grounds and what part was not assisted due to allocation limitation. The Contractor applied a conservative estimate based on identified practice in subsidy financing from the European Structural Funds, i.e. that 40% of non-assisted or rejected applications were not assisted due to insufficient quality and 60% did not obtain state aid due to limited allocation for the programme. Assuming that some of the projects (30%) that were excluded due to poor quality/non-compliance can be amended so that the project is in compliance with the objectives of aid being prepared under IROP, and that some of the not approved projects (95%) will be interested in the aid provided in the programming period 2014-2020 within IROP, it can be expertly estimated that there are CZK 2.35 million of unsatisfied demand in the monitored area. </w:t>
      </w:r>
      <w:r>
        <w:rPr>
          <w:rStyle w:val="Znakapoznpodarou"/>
        </w:rPr>
        <w:footnoteReference w:id="5"/>
      </w:r>
      <w:r>
        <w:t xml:space="preserve"> With regard to the delay (unsatisfied applicants could have made reconstruction in the meantime without assistance or used other available assistance) and broader definition of eligible applicants under the Green Savings programme, the Contractor applies a reduction in the resulting potential demand by 50%—an expert estimate can be made that there is up to CZK 1.17 billion of unsatisfied demand in the monitored IROP area. As regards the PANEL programme, sufficient modelling of the demand potential was not done, because so far the demand had been lower than the supply of resources, and according to SFHD data, non-assisted projects were rejected exclusively on the grounds of the applicants' requests for withdrawal (90% of cases) or due to applicants' failure to provide cooperation in implementing steps following the application approval (10% of cases).</w:t>
      </w:r>
    </w:p>
    <w:p w:rsidR="00065632" w:rsidRPr="00D350BA" w:rsidRDefault="00065632" w:rsidP="00D36F9D">
      <w:r>
        <w:t>It should be added that the aforementioned figure may be skewed for a variety of reasons not mentioned, e.g. due to the fact that unsatisfied demand from the original Green Savings programme has been inactive for two years (i.e. non-assisted projects could have succeeded in IOP or OP PC in the meantime) or due to a limited degree of overlap of the monitored programmes and the IROP under preparation. Also, a fact should be objectively taken into account that many projects did not manage to submit their applications due to delays in the internal approval procedure among owners of housing or due to lack of interest to compete in a "tough" competition of thousands of other projects, etc. Conclusions must only be seen as indicative.</w:t>
      </w:r>
    </w:p>
    <w:p w:rsidR="00065632" w:rsidRDefault="00065632" w:rsidP="00D36F9D">
      <w:pPr>
        <w:pStyle w:val="Highlight2"/>
      </w:pPr>
      <w:r>
        <w:t>Private domestic sources of financing</w:t>
      </w:r>
    </w:p>
    <w:p w:rsidR="00065632" w:rsidRDefault="00065632" w:rsidP="00CD613B">
      <w:r>
        <w:t xml:space="preserve">The conclusions of the analysis of data and the interviews with experts in the area considered show that </w:t>
      </w:r>
      <w:r>
        <w:rPr>
          <w:b/>
          <w:bCs/>
        </w:rPr>
        <w:t>there only a very limited portfolio of projects that invest in the pattern considered without involving subsidy-based or other public advantage</w:t>
      </w:r>
      <w:r>
        <w:t>, typically with the use of own resources, leasing, loan or combination thereof. Results of the questionnaire survey show that private resources are used mainly in situations where a building is in disrepair and must be quickly refurbished. Otherwise, entities rather opt for a "waiting" tactic and implement projects with partial state aid.</w:t>
      </w:r>
    </w:p>
    <w:p w:rsidR="00065632" w:rsidRPr="006A7C32" w:rsidRDefault="00065632" w:rsidP="00D36F9D">
      <w:r>
        <w:t>The objective of the aid in the area considered will be, regardless of the selection of subsidy scheme or aid through financial instruments, to cultivate – and mainly not to crowd-out the mentioned potential of private involvement. It is crucial for the energy saving projects in the housing sector to achieve cheap and effective involvement of private financing in order to be able to meet the objectives of the Energy Efficiency Directive.</w:t>
      </w:r>
    </w:p>
    <w:p w:rsidR="00065632" w:rsidRPr="00326C4B" w:rsidRDefault="00065632" w:rsidP="000979B7">
      <w:pPr>
        <w:pStyle w:val="CaptionIntroductionparagraph"/>
      </w:pPr>
      <w:r>
        <w:t xml:space="preserve">Potential amount of absorption capacity in the programming period 2014–2020 </w:t>
      </w:r>
    </w:p>
    <w:p w:rsidR="00065632" w:rsidRPr="00130FF6" w:rsidRDefault="00065632" w:rsidP="00D36F9D">
      <w:r>
        <w:t xml:space="preserve">Potential demand for financial instruments may be identified as the total investment need of the housing sector (quantitative analysis) and this need must subsequently be cleansed by means of a qualitative analysis. </w:t>
      </w:r>
    </w:p>
    <w:p w:rsidR="00065632" w:rsidRPr="00130FF6" w:rsidRDefault="00065632" w:rsidP="00D36F9D">
      <w:r>
        <w:t>The current IROP programming documentation of 15/12/2014 specifies the range of eligible beneficiaries as follows:</w:t>
      </w:r>
    </w:p>
    <w:p w:rsidR="00065632" w:rsidRPr="00130FF6" w:rsidRDefault="00065632" w:rsidP="00065632">
      <w:pPr>
        <w:pStyle w:val="Odstavecseseznamem"/>
        <w:numPr>
          <w:ilvl w:val="0"/>
          <w:numId w:val="42"/>
        </w:numPr>
      </w:pPr>
      <w:r>
        <w:t>Owners of residential buildings and associations of apartment owners—buildings with four and more apartments.</w:t>
      </w:r>
    </w:p>
    <w:p w:rsidR="00065632" w:rsidRDefault="00065632" w:rsidP="00D36F9D">
      <w:pPr>
        <w:rPr>
          <w:b/>
          <w:bCs/>
        </w:rPr>
      </w:pPr>
      <w:r>
        <w:rPr>
          <w:b/>
          <w:bCs/>
        </w:rPr>
        <w:t xml:space="preserve">In accordance with materials prepared by the </w:t>
      </w:r>
      <w:proofErr w:type="spellStart"/>
      <w:r>
        <w:rPr>
          <w:b/>
          <w:bCs/>
        </w:rPr>
        <w:t>Šance</w:t>
      </w:r>
      <w:proofErr w:type="spellEnd"/>
      <w:r>
        <w:rPr>
          <w:b/>
          <w:bCs/>
        </w:rPr>
        <w:t xml:space="preserve"> pro </w:t>
      </w:r>
      <w:proofErr w:type="spellStart"/>
      <w:r>
        <w:rPr>
          <w:b/>
          <w:bCs/>
        </w:rPr>
        <w:t>budovy</w:t>
      </w:r>
      <w:proofErr w:type="spellEnd"/>
      <w:r>
        <w:rPr>
          <w:b/>
          <w:bCs/>
        </w:rPr>
        <w:t xml:space="preserve"> association</w:t>
      </w:r>
      <w:r>
        <w:t xml:space="preserve"> (source: PRŮZKUM FONDU BUDOV A MOŽNOSTÍ ÚSPOR ENERGIE, </w:t>
      </w:r>
      <w:proofErr w:type="spellStart"/>
      <w:r>
        <w:t>Asociace</w:t>
      </w:r>
      <w:proofErr w:type="spellEnd"/>
      <w:r>
        <w:t xml:space="preserve"> </w:t>
      </w:r>
      <w:proofErr w:type="spellStart"/>
      <w:r>
        <w:t>Šance</w:t>
      </w:r>
      <w:proofErr w:type="spellEnd"/>
      <w:r>
        <w:t xml:space="preserve"> pro </w:t>
      </w:r>
      <w:proofErr w:type="spellStart"/>
      <w:r>
        <w:t>budovy</w:t>
      </w:r>
      <w:proofErr w:type="spellEnd"/>
      <w:r>
        <w:t>, 3/2014), which also serves as important input to the National Energy Efficiency Action Plan of the Czech Republic, results of advanced modelling can be interpreted to quantify the total investment need.</w:t>
      </w:r>
      <w:r>
        <w:rPr>
          <w:b/>
          <w:bCs/>
        </w:rPr>
        <w:t xml:space="preserve"> </w:t>
      </w:r>
    </w:p>
    <w:tbl>
      <w:tblPr>
        <w:tblW w:w="9100" w:type="dxa"/>
        <w:tblInd w:w="-56" w:type="dxa"/>
        <w:tblBorders>
          <w:bottom w:val="single" w:sz="4" w:space="0" w:color="92D400"/>
          <w:insideH w:val="single" w:sz="4" w:space="0" w:color="92D400"/>
        </w:tblBorders>
        <w:tblCellMar>
          <w:top w:w="28" w:type="dxa"/>
          <w:left w:w="28" w:type="dxa"/>
          <w:bottom w:w="28" w:type="dxa"/>
          <w:right w:w="28" w:type="dxa"/>
        </w:tblCellMar>
        <w:tblLook w:val="00A0" w:firstRow="1" w:lastRow="0" w:firstColumn="1" w:lastColumn="0" w:noHBand="0" w:noVBand="0"/>
      </w:tblPr>
      <w:tblGrid>
        <w:gridCol w:w="3997"/>
        <w:gridCol w:w="2694"/>
        <w:gridCol w:w="2409"/>
      </w:tblGrid>
      <w:tr w:rsidR="00065632">
        <w:trPr>
          <w:tblHeader/>
        </w:trPr>
        <w:tc>
          <w:tcPr>
            <w:tcW w:w="3997" w:type="dxa"/>
            <w:shd w:val="clear" w:color="auto" w:fill="92D400"/>
            <w:vAlign w:val="center"/>
          </w:tcPr>
          <w:p w:rsidR="00065632" w:rsidRPr="00693AAF" w:rsidRDefault="00065632" w:rsidP="00693AAF">
            <w:pPr>
              <w:spacing w:after="0"/>
              <w:jc w:val="center"/>
              <w:rPr>
                <w:b/>
                <w:bCs/>
                <w:color w:val="FFFFFF"/>
                <w:sz w:val="18"/>
                <w:szCs w:val="18"/>
              </w:rPr>
            </w:pPr>
          </w:p>
        </w:tc>
        <w:tc>
          <w:tcPr>
            <w:tcW w:w="2694" w:type="dxa"/>
            <w:shd w:val="clear" w:color="auto" w:fill="92D400"/>
            <w:vAlign w:val="center"/>
          </w:tcPr>
          <w:p w:rsidR="00065632" w:rsidRPr="00693AAF" w:rsidRDefault="00065632" w:rsidP="00693AAF">
            <w:pPr>
              <w:spacing w:after="0"/>
              <w:jc w:val="center"/>
              <w:rPr>
                <w:b/>
                <w:bCs/>
                <w:color w:val="FFFFFF"/>
                <w:sz w:val="18"/>
                <w:szCs w:val="18"/>
              </w:rPr>
            </w:pPr>
            <w:r w:rsidRPr="00693AAF">
              <w:rPr>
                <w:b/>
                <w:bCs/>
                <w:color w:val="FFFFFF"/>
                <w:sz w:val="18"/>
                <w:szCs w:val="18"/>
              </w:rPr>
              <w:t>Recommended standard</w:t>
            </w:r>
          </w:p>
        </w:tc>
        <w:tc>
          <w:tcPr>
            <w:tcW w:w="2409" w:type="dxa"/>
            <w:shd w:val="clear" w:color="auto" w:fill="92D400"/>
            <w:vAlign w:val="center"/>
          </w:tcPr>
          <w:p w:rsidR="00065632" w:rsidRPr="00693AAF" w:rsidRDefault="00065632" w:rsidP="00693AAF">
            <w:pPr>
              <w:spacing w:after="0"/>
              <w:jc w:val="center"/>
              <w:rPr>
                <w:b/>
                <w:bCs/>
                <w:color w:val="FFFFFF"/>
                <w:sz w:val="18"/>
                <w:szCs w:val="18"/>
              </w:rPr>
            </w:pPr>
            <w:r w:rsidRPr="00693AAF">
              <w:rPr>
                <w:b/>
                <w:bCs/>
                <w:color w:val="FFFFFF"/>
                <w:sz w:val="18"/>
                <w:szCs w:val="18"/>
              </w:rPr>
              <w:t>Passive standard</w:t>
            </w:r>
          </w:p>
        </w:tc>
      </w:tr>
      <w:tr w:rsidR="00065632">
        <w:tc>
          <w:tcPr>
            <w:tcW w:w="3997" w:type="dxa"/>
            <w:shd w:val="clear" w:color="auto" w:fill="FFFFFF"/>
            <w:vAlign w:val="center"/>
          </w:tcPr>
          <w:p w:rsidR="00065632" w:rsidRPr="00693AAF" w:rsidRDefault="00065632" w:rsidP="00693AAF">
            <w:pPr>
              <w:spacing w:after="0"/>
              <w:jc w:val="left"/>
              <w:rPr>
                <w:sz w:val="18"/>
                <w:szCs w:val="18"/>
              </w:rPr>
            </w:pPr>
            <w:r w:rsidRPr="00693AAF">
              <w:rPr>
                <w:sz w:val="18"/>
                <w:szCs w:val="18"/>
              </w:rPr>
              <w:t>Single-family houses - cladding</w:t>
            </w:r>
          </w:p>
        </w:tc>
        <w:tc>
          <w:tcPr>
            <w:tcW w:w="2694" w:type="dxa"/>
            <w:shd w:val="clear" w:color="auto" w:fill="FFFFFF"/>
            <w:vAlign w:val="center"/>
          </w:tcPr>
          <w:p w:rsidR="00065632" w:rsidRPr="00693AAF" w:rsidRDefault="00065632" w:rsidP="00693AAF">
            <w:pPr>
              <w:spacing w:after="0"/>
              <w:jc w:val="center"/>
              <w:rPr>
                <w:sz w:val="18"/>
                <w:szCs w:val="18"/>
              </w:rPr>
            </w:pPr>
            <w:r w:rsidRPr="00693AAF">
              <w:rPr>
                <w:sz w:val="18"/>
                <w:szCs w:val="18"/>
              </w:rPr>
              <w:t>CZK 654 billion</w:t>
            </w:r>
          </w:p>
        </w:tc>
        <w:tc>
          <w:tcPr>
            <w:tcW w:w="2409" w:type="dxa"/>
            <w:shd w:val="clear" w:color="auto" w:fill="FFFFFF"/>
            <w:vAlign w:val="center"/>
          </w:tcPr>
          <w:p w:rsidR="00065632" w:rsidRPr="00693AAF" w:rsidRDefault="00065632" w:rsidP="00693AAF">
            <w:pPr>
              <w:spacing w:after="0"/>
              <w:jc w:val="center"/>
              <w:rPr>
                <w:sz w:val="18"/>
                <w:szCs w:val="18"/>
              </w:rPr>
            </w:pPr>
            <w:r w:rsidRPr="00693AAF">
              <w:rPr>
                <w:sz w:val="18"/>
                <w:szCs w:val="18"/>
              </w:rPr>
              <w:t>CZK 777 billion</w:t>
            </w:r>
          </w:p>
        </w:tc>
      </w:tr>
      <w:tr w:rsidR="00065632">
        <w:tc>
          <w:tcPr>
            <w:tcW w:w="3997" w:type="dxa"/>
            <w:shd w:val="clear" w:color="auto" w:fill="FFFFFF"/>
            <w:vAlign w:val="center"/>
          </w:tcPr>
          <w:p w:rsidR="00065632" w:rsidRPr="00693AAF" w:rsidRDefault="00065632" w:rsidP="00693AAF">
            <w:pPr>
              <w:spacing w:after="0"/>
              <w:jc w:val="left"/>
              <w:rPr>
                <w:sz w:val="18"/>
                <w:szCs w:val="18"/>
              </w:rPr>
            </w:pPr>
            <w:r w:rsidRPr="00693AAF">
              <w:rPr>
                <w:sz w:val="18"/>
                <w:szCs w:val="18"/>
              </w:rPr>
              <w:t>Single-family houses - technology</w:t>
            </w:r>
          </w:p>
        </w:tc>
        <w:tc>
          <w:tcPr>
            <w:tcW w:w="2694" w:type="dxa"/>
            <w:shd w:val="clear" w:color="auto" w:fill="FFFFFF"/>
            <w:vAlign w:val="center"/>
          </w:tcPr>
          <w:p w:rsidR="00065632" w:rsidRPr="00693AAF" w:rsidRDefault="00065632" w:rsidP="00693AAF">
            <w:pPr>
              <w:spacing w:after="0"/>
              <w:jc w:val="center"/>
              <w:rPr>
                <w:sz w:val="18"/>
                <w:szCs w:val="18"/>
              </w:rPr>
            </w:pPr>
            <w:r w:rsidRPr="00693AAF">
              <w:rPr>
                <w:sz w:val="18"/>
                <w:szCs w:val="18"/>
              </w:rPr>
              <w:t>CZK 177 billion</w:t>
            </w:r>
          </w:p>
        </w:tc>
        <w:tc>
          <w:tcPr>
            <w:tcW w:w="2409" w:type="dxa"/>
            <w:shd w:val="clear" w:color="auto" w:fill="FFFFFF"/>
            <w:vAlign w:val="center"/>
          </w:tcPr>
          <w:p w:rsidR="00065632" w:rsidRPr="00693AAF" w:rsidRDefault="00065632" w:rsidP="00693AAF">
            <w:pPr>
              <w:spacing w:after="0"/>
              <w:jc w:val="center"/>
              <w:rPr>
                <w:sz w:val="18"/>
                <w:szCs w:val="18"/>
              </w:rPr>
            </w:pPr>
            <w:r w:rsidRPr="00693AAF">
              <w:rPr>
                <w:sz w:val="18"/>
                <w:szCs w:val="18"/>
              </w:rPr>
              <w:t>CZK 387 billion</w:t>
            </w:r>
          </w:p>
        </w:tc>
      </w:tr>
      <w:tr w:rsidR="00065632">
        <w:tc>
          <w:tcPr>
            <w:tcW w:w="3997" w:type="dxa"/>
            <w:shd w:val="clear" w:color="auto" w:fill="FFFFFF"/>
            <w:vAlign w:val="center"/>
          </w:tcPr>
          <w:p w:rsidR="00065632" w:rsidRPr="00693AAF" w:rsidRDefault="00065632" w:rsidP="00693AAF">
            <w:pPr>
              <w:spacing w:after="0"/>
              <w:jc w:val="left"/>
              <w:rPr>
                <w:sz w:val="18"/>
                <w:szCs w:val="18"/>
              </w:rPr>
            </w:pPr>
            <w:r w:rsidRPr="00693AAF">
              <w:rPr>
                <w:sz w:val="18"/>
                <w:szCs w:val="18"/>
              </w:rPr>
              <w:t>Multi-apartment buildings - cladding</w:t>
            </w:r>
          </w:p>
        </w:tc>
        <w:tc>
          <w:tcPr>
            <w:tcW w:w="2694" w:type="dxa"/>
            <w:shd w:val="clear" w:color="auto" w:fill="FFFFFF"/>
            <w:vAlign w:val="center"/>
          </w:tcPr>
          <w:p w:rsidR="00065632" w:rsidRPr="00693AAF" w:rsidRDefault="00065632" w:rsidP="00693AAF">
            <w:pPr>
              <w:spacing w:after="0"/>
              <w:jc w:val="center"/>
              <w:rPr>
                <w:sz w:val="18"/>
                <w:szCs w:val="18"/>
              </w:rPr>
            </w:pPr>
            <w:r w:rsidRPr="00693AAF">
              <w:rPr>
                <w:sz w:val="18"/>
                <w:szCs w:val="18"/>
              </w:rPr>
              <w:t>CZK 261 billion</w:t>
            </w:r>
          </w:p>
        </w:tc>
        <w:tc>
          <w:tcPr>
            <w:tcW w:w="2409" w:type="dxa"/>
            <w:shd w:val="clear" w:color="auto" w:fill="FFFFFF"/>
            <w:vAlign w:val="center"/>
          </w:tcPr>
          <w:p w:rsidR="00065632" w:rsidRPr="00693AAF" w:rsidRDefault="00065632" w:rsidP="00693AAF">
            <w:pPr>
              <w:spacing w:after="0"/>
              <w:jc w:val="center"/>
              <w:rPr>
                <w:sz w:val="18"/>
                <w:szCs w:val="18"/>
              </w:rPr>
            </w:pPr>
            <w:r w:rsidRPr="00693AAF">
              <w:rPr>
                <w:sz w:val="18"/>
                <w:szCs w:val="18"/>
              </w:rPr>
              <w:t>CZK 304 billion</w:t>
            </w:r>
          </w:p>
        </w:tc>
      </w:tr>
      <w:tr w:rsidR="00065632">
        <w:tc>
          <w:tcPr>
            <w:tcW w:w="3997" w:type="dxa"/>
            <w:shd w:val="clear" w:color="auto" w:fill="FFFFFF"/>
            <w:vAlign w:val="center"/>
          </w:tcPr>
          <w:p w:rsidR="00065632" w:rsidRPr="00693AAF" w:rsidRDefault="00065632" w:rsidP="00693AAF">
            <w:pPr>
              <w:spacing w:after="0"/>
              <w:jc w:val="left"/>
              <w:rPr>
                <w:sz w:val="18"/>
                <w:szCs w:val="18"/>
              </w:rPr>
            </w:pPr>
            <w:r w:rsidRPr="00693AAF">
              <w:rPr>
                <w:sz w:val="18"/>
                <w:szCs w:val="18"/>
              </w:rPr>
              <w:t>Multi-apartment buildings - technology</w:t>
            </w:r>
          </w:p>
        </w:tc>
        <w:tc>
          <w:tcPr>
            <w:tcW w:w="2694" w:type="dxa"/>
            <w:shd w:val="clear" w:color="auto" w:fill="FFFFFF"/>
            <w:vAlign w:val="center"/>
          </w:tcPr>
          <w:p w:rsidR="00065632" w:rsidRPr="00693AAF" w:rsidRDefault="00065632" w:rsidP="00693AAF">
            <w:pPr>
              <w:spacing w:after="0"/>
              <w:jc w:val="center"/>
              <w:rPr>
                <w:sz w:val="18"/>
                <w:szCs w:val="18"/>
              </w:rPr>
            </w:pPr>
            <w:r w:rsidRPr="00693AAF">
              <w:rPr>
                <w:sz w:val="18"/>
                <w:szCs w:val="18"/>
              </w:rPr>
              <w:t>CZK 41 billion</w:t>
            </w:r>
          </w:p>
        </w:tc>
        <w:tc>
          <w:tcPr>
            <w:tcW w:w="2409" w:type="dxa"/>
            <w:shd w:val="clear" w:color="auto" w:fill="FFFFFF"/>
            <w:vAlign w:val="center"/>
          </w:tcPr>
          <w:p w:rsidR="00065632" w:rsidRPr="00693AAF" w:rsidRDefault="00065632" w:rsidP="00693AAF">
            <w:pPr>
              <w:spacing w:after="0"/>
              <w:jc w:val="center"/>
              <w:rPr>
                <w:sz w:val="18"/>
                <w:szCs w:val="18"/>
              </w:rPr>
            </w:pPr>
            <w:r w:rsidRPr="00693AAF">
              <w:rPr>
                <w:sz w:val="18"/>
                <w:szCs w:val="18"/>
              </w:rPr>
              <w:t>CZK 205 billion</w:t>
            </w:r>
          </w:p>
        </w:tc>
      </w:tr>
      <w:tr w:rsidR="00065632">
        <w:tc>
          <w:tcPr>
            <w:tcW w:w="3997" w:type="dxa"/>
            <w:shd w:val="clear" w:color="auto" w:fill="FFFFFF"/>
            <w:vAlign w:val="center"/>
          </w:tcPr>
          <w:p w:rsidR="00065632" w:rsidRPr="00693AAF" w:rsidRDefault="00065632" w:rsidP="00693AAF">
            <w:pPr>
              <w:spacing w:after="0"/>
              <w:jc w:val="left"/>
              <w:rPr>
                <w:b/>
                <w:bCs/>
                <w:sz w:val="18"/>
                <w:szCs w:val="18"/>
              </w:rPr>
            </w:pPr>
            <w:r w:rsidRPr="00693AAF">
              <w:rPr>
                <w:b/>
                <w:bCs/>
                <w:sz w:val="18"/>
                <w:szCs w:val="18"/>
              </w:rPr>
              <w:t>Residential buildings in total</w:t>
            </w:r>
          </w:p>
        </w:tc>
        <w:tc>
          <w:tcPr>
            <w:tcW w:w="2694" w:type="dxa"/>
            <w:shd w:val="clear" w:color="auto" w:fill="FFFFFF"/>
            <w:vAlign w:val="center"/>
          </w:tcPr>
          <w:p w:rsidR="00065632" w:rsidRPr="00693AAF" w:rsidRDefault="00065632" w:rsidP="00693AAF">
            <w:pPr>
              <w:spacing w:after="0"/>
              <w:jc w:val="center"/>
              <w:rPr>
                <w:b/>
                <w:bCs/>
                <w:sz w:val="18"/>
                <w:szCs w:val="18"/>
              </w:rPr>
            </w:pPr>
            <w:r w:rsidRPr="00693AAF">
              <w:rPr>
                <w:b/>
                <w:bCs/>
                <w:sz w:val="18"/>
                <w:szCs w:val="18"/>
              </w:rPr>
              <w:t>CZK 1133 billion</w:t>
            </w:r>
          </w:p>
        </w:tc>
        <w:tc>
          <w:tcPr>
            <w:tcW w:w="2409" w:type="dxa"/>
            <w:shd w:val="clear" w:color="auto" w:fill="FFFFFF"/>
            <w:vAlign w:val="center"/>
          </w:tcPr>
          <w:p w:rsidR="00065632" w:rsidRPr="00693AAF" w:rsidRDefault="00065632" w:rsidP="00693AAF">
            <w:pPr>
              <w:spacing w:after="0"/>
              <w:jc w:val="center"/>
              <w:rPr>
                <w:b/>
                <w:bCs/>
                <w:sz w:val="18"/>
                <w:szCs w:val="18"/>
              </w:rPr>
            </w:pPr>
            <w:r w:rsidRPr="00693AAF">
              <w:rPr>
                <w:b/>
                <w:bCs/>
                <w:sz w:val="18"/>
                <w:szCs w:val="18"/>
              </w:rPr>
              <w:t>CZK 1673 billion</w:t>
            </w:r>
          </w:p>
        </w:tc>
      </w:tr>
      <w:tr w:rsidR="00065632">
        <w:tc>
          <w:tcPr>
            <w:tcW w:w="3997" w:type="dxa"/>
            <w:shd w:val="clear" w:color="auto" w:fill="FFFFFF"/>
            <w:vAlign w:val="center"/>
          </w:tcPr>
          <w:p w:rsidR="00065632" w:rsidRPr="00693AAF" w:rsidRDefault="00065632" w:rsidP="00693AAF">
            <w:pPr>
              <w:spacing w:after="0"/>
              <w:jc w:val="left"/>
              <w:rPr>
                <w:sz w:val="18"/>
                <w:szCs w:val="18"/>
              </w:rPr>
            </w:pPr>
            <w:r w:rsidRPr="00693AAF">
              <w:rPr>
                <w:sz w:val="18"/>
                <w:szCs w:val="18"/>
              </w:rPr>
              <w:t>Of which ensuring of sufficient ventilation (single-family houses and multiple-apartment buildings)</w:t>
            </w:r>
          </w:p>
        </w:tc>
        <w:tc>
          <w:tcPr>
            <w:tcW w:w="2694" w:type="dxa"/>
            <w:shd w:val="clear" w:color="auto" w:fill="FFFFFF"/>
            <w:vAlign w:val="center"/>
          </w:tcPr>
          <w:p w:rsidR="00065632" w:rsidRPr="00693AAF" w:rsidRDefault="00065632" w:rsidP="00693AAF">
            <w:pPr>
              <w:spacing w:after="0"/>
              <w:jc w:val="center"/>
              <w:rPr>
                <w:sz w:val="18"/>
                <w:szCs w:val="18"/>
              </w:rPr>
            </w:pPr>
            <w:r w:rsidRPr="00693AAF">
              <w:rPr>
                <w:sz w:val="18"/>
                <w:szCs w:val="18"/>
              </w:rPr>
              <w:t>CZK 200 billion</w:t>
            </w:r>
          </w:p>
        </w:tc>
        <w:tc>
          <w:tcPr>
            <w:tcW w:w="2409" w:type="dxa"/>
            <w:shd w:val="clear" w:color="auto" w:fill="FFFFFF"/>
            <w:vAlign w:val="center"/>
          </w:tcPr>
          <w:p w:rsidR="00065632" w:rsidRPr="00693AAF" w:rsidRDefault="00065632" w:rsidP="00693AAF">
            <w:pPr>
              <w:spacing w:after="0"/>
              <w:jc w:val="center"/>
              <w:rPr>
                <w:sz w:val="18"/>
                <w:szCs w:val="18"/>
              </w:rPr>
            </w:pPr>
            <w:r w:rsidRPr="00693AAF">
              <w:rPr>
                <w:sz w:val="18"/>
                <w:szCs w:val="18"/>
              </w:rPr>
              <w:t>CZK 157 billion</w:t>
            </w:r>
          </w:p>
        </w:tc>
      </w:tr>
      <w:tr w:rsidR="00065632">
        <w:tc>
          <w:tcPr>
            <w:tcW w:w="3997" w:type="dxa"/>
            <w:shd w:val="clear" w:color="auto" w:fill="FFFFFF"/>
            <w:vAlign w:val="center"/>
          </w:tcPr>
          <w:p w:rsidR="00065632" w:rsidRPr="00693AAF" w:rsidRDefault="00065632" w:rsidP="00693AAF">
            <w:pPr>
              <w:spacing w:after="0"/>
              <w:jc w:val="left"/>
              <w:rPr>
                <w:b/>
                <w:bCs/>
                <w:sz w:val="18"/>
                <w:szCs w:val="18"/>
              </w:rPr>
            </w:pPr>
            <w:r w:rsidRPr="00693AAF">
              <w:rPr>
                <w:b/>
                <w:bCs/>
                <w:sz w:val="18"/>
                <w:szCs w:val="18"/>
              </w:rPr>
              <w:t>Energy savings in residential buildings</w:t>
            </w:r>
          </w:p>
        </w:tc>
        <w:tc>
          <w:tcPr>
            <w:tcW w:w="2694" w:type="dxa"/>
            <w:shd w:val="clear" w:color="auto" w:fill="FFFFFF"/>
            <w:vAlign w:val="center"/>
          </w:tcPr>
          <w:p w:rsidR="00065632" w:rsidRPr="00693AAF" w:rsidRDefault="00065632" w:rsidP="00693AAF">
            <w:pPr>
              <w:spacing w:after="0"/>
              <w:jc w:val="center"/>
              <w:rPr>
                <w:b/>
                <w:bCs/>
                <w:sz w:val="18"/>
                <w:szCs w:val="18"/>
              </w:rPr>
            </w:pPr>
            <w:r w:rsidRPr="00693AAF">
              <w:rPr>
                <w:b/>
                <w:bCs/>
                <w:sz w:val="18"/>
                <w:szCs w:val="18"/>
              </w:rPr>
              <w:t>92 PJ</w:t>
            </w:r>
          </w:p>
        </w:tc>
        <w:tc>
          <w:tcPr>
            <w:tcW w:w="2409" w:type="dxa"/>
            <w:shd w:val="clear" w:color="auto" w:fill="FFFFFF"/>
            <w:vAlign w:val="center"/>
          </w:tcPr>
          <w:p w:rsidR="00065632" w:rsidRPr="00693AAF" w:rsidRDefault="00065632" w:rsidP="00693AAF">
            <w:pPr>
              <w:spacing w:after="0"/>
              <w:jc w:val="center"/>
              <w:rPr>
                <w:b/>
                <w:bCs/>
                <w:sz w:val="18"/>
                <w:szCs w:val="18"/>
              </w:rPr>
            </w:pPr>
            <w:r w:rsidRPr="00693AAF">
              <w:rPr>
                <w:b/>
                <w:bCs/>
                <w:sz w:val="18"/>
                <w:szCs w:val="18"/>
              </w:rPr>
              <w:t>155 PJ</w:t>
            </w:r>
          </w:p>
        </w:tc>
      </w:tr>
    </w:tbl>
    <w:p w:rsidR="00065632" w:rsidRDefault="00065632" w:rsidP="00D36F9D">
      <w:pPr>
        <w:pStyle w:val="Titulek"/>
        <w:spacing w:after="0" w:afterAutospacing="0"/>
      </w:pPr>
      <w:bookmarkStart w:id="80" w:name="_Toc400358146"/>
      <w:bookmarkStart w:id="81" w:name="_Toc409795566"/>
      <w:bookmarkStart w:id="82" w:name="_Toc417655504"/>
      <w:bookmarkStart w:id="83" w:name="_Toc426033915"/>
      <w:r>
        <w:t xml:space="preserve">Table </w:t>
      </w:r>
      <w:r>
        <w:fldChar w:fldCharType="begin"/>
      </w:r>
      <w:r>
        <w:instrText xml:space="preserve"> SEQ Tabulka \* ARABIC </w:instrText>
      </w:r>
      <w:r>
        <w:fldChar w:fldCharType="separate"/>
      </w:r>
      <w:r>
        <w:rPr>
          <w:noProof/>
        </w:rPr>
        <w:t>6</w:t>
      </w:r>
      <w:r>
        <w:fldChar w:fldCharType="end"/>
      </w:r>
      <w:r>
        <w:t>: Estimated investment need of the residential sector and the corresponding energy savings</w:t>
      </w:r>
      <w:bookmarkEnd w:id="80"/>
      <w:bookmarkEnd w:id="81"/>
      <w:bookmarkEnd w:id="82"/>
      <w:bookmarkEnd w:id="83"/>
    </w:p>
    <w:p w:rsidR="00065632" w:rsidRPr="0047500C" w:rsidRDefault="00065632" w:rsidP="00D36F9D">
      <w:pPr>
        <w:rPr>
          <w:b/>
          <w:bCs/>
          <w:sz w:val="4"/>
          <w:szCs w:val="4"/>
        </w:rPr>
      </w:pPr>
    </w:p>
    <w:p w:rsidR="00065632" w:rsidRDefault="00065632" w:rsidP="00D36F9D">
      <w:r>
        <w:rPr>
          <w:b/>
          <w:bCs/>
        </w:rPr>
        <w:t>The aforementioned results show that in order to achieve the recommended standard</w:t>
      </w:r>
      <w:r>
        <w:t xml:space="preserve"> in all buildings in the housing sector, CZK 1,133 billion would be necessary, and </w:t>
      </w:r>
      <w:r>
        <w:rPr>
          <w:b/>
          <w:bCs/>
        </w:rPr>
        <w:t>CZK 302 billion for the area of residential buildings, relevant for the IROP focus</w:t>
      </w:r>
      <w:r>
        <w:t>.</w:t>
      </w:r>
      <w:r>
        <w:rPr>
          <w:rStyle w:val="Znakapoznpodarou"/>
        </w:rPr>
        <w:t xml:space="preserve"> </w:t>
      </w:r>
      <w:r>
        <w:rPr>
          <w:rStyle w:val="Znakapoznpodarou"/>
        </w:rPr>
        <w:footnoteReference w:id="6"/>
      </w:r>
      <w:r>
        <w:t xml:space="preserve"> The study is based on the analysis of the total number of 1.58 million of single-family houses and 2.42 million of apartments in multiple-apartment buildings. According to the data referred to in the study, circa CZK 50 billion should be spent on an annual basis in order to consider fulfilment of the complete renovation in 2050. </w:t>
      </w:r>
    </w:p>
    <w:p w:rsidR="00065632" w:rsidRDefault="00065632" w:rsidP="00D36F9D">
      <w:r>
        <w:t xml:space="preserve">The data in the material provided by </w:t>
      </w:r>
      <w:proofErr w:type="spellStart"/>
      <w:r>
        <w:t>Šance</w:t>
      </w:r>
      <w:proofErr w:type="spellEnd"/>
      <w:r>
        <w:t xml:space="preserve"> pro </w:t>
      </w:r>
      <w:proofErr w:type="spellStart"/>
      <w:r>
        <w:t>budovy</w:t>
      </w:r>
      <w:proofErr w:type="spellEnd"/>
      <w:r>
        <w:t xml:space="preserve"> may be compared with </w:t>
      </w:r>
      <w:r>
        <w:rPr>
          <w:b/>
          <w:bCs/>
        </w:rPr>
        <w:t>own surveys conducted by the State Fund for Housing Development</w:t>
      </w:r>
      <w:r>
        <w:t xml:space="preserve"> (which analyses the neglected character of residential buildings to provide an estimate of demand for supply of resources from aid schemes administered by the institution—see the Final Report of Panel SCAN 2009), </w:t>
      </w:r>
      <w:r>
        <w:rPr>
          <w:b/>
          <w:bCs/>
        </w:rPr>
        <w:t>data by the Czech Statistical Office</w:t>
      </w:r>
      <w:r>
        <w:t xml:space="preserve"> (which conducted a census of persons, houses and apartments in 2011). According to CSO data, in the CR there are 2.42 million apartments in multi-apartment buildings; according to the SFHD's analysis, 40% of these units may be considered reconstructed, i.e. 60% of the total sum may be considered neglected, in total approx. 1.5 million apartments. </w:t>
      </w:r>
      <w:r>
        <w:rPr>
          <w:b/>
          <w:bCs/>
        </w:rPr>
        <w:t>SFHD data also show that the total investment need in this area is CZK 680 billion</w:t>
      </w:r>
      <w:r>
        <w:t xml:space="preserve"> and the desirable annual investment rate to achieve the state of full revitalisation by 2050 is CZK 17 billion. The data indicate that the average amount of reconstruction would in such case be approx. CZK 450 thousand, which is well below the average level of investment in the ongoing JESSICA (CZK 4.9 million) and PANEL (CZK 4.7 million) programmes.</w:t>
      </w:r>
    </w:p>
    <w:p w:rsidR="00065632" w:rsidRDefault="00065632" w:rsidP="00D36F9D">
      <w:r>
        <w:t>A third source dealing with the same issue is statistical data and SCMDB's (Union of Czech and Moravian Housing Co-operatives) own modelling The Union's prediction foresees the following:</w:t>
      </w:r>
    </w:p>
    <w:p w:rsidR="00065632" w:rsidRDefault="00065632" w:rsidP="00065632">
      <w:pPr>
        <w:pStyle w:val="Odstavecseseznamem"/>
        <w:numPr>
          <w:ilvl w:val="0"/>
          <w:numId w:val="42"/>
        </w:numPr>
      </w:pPr>
      <w:r>
        <w:t>revitalisation of prefabricated houses which have not undergone any revitalisation since their construction;</w:t>
      </w:r>
    </w:p>
    <w:p w:rsidR="00065632" w:rsidRDefault="00065632" w:rsidP="00065632">
      <w:pPr>
        <w:pStyle w:val="Odstavecseseznamem"/>
        <w:numPr>
          <w:ilvl w:val="0"/>
          <w:numId w:val="42"/>
        </w:numPr>
      </w:pPr>
      <w:r>
        <w:t>investments in stage II, which includes investment needs of already thermally insulated buildings but without original deeper interventions or with insufficient level of insulation (motivation is repair of defects, further increase in savings, longer life, repairs of technically obsolete elements);</w:t>
      </w:r>
    </w:p>
    <w:p w:rsidR="00065632" w:rsidRDefault="00065632" w:rsidP="00065632">
      <w:pPr>
        <w:pStyle w:val="Odstavecseseznamem"/>
        <w:numPr>
          <w:ilvl w:val="0"/>
          <w:numId w:val="42"/>
        </w:numPr>
      </w:pPr>
      <w:r>
        <w:t>approx. 300,000 apartments will remain in the current condition regardless of external conditions (the issue of socially excluded locations, low price of apartments and disparity against the price of revitalisation, etc.).</w:t>
      </w:r>
    </w:p>
    <w:p w:rsidR="00065632" w:rsidRPr="009000E4" w:rsidRDefault="00065632" w:rsidP="00D36F9D">
      <w:r>
        <w:rPr>
          <w:b/>
          <w:bCs/>
        </w:rPr>
        <w:t>Having applied the quantitative data monitored by the Union and taking into consideration the above qualitative refinement, a need to implement investments of CZK 324–432 billion CZK may be expected for 2014–2020.</w:t>
      </w:r>
    </w:p>
    <w:p w:rsidR="00065632" w:rsidRPr="00C844BD" w:rsidRDefault="00065632" w:rsidP="00D36F9D">
      <w:pPr>
        <w:rPr>
          <w:b/>
          <w:bCs/>
        </w:rPr>
      </w:pPr>
      <w:r>
        <w:t>The three sources specify the potential amount of investment need in the sector of revitalisation of existing residential buildings in the Czech Republic. The Contractor used the results of the questionnaire survey, available analyses and expertise to be able to make a qualified estimate of the potential level of demand for aid being prepared under the IROP programme (assessment of the potential level of the programme's absorption capacity), namely to be able to specify the details of products that will be demanded by the target groups.</w:t>
      </w:r>
    </w:p>
    <w:p w:rsidR="00065632" w:rsidRDefault="00065632" w:rsidP="000979B7">
      <w:pPr>
        <w:pStyle w:val="Nadpis4"/>
      </w:pPr>
      <w:r>
        <w:lastRenderedPageBreak/>
        <w:t>Number and parameters of products that will be demanded by final beneficiaries</w:t>
      </w:r>
    </w:p>
    <w:p w:rsidR="00065632" w:rsidRDefault="00065632" w:rsidP="00D36F9D">
      <w:r>
        <w:t>A qualified estimate may be made based on the conclusions of the questionnaire survey of the parameters and numbers of products that will be implemented by final beneficiaries in the monitored investment horizon of 2015–2023 (i.e. the period when the IROP will actively operate):</w:t>
      </w:r>
    </w:p>
    <w:p w:rsidR="00065632" w:rsidRDefault="00065632" w:rsidP="00065632">
      <w:pPr>
        <w:pStyle w:val="Odstavecseseznamem"/>
        <w:numPr>
          <w:ilvl w:val="0"/>
          <w:numId w:val="60"/>
        </w:numPr>
      </w:pPr>
      <w:r>
        <w:t>Respondents (multi-apt build.)</w:t>
      </w:r>
      <w:r>
        <w:tab/>
      </w:r>
      <w:r>
        <w:tab/>
      </w:r>
      <w:r>
        <w:tab/>
      </w:r>
      <w:r>
        <w:tab/>
        <w:t>245</w:t>
      </w:r>
    </w:p>
    <w:p w:rsidR="00065632" w:rsidRDefault="00065632" w:rsidP="00065632">
      <w:pPr>
        <w:pStyle w:val="Odstavecseseznamem"/>
        <w:numPr>
          <w:ilvl w:val="0"/>
          <w:numId w:val="60"/>
        </w:numPr>
      </w:pPr>
      <w:r>
        <w:t>Planned investments</w:t>
      </w:r>
      <w:r>
        <w:tab/>
      </w:r>
      <w:r>
        <w:tab/>
      </w:r>
      <w:r>
        <w:tab/>
        <w:t>1,268</w:t>
      </w:r>
    </w:p>
    <w:p w:rsidR="00065632" w:rsidRDefault="00065632" w:rsidP="00065632">
      <w:pPr>
        <w:pStyle w:val="Odstavecseseznamem"/>
        <w:numPr>
          <w:ilvl w:val="0"/>
          <w:numId w:val="60"/>
        </w:numPr>
      </w:pPr>
      <w:r>
        <w:t>Average amount of planned investment</w:t>
      </w:r>
      <w:r>
        <w:tab/>
      </w:r>
      <w:r>
        <w:tab/>
        <w:t>CZK 4.78 million.</w:t>
      </w:r>
    </w:p>
    <w:p w:rsidR="00065632" w:rsidRDefault="00065632" w:rsidP="00065632">
      <w:pPr>
        <w:pStyle w:val="Odstavecseseznamem"/>
        <w:numPr>
          <w:ilvl w:val="0"/>
          <w:numId w:val="60"/>
        </w:numPr>
      </w:pPr>
      <w:r>
        <w:t>Absorption capacity of respondents' investments</w:t>
      </w:r>
      <w:r>
        <w:tab/>
      </w:r>
      <w:r>
        <w:tab/>
        <w:t>CZK 6.06 billion</w:t>
      </w:r>
    </w:p>
    <w:p w:rsidR="00065632" w:rsidRDefault="00065632" w:rsidP="00D36F9D">
      <w:r>
        <w:t>The data provide an overview of the potential size of the absorption capacity of projects of the survey respondents in terms of thematic focus on reducing energy intensity in the sector of residential buildings housing. See the diagram below for a detailed proportional distribution of the amount of planned investments, with regard to the foreseen budgeted project costs.</w:t>
      </w:r>
    </w:p>
    <w:p w:rsidR="00065632" w:rsidRDefault="00560258" w:rsidP="00D36F9D">
      <w:pPr>
        <w:jc w:val="center"/>
      </w:pPr>
      <w:r>
        <w:rPr>
          <w:noProof/>
          <w:lang w:val="cs-CZ" w:eastAsia="cs-CZ"/>
        </w:rPr>
        <w:drawing>
          <wp:inline distT="0" distB="0" distL="0" distR="0">
            <wp:extent cx="5667375" cy="3209925"/>
            <wp:effectExtent l="0" t="0" r="9525" b="9525"/>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667375" cy="3209925"/>
                    </a:xfrm>
                    <a:prstGeom prst="rect">
                      <a:avLst/>
                    </a:prstGeom>
                    <a:noFill/>
                    <a:ln>
                      <a:noFill/>
                    </a:ln>
                  </pic:spPr>
                </pic:pic>
              </a:graphicData>
            </a:graphic>
          </wp:inline>
        </w:drawing>
      </w:r>
    </w:p>
    <w:p w:rsidR="00065632" w:rsidRDefault="00065632" w:rsidP="00D36F9D">
      <w:pPr>
        <w:pStyle w:val="Titulek"/>
      </w:pPr>
      <w:bookmarkStart w:id="84" w:name="_Toc417655516"/>
      <w:bookmarkStart w:id="85" w:name="_Toc426033927"/>
      <w:r>
        <w:t xml:space="preserve">Figure </w:t>
      </w:r>
      <w:r>
        <w:fldChar w:fldCharType="begin"/>
      </w:r>
      <w:r>
        <w:instrText xml:space="preserve"> SEQ Obrázek \* ARABIC </w:instrText>
      </w:r>
      <w:r>
        <w:fldChar w:fldCharType="separate"/>
      </w:r>
      <w:r>
        <w:rPr>
          <w:noProof/>
        </w:rPr>
        <w:t>2</w:t>
      </w:r>
      <w:r>
        <w:fldChar w:fldCharType="end"/>
      </w:r>
      <w:r>
        <w:t>: Conclusions of the Deloitte survey in response to the amount of the considered investment</w:t>
      </w:r>
      <w:bookmarkEnd w:id="84"/>
      <w:bookmarkEnd w:id="85"/>
    </w:p>
    <w:p w:rsidR="00065632" w:rsidRDefault="00065632" w:rsidP="00912E5D"/>
    <w:p w:rsidR="00065632" w:rsidRPr="00912E5D" w:rsidRDefault="00065632" w:rsidP="00912E5D">
      <w:pPr>
        <w:rPr>
          <w:highlight w:val="yellow"/>
        </w:rPr>
      </w:pPr>
      <w:r w:rsidRPr="00912E5D">
        <w:rPr>
          <w:highlight w:val="yellow"/>
        </w:rPr>
        <w:t>What is your estimate of the project’s investment costs?</w:t>
      </w:r>
    </w:p>
    <w:p w:rsidR="00065632" w:rsidRPr="00912E5D" w:rsidRDefault="00065632" w:rsidP="00912E5D">
      <w:pPr>
        <w:rPr>
          <w:highlight w:val="yellow"/>
        </w:rPr>
      </w:pPr>
    </w:p>
    <w:p w:rsidR="00065632" w:rsidRPr="00912E5D" w:rsidRDefault="00065632" w:rsidP="00912E5D">
      <w:pPr>
        <w:rPr>
          <w:highlight w:val="yellow"/>
        </w:rPr>
      </w:pPr>
      <w:r w:rsidRPr="00912E5D">
        <w:rPr>
          <w:highlight w:val="yellow"/>
        </w:rPr>
        <w:t>CZK 1–3 million</w:t>
      </w:r>
    </w:p>
    <w:p w:rsidR="00065632" w:rsidRPr="00912E5D" w:rsidRDefault="00065632" w:rsidP="00912E5D">
      <w:pPr>
        <w:rPr>
          <w:highlight w:val="yellow"/>
        </w:rPr>
      </w:pPr>
      <w:r w:rsidRPr="00912E5D">
        <w:rPr>
          <w:highlight w:val="yellow"/>
        </w:rPr>
        <w:t>[</w:t>
      </w:r>
      <w:proofErr w:type="spellStart"/>
      <w:proofErr w:type="gramStart"/>
      <w:r w:rsidRPr="00912E5D">
        <w:rPr>
          <w:highlight w:val="yellow"/>
        </w:rPr>
        <w:t>atd</w:t>
      </w:r>
      <w:proofErr w:type="spellEnd"/>
      <w:proofErr w:type="gramEnd"/>
      <w:r w:rsidRPr="00912E5D">
        <w:rPr>
          <w:highlight w:val="yellow"/>
        </w:rPr>
        <w:t>]</w:t>
      </w:r>
    </w:p>
    <w:p w:rsidR="00065632" w:rsidRPr="0057251F" w:rsidRDefault="00065632" w:rsidP="00912E5D">
      <w:r w:rsidRPr="00912E5D">
        <w:rPr>
          <w:highlight w:val="yellow"/>
        </w:rPr>
        <w:t>CZK 17 million and more</w:t>
      </w:r>
    </w:p>
    <w:p w:rsidR="00065632" w:rsidRPr="00912E5D" w:rsidRDefault="00065632" w:rsidP="00912E5D"/>
    <w:p w:rsidR="00065632" w:rsidRDefault="00065632" w:rsidP="00D36F9D">
      <w:r>
        <w:t xml:space="preserve">The Contractor also found in the survey that 66% of all investments described by respondents were planned for implementation in 2015 and 2016, which implies that the survey includes only a limited sample of projects to be implemented in 2017–2023. </w:t>
      </w:r>
    </w:p>
    <w:p w:rsidR="00065632" w:rsidRDefault="00065632" w:rsidP="00D36F9D">
      <w:r>
        <w:lastRenderedPageBreak/>
        <w:t xml:space="preserve">The Contractor conducted a quantitative analysis of these gross results and in order to cleanse the data from lack of coverage of investments in a longer horizon and lack of representation of only a sample of potential applicants, it applied a range of correction coefficient of 7 to 9. </w:t>
      </w:r>
    </w:p>
    <w:p w:rsidR="00065632" w:rsidRDefault="00065632" w:rsidP="00D36F9D">
      <w:r>
        <w:t xml:space="preserve">The resulting value then more precisely corresponds to the gross amount of absorption capacities for the programming period, i.e. an amount of CZK 42.4–54.5. The questionnaire survey conclusions confirm that the potential absorption capacities of final beneficiaries exceed the available allocation of IROP specific objective 2.5. </w:t>
      </w:r>
    </w:p>
    <w:p w:rsidR="00065632" w:rsidRDefault="00065632" w:rsidP="00D36F9D">
      <w:r>
        <w:rPr>
          <w:b/>
          <w:bCs/>
        </w:rPr>
        <w:t xml:space="preserve">The hard data obtained by the questionnaire survey, in selected cases appropriately refined by involvement of the Contractor's qualitative evaluation, allow </w:t>
      </w:r>
      <w:proofErr w:type="gramStart"/>
      <w:r>
        <w:rPr>
          <w:b/>
          <w:bCs/>
        </w:rPr>
        <w:t>to specify</w:t>
      </w:r>
      <w:proofErr w:type="gramEnd"/>
      <w:r>
        <w:rPr>
          <w:b/>
          <w:bCs/>
        </w:rPr>
        <w:t xml:space="preserve"> the key parameters and numbers of products that will be demanded by final beneficiaries</w:t>
      </w:r>
      <w:r>
        <w:t>:</w:t>
      </w:r>
    </w:p>
    <w:p w:rsidR="00065632" w:rsidRDefault="00065632" w:rsidP="00065632">
      <w:pPr>
        <w:pStyle w:val="Odstavecseseznamem"/>
        <w:numPr>
          <w:ilvl w:val="0"/>
          <w:numId w:val="61"/>
        </w:numPr>
      </w:pPr>
      <w:r>
        <w:t>Implementation of 8,800 to 11,400 projects of residential buildings revitalisation may be expected in CR regions except Prague;</w:t>
      </w:r>
    </w:p>
    <w:p w:rsidR="00065632" w:rsidRDefault="00065632" w:rsidP="00065632">
      <w:pPr>
        <w:pStyle w:val="Odstavecseseznamem"/>
        <w:numPr>
          <w:ilvl w:val="0"/>
          <w:numId w:val="61"/>
        </w:numPr>
      </w:pPr>
      <w:r>
        <w:t>The average investment amount will be CZK 4.5–5 million;</w:t>
      </w:r>
    </w:p>
    <w:p w:rsidR="00065632" w:rsidRDefault="00065632" w:rsidP="00065632">
      <w:pPr>
        <w:pStyle w:val="Odstavecseseznamem"/>
        <w:numPr>
          <w:ilvl w:val="0"/>
          <w:numId w:val="61"/>
        </w:numPr>
      </w:pPr>
      <w:r>
        <w:t>Up to 97% of investments will, under the project, implement measures leading to improvement of thermal properties of buildings, up to 36% of projects will implement measures of shift to environmentally friendly resources, and up to 74% of projects will also implement other repairs aiming at extending the building's life and increasing the standard of living;</w:t>
      </w:r>
    </w:p>
    <w:p w:rsidR="00065632" w:rsidRDefault="00065632" w:rsidP="00065632">
      <w:pPr>
        <w:pStyle w:val="Odstavecseseznamem"/>
        <w:numPr>
          <w:ilvl w:val="0"/>
          <w:numId w:val="61"/>
        </w:numPr>
      </w:pPr>
      <w:r>
        <w:t>Up to 54% of projects can repay the initial investment within 10 years, up to 33% of projects repay the initial investment within 11–15 years, 7% of projects in a longer term, and in 4% of projects the respondents do not consider the investment to be returnable;</w:t>
      </w:r>
    </w:p>
    <w:p w:rsidR="00065632" w:rsidRDefault="00065632" w:rsidP="00065632">
      <w:pPr>
        <w:pStyle w:val="Odstavecseseznamem"/>
        <w:numPr>
          <w:ilvl w:val="0"/>
          <w:numId w:val="61"/>
        </w:numPr>
      </w:pPr>
      <w:r>
        <w:t>Up to 89% of projects can meet the requirements for guarantee, and only remaining 11% of projects declare impossibility to meet the banking sector's requirements for guarantee against the considered loan for project implementation;</w:t>
      </w:r>
    </w:p>
    <w:p w:rsidR="00065632" w:rsidRPr="0080360F" w:rsidRDefault="00065632" w:rsidP="00065632">
      <w:pPr>
        <w:pStyle w:val="Odstavecseseznamem"/>
        <w:numPr>
          <w:ilvl w:val="0"/>
          <w:numId w:val="61"/>
        </w:numPr>
        <w:rPr>
          <w:u w:val="single"/>
        </w:rPr>
      </w:pPr>
      <w:r>
        <w:rPr>
          <w:u w:val="single"/>
        </w:rPr>
        <w:t>According to conclusions regarding the readiness of projects (planned implementation in 2015 and 2016) and taking into account the qualitative cleansing of data, one may expect demand for the IROP aid scheme of CZK 28–36 billion in the first two years since the commencement of drawing.</w:t>
      </w:r>
    </w:p>
    <w:p w:rsidR="00065632" w:rsidRDefault="00065632" w:rsidP="00D36F9D">
      <w:r>
        <w:t>The degree to which the investment need is "activated" will be influenced mainly by the following factors:</w:t>
      </w:r>
    </w:p>
    <w:p w:rsidR="00065632" w:rsidRPr="00020599" w:rsidRDefault="00065632" w:rsidP="00065632">
      <w:pPr>
        <w:pStyle w:val="Odstavecseseznamem"/>
        <w:numPr>
          <w:ilvl w:val="0"/>
          <w:numId w:val="42"/>
        </w:numPr>
      </w:pPr>
      <w:r>
        <w:rPr>
          <w:b/>
          <w:bCs/>
        </w:rPr>
        <w:t>Setting up state aid able to attract and motivate applicants to consider investment</w:t>
      </w:r>
      <w:r>
        <w:t>—adequate setting of the degree and form of aid to be sufficiently attractive for applicants as well as for co-financing entity/entities;</w:t>
      </w:r>
    </w:p>
    <w:p w:rsidR="00065632" w:rsidRDefault="00065632" w:rsidP="00065632">
      <w:pPr>
        <w:pStyle w:val="Odstavecseseznamem"/>
        <w:numPr>
          <w:ilvl w:val="0"/>
          <w:numId w:val="42"/>
        </w:numPr>
      </w:pPr>
      <w:r>
        <w:rPr>
          <w:b/>
          <w:bCs/>
        </w:rPr>
        <w:t>The State's capability to ensure an efficient motivational information campaign, general declaration of political support for these measures</w:t>
      </w:r>
      <w:r>
        <w:t>—the campaign should be coordinated for all aid schemes directed to the area (i.e., synergies of linking the campaign of the New Green Savings programme, the PANEL programme and the JESSICA programme should ideally be taken advantage of in terms of areas of intervention under OP EIC, OP E and IROP);</w:t>
      </w:r>
    </w:p>
    <w:p w:rsidR="00065632" w:rsidRDefault="00065632" w:rsidP="00065632">
      <w:pPr>
        <w:pStyle w:val="Odstavecseseznamem"/>
        <w:numPr>
          <w:ilvl w:val="0"/>
          <w:numId w:val="42"/>
        </w:numPr>
      </w:pPr>
      <w:r>
        <w:rPr>
          <w:b/>
          <w:bCs/>
        </w:rPr>
        <w:t>What the future evolution of energy prices will be</w:t>
      </w:r>
      <w:r>
        <w:t xml:space="preserve"> (whether there will be a significant increase in prices) </w:t>
      </w:r>
      <w:r>
        <w:rPr>
          <w:b/>
          <w:bCs/>
        </w:rPr>
        <w:t>and what the State's energy policy will be</w:t>
      </w:r>
      <w:r>
        <w:t xml:space="preserve"> (whether tax- or other incentive instruments are applied in addition to fiscal stimuli);</w:t>
      </w:r>
    </w:p>
    <w:p w:rsidR="00065632" w:rsidRDefault="00065632" w:rsidP="00065632">
      <w:pPr>
        <w:pStyle w:val="Odstavecseseznamem"/>
        <w:numPr>
          <w:ilvl w:val="0"/>
          <w:numId w:val="42"/>
        </w:numPr>
      </w:pPr>
      <w:r>
        <w:rPr>
          <w:b/>
          <w:bCs/>
        </w:rPr>
        <w:t>What the future state of the banking sector and the construction industry will be</w:t>
      </w:r>
      <w:r>
        <w:t xml:space="preserve"> (whether there will be loan capacities, what the prices of loans in the given area will be, what the capacities of construction companies for the given type of projects will be);</w:t>
      </w:r>
    </w:p>
    <w:p w:rsidR="00065632" w:rsidRDefault="00065632" w:rsidP="00065632">
      <w:pPr>
        <w:pStyle w:val="Odstavecseseznamem"/>
        <w:numPr>
          <w:ilvl w:val="0"/>
          <w:numId w:val="42"/>
        </w:numPr>
      </w:pPr>
      <w:r>
        <w:rPr>
          <w:b/>
          <w:bCs/>
        </w:rPr>
        <w:t>How the housing stock will age in general, what the volume of forced repairs and related renovations will be</w:t>
      </w:r>
      <w:r>
        <w:t xml:space="preserve"> (the motivation for the investment implementation is unsatisfactory technical condition of a building, not an economic or environmental speculation).</w:t>
      </w:r>
    </w:p>
    <w:p w:rsidR="00065632" w:rsidRDefault="00065632" w:rsidP="000979B7">
      <w:pPr>
        <w:pStyle w:val="Nadpis4"/>
      </w:pPr>
      <w:r>
        <w:t>Market failure and sub-optimal investment situation</w:t>
      </w:r>
    </w:p>
    <w:p w:rsidR="00065632" w:rsidRDefault="00065632" w:rsidP="00D36F9D">
      <w:r>
        <w:t>On the basis of the interviews conducted, an analysis of the questionnaire survey results and the results of the analysis of available data, the Contractor has concluded that there is a market failure in the monitored area of intervention. There is a stable portfolio of projects which cannot provide for their funding under normal marketing conditions or resources are offered only to a limited extent and under conditions that are impossible to fulfil/unacceptable for the beneficiary.</w:t>
      </w:r>
    </w:p>
    <w:p w:rsidR="00065632" w:rsidRDefault="00560258" w:rsidP="00D36F9D">
      <w:pPr>
        <w:jc w:val="center"/>
      </w:pPr>
      <w:r>
        <w:rPr>
          <w:noProof/>
          <w:lang w:val="cs-CZ" w:eastAsia="cs-CZ"/>
        </w:rPr>
        <w:lastRenderedPageBreak/>
        <w:drawing>
          <wp:inline distT="0" distB="0" distL="0" distR="0">
            <wp:extent cx="5629275" cy="2876550"/>
            <wp:effectExtent l="0" t="0" r="9525" b="0"/>
            <wp:docPr id="10"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629275" cy="2876550"/>
                    </a:xfrm>
                    <a:prstGeom prst="rect">
                      <a:avLst/>
                    </a:prstGeom>
                    <a:noFill/>
                    <a:ln>
                      <a:noFill/>
                    </a:ln>
                  </pic:spPr>
                </pic:pic>
              </a:graphicData>
            </a:graphic>
          </wp:inline>
        </w:drawing>
      </w:r>
    </w:p>
    <w:p w:rsidR="00065632" w:rsidRDefault="00065632" w:rsidP="00D36F9D">
      <w:pPr>
        <w:pStyle w:val="Titulek"/>
      </w:pPr>
      <w:bookmarkStart w:id="86" w:name="_Toc407016820"/>
      <w:bookmarkStart w:id="87" w:name="_Toc413765581"/>
      <w:bookmarkStart w:id="88" w:name="_Toc417655517"/>
      <w:bookmarkStart w:id="89" w:name="_Toc426033928"/>
      <w:r>
        <w:t xml:space="preserve">Figure </w:t>
      </w:r>
      <w:r>
        <w:fldChar w:fldCharType="begin"/>
      </w:r>
      <w:r>
        <w:instrText xml:space="preserve"> SEQ Obrázek \* ARABIC </w:instrText>
      </w:r>
      <w:r>
        <w:fldChar w:fldCharType="separate"/>
      </w:r>
      <w:r>
        <w:rPr>
          <w:noProof/>
        </w:rPr>
        <w:t>3</w:t>
      </w:r>
      <w:r>
        <w:fldChar w:fldCharType="end"/>
      </w:r>
      <w:r>
        <w:t>: Conclusions of the Deloitte survey - availability of external sources of financing</w:t>
      </w:r>
      <w:bookmarkEnd w:id="86"/>
      <w:bookmarkEnd w:id="87"/>
      <w:bookmarkEnd w:id="88"/>
      <w:bookmarkEnd w:id="89"/>
    </w:p>
    <w:p w:rsidR="00065632" w:rsidRDefault="00065632" w:rsidP="00912E5D"/>
    <w:p w:rsidR="00065632" w:rsidRPr="00912E5D" w:rsidRDefault="00065632" w:rsidP="00912E5D">
      <w:pPr>
        <w:rPr>
          <w:highlight w:val="yellow"/>
        </w:rPr>
      </w:pPr>
      <w:r w:rsidRPr="00912E5D">
        <w:rPr>
          <w:highlight w:val="yellow"/>
        </w:rPr>
        <w:t>How do you evaluate the availability of external financing for your investments?</w:t>
      </w:r>
    </w:p>
    <w:p w:rsidR="00065632" w:rsidRPr="00912E5D" w:rsidRDefault="00065632" w:rsidP="00912E5D">
      <w:pPr>
        <w:rPr>
          <w:highlight w:val="yellow"/>
        </w:rPr>
      </w:pPr>
    </w:p>
    <w:p w:rsidR="00065632" w:rsidRPr="00912E5D" w:rsidRDefault="00065632" w:rsidP="00912E5D">
      <w:pPr>
        <w:rPr>
          <w:highlight w:val="yellow"/>
        </w:rPr>
      </w:pPr>
      <w:r w:rsidRPr="00912E5D">
        <w:rPr>
          <w:highlight w:val="yellow"/>
        </w:rPr>
        <w:t>Trouble-free – we obtain funds relatively rapidly and easily, negotiations are usually effective and successful</w:t>
      </w:r>
    </w:p>
    <w:p w:rsidR="00065632" w:rsidRPr="00912E5D" w:rsidRDefault="00065632" w:rsidP="00912E5D">
      <w:pPr>
        <w:rPr>
          <w:highlight w:val="yellow"/>
        </w:rPr>
      </w:pPr>
      <w:r w:rsidRPr="00912E5D">
        <w:rPr>
          <w:highlight w:val="yellow"/>
        </w:rPr>
        <w:t>Availability is only good – there are financial resources here but they are difficult to obtain</w:t>
      </w:r>
    </w:p>
    <w:p w:rsidR="00065632" w:rsidRPr="00912E5D" w:rsidRDefault="00065632" w:rsidP="00912E5D">
      <w:pPr>
        <w:rPr>
          <w:highlight w:val="yellow"/>
        </w:rPr>
      </w:pPr>
      <w:r w:rsidRPr="00912E5D">
        <w:rPr>
          <w:highlight w:val="yellow"/>
        </w:rPr>
        <w:t>With minor problems - there is enough information and a financing entity may be found after several rounds of negotiations</w:t>
      </w:r>
    </w:p>
    <w:p w:rsidR="00065632" w:rsidRPr="00912E5D" w:rsidRDefault="00065632" w:rsidP="00912E5D">
      <w:pPr>
        <w:rPr>
          <w:highlight w:val="yellow"/>
        </w:rPr>
      </w:pPr>
      <w:r w:rsidRPr="00912E5D">
        <w:rPr>
          <w:highlight w:val="yellow"/>
        </w:rPr>
        <w:t>Availability is bad – there is an information barrier, banks have high demands on surety, etc.</w:t>
      </w:r>
    </w:p>
    <w:p w:rsidR="00065632" w:rsidRPr="0057251F" w:rsidRDefault="00065632" w:rsidP="00912E5D">
      <w:r w:rsidRPr="00912E5D">
        <w:rPr>
          <w:highlight w:val="yellow"/>
        </w:rPr>
        <w:t>Other</w:t>
      </w:r>
      <w:r w:rsidRPr="0057251F">
        <w:t xml:space="preserve"> </w:t>
      </w:r>
    </w:p>
    <w:p w:rsidR="00065632" w:rsidRPr="00912E5D" w:rsidRDefault="00065632" w:rsidP="00912E5D"/>
    <w:p w:rsidR="00065632" w:rsidRDefault="00065632" w:rsidP="00D36F9D">
      <w:r>
        <w:t>The answers show that approximately a half of the respondents consider the availability of external financing problematic. An analysis of answers to other questions shows that in many cases this is a problem of market failure or sub-optimal investment situation.</w:t>
      </w:r>
    </w:p>
    <w:p w:rsidR="00065632" w:rsidRDefault="00065632" w:rsidP="00D36F9D">
      <w:r>
        <w:t xml:space="preserve">The analysis conducted shows that the projects show the potential of a return on the basis of the generated energy savings; however, the payback period is typically beyond the limit of parameters acceptable for classical private funding. </w:t>
      </w:r>
    </w:p>
    <w:p w:rsidR="00065632" w:rsidRDefault="00065632" w:rsidP="00D36F9D">
      <w:r>
        <w:t xml:space="preserve">It also follows from the interviews conducted and the analysis of conducted investigations that although very advantageous loan options are available to the less extensive projects of revitalisation of the housing stock, there is only limited demand for this type of products and the volume of investments without state intervention is very small. </w:t>
      </w:r>
      <w:r>
        <w:rPr>
          <w:b/>
          <w:bCs/>
        </w:rPr>
        <w:t xml:space="preserve">As regards questions on the investment history, the questionnaire survey noted that the average payback period of monitored projects is 12.2 years and the average interest rate of external financing is 3.89% p.a. Furthermore, a total of 11% of respondents also stated that they were unable to meet the requirements for guarantee against the required loan financing. </w:t>
      </w:r>
    </w:p>
    <w:p w:rsidR="00065632" w:rsidRDefault="00065632" w:rsidP="00D36F9D">
      <w:r>
        <w:t>The main factors of market failure can particularly include the following:</w:t>
      </w:r>
    </w:p>
    <w:p w:rsidR="00065632" w:rsidRDefault="00065632" w:rsidP="00065632">
      <w:pPr>
        <w:pStyle w:val="Odstavecseseznamem"/>
        <w:numPr>
          <w:ilvl w:val="0"/>
          <w:numId w:val="42"/>
        </w:numPr>
      </w:pPr>
      <w:r>
        <w:t>"</w:t>
      </w:r>
      <w:r>
        <w:rPr>
          <w:i/>
          <w:iCs/>
        </w:rPr>
        <w:t>Split incentives</w:t>
      </w:r>
      <w:r>
        <w:t>" issue – the interest in project implementation can considerable differ in case of owner (who should provide for investment co-funding) and between the tenant (who is the beneficiary of the positive effects of implementation, lowering the costs of building/apartment operation);</w:t>
      </w:r>
    </w:p>
    <w:p w:rsidR="00065632" w:rsidRPr="007B6239" w:rsidRDefault="00065632" w:rsidP="00065632">
      <w:pPr>
        <w:pStyle w:val="Odstavecseseznamem"/>
        <w:numPr>
          <w:ilvl w:val="0"/>
          <w:numId w:val="42"/>
        </w:numPr>
      </w:pPr>
      <w:r>
        <w:lastRenderedPageBreak/>
        <w:t>Issue of a higher number of entities with decision-making right – reaching agreement within associations of apartment owners, where 100% agreement is often required;</w:t>
      </w:r>
    </w:p>
    <w:p w:rsidR="00065632" w:rsidRDefault="00065632" w:rsidP="00065632">
      <w:pPr>
        <w:pStyle w:val="Odstavecseseznamem"/>
        <w:numPr>
          <w:ilvl w:val="0"/>
          <w:numId w:val="42"/>
        </w:numPr>
      </w:pPr>
      <w:r>
        <w:t xml:space="preserve">Insufficient information about the potential economic effect of measures implementation – the owners or tenants have information about the actual energy consumption but in the case of proposal for project implementation they often do not obtain all the relevant information about the potential of economic savings in case of investment implementation, </w:t>
      </w:r>
    </w:p>
    <w:p w:rsidR="00065632" w:rsidRDefault="00065632" w:rsidP="00065632">
      <w:pPr>
        <w:pStyle w:val="Odstavecseseznamem"/>
        <w:numPr>
          <w:ilvl w:val="0"/>
          <w:numId w:val="42"/>
        </w:numPr>
      </w:pPr>
      <w:r>
        <w:t xml:space="preserve">Uncertainty associated with development of energy prices – however precisely the potential amount of savings can be presented to </w:t>
      </w:r>
      <w:proofErr w:type="gramStart"/>
      <w:r>
        <w:t>investors,</w:t>
      </w:r>
      <w:proofErr w:type="gramEnd"/>
      <w:r>
        <w:t xml:space="preserve"> it is very closely connected with the energy prices. Where investors are afraid of unpredictable fluctuations in energy prices, disallowing a clear picture of the potential benefits of investment implementation (and its payback), an investment is typically postponed;</w:t>
      </w:r>
    </w:p>
    <w:p w:rsidR="00065632" w:rsidRDefault="00065632" w:rsidP="00065632">
      <w:pPr>
        <w:pStyle w:val="Odstavecseseznamem"/>
        <w:numPr>
          <w:ilvl w:val="0"/>
          <w:numId w:val="42"/>
        </w:numPr>
      </w:pPr>
      <w:r>
        <w:t>Time preferences – the owners or tenants do not prioritise implementation of investment-intensive projects which generate positive economic results only in long term (the actual impact on the expenses of a household/owner will only be obvious upon repayment of the investment);</w:t>
      </w:r>
    </w:p>
    <w:p w:rsidR="00065632" w:rsidRDefault="00065632" w:rsidP="00065632">
      <w:pPr>
        <w:pStyle w:val="Odstavecseseznamem"/>
        <w:numPr>
          <w:ilvl w:val="0"/>
          <w:numId w:val="42"/>
        </w:numPr>
      </w:pPr>
      <w:r>
        <w:t>Issue of high transaction costs, mainly in the pre-investment stage – securing a project with state aid (and also without) is associated with high costs of preparation of technical documentation and securing building permit and related materials, which is a significant demotivating factor for a number of potential investors.</w:t>
      </w:r>
    </w:p>
    <w:p w:rsidR="00065632" w:rsidRDefault="00065632" w:rsidP="00D36F9D">
      <w:r>
        <w:t>The aforementioned conclusions are also confirmed by respondents' answers in the questionnaire survey.</w:t>
      </w:r>
    </w:p>
    <w:p w:rsidR="00065632" w:rsidRDefault="00560258" w:rsidP="00D36F9D">
      <w:pPr>
        <w:jc w:val="center"/>
      </w:pPr>
      <w:r>
        <w:rPr>
          <w:noProof/>
          <w:lang w:val="cs-CZ" w:eastAsia="cs-CZ"/>
        </w:rPr>
        <w:drawing>
          <wp:inline distT="0" distB="0" distL="0" distR="0">
            <wp:extent cx="5724525" cy="3000375"/>
            <wp:effectExtent l="0" t="0" r="9525" b="9525"/>
            <wp:docPr id="11" name="Obráze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24525" cy="3000375"/>
                    </a:xfrm>
                    <a:prstGeom prst="rect">
                      <a:avLst/>
                    </a:prstGeom>
                    <a:noFill/>
                    <a:ln>
                      <a:noFill/>
                    </a:ln>
                  </pic:spPr>
                </pic:pic>
              </a:graphicData>
            </a:graphic>
          </wp:inline>
        </w:drawing>
      </w:r>
    </w:p>
    <w:p w:rsidR="00065632" w:rsidRDefault="00065632" w:rsidP="00D36F9D">
      <w:pPr>
        <w:pStyle w:val="Titulek"/>
      </w:pPr>
      <w:bookmarkStart w:id="90" w:name="_Toc417655518"/>
      <w:bookmarkStart w:id="91" w:name="_Toc426033929"/>
      <w:r>
        <w:t xml:space="preserve">Figure </w:t>
      </w:r>
      <w:r>
        <w:fldChar w:fldCharType="begin"/>
      </w:r>
      <w:r>
        <w:instrText xml:space="preserve"> SEQ Obrázek \* ARABIC </w:instrText>
      </w:r>
      <w:r>
        <w:fldChar w:fldCharType="separate"/>
      </w:r>
      <w:r>
        <w:rPr>
          <w:noProof/>
        </w:rPr>
        <w:t>4</w:t>
      </w:r>
      <w:r>
        <w:fldChar w:fldCharType="end"/>
      </w:r>
      <w:r>
        <w:t>: Questionnaire survey results – description of problems securing external financing for investments</w:t>
      </w:r>
      <w:bookmarkEnd w:id="90"/>
      <w:bookmarkEnd w:id="91"/>
    </w:p>
    <w:p w:rsidR="00065632" w:rsidRDefault="00065632" w:rsidP="00912E5D"/>
    <w:p w:rsidR="00065632" w:rsidRPr="00912E5D" w:rsidRDefault="00065632" w:rsidP="00912E5D">
      <w:pPr>
        <w:rPr>
          <w:highlight w:val="yellow"/>
        </w:rPr>
      </w:pPr>
      <w:r w:rsidRPr="00912E5D">
        <w:rPr>
          <w:highlight w:val="yellow"/>
        </w:rPr>
        <w:t>If you evaluated the potential of securing external financing as problematic, please specify the most common reasons</w:t>
      </w:r>
    </w:p>
    <w:p w:rsidR="00065632" w:rsidRPr="00912E5D" w:rsidRDefault="00065632" w:rsidP="00912E5D">
      <w:pPr>
        <w:rPr>
          <w:highlight w:val="yellow"/>
        </w:rPr>
      </w:pPr>
    </w:p>
    <w:p w:rsidR="00065632" w:rsidRPr="00912E5D" w:rsidRDefault="00065632" w:rsidP="00912E5D">
      <w:pPr>
        <w:rPr>
          <w:highlight w:val="yellow"/>
        </w:rPr>
      </w:pPr>
      <w:r w:rsidRPr="00912E5D">
        <w:rPr>
          <w:highlight w:val="yellow"/>
        </w:rPr>
        <w:t>Analysis paralysis – need for agreement of all or most apartment owners</w:t>
      </w:r>
    </w:p>
    <w:p w:rsidR="00065632" w:rsidRPr="00912E5D" w:rsidRDefault="00065632" w:rsidP="00912E5D">
      <w:pPr>
        <w:rPr>
          <w:highlight w:val="yellow"/>
        </w:rPr>
      </w:pPr>
      <w:r w:rsidRPr="00912E5D">
        <w:rPr>
          <w:highlight w:val="yellow"/>
        </w:rPr>
        <w:t>High cost of external finance (interest and other)</w:t>
      </w:r>
    </w:p>
    <w:p w:rsidR="00065632" w:rsidRPr="00912E5D" w:rsidRDefault="00065632" w:rsidP="00912E5D">
      <w:pPr>
        <w:rPr>
          <w:highlight w:val="yellow"/>
        </w:rPr>
      </w:pPr>
      <w:r w:rsidRPr="00912E5D">
        <w:rPr>
          <w:highlight w:val="yellow"/>
        </w:rPr>
        <w:t>Long term of return on the project</w:t>
      </w:r>
    </w:p>
    <w:p w:rsidR="00065632" w:rsidRPr="00912E5D" w:rsidRDefault="00065632" w:rsidP="00912E5D">
      <w:pPr>
        <w:rPr>
          <w:highlight w:val="yellow"/>
        </w:rPr>
      </w:pPr>
      <w:r w:rsidRPr="00912E5D">
        <w:rPr>
          <w:highlight w:val="yellow"/>
        </w:rPr>
        <w:t>Low and uncertain profit potential of the project</w:t>
      </w:r>
    </w:p>
    <w:p w:rsidR="00065632" w:rsidRPr="00912E5D" w:rsidRDefault="00065632" w:rsidP="00912E5D">
      <w:pPr>
        <w:rPr>
          <w:highlight w:val="yellow"/>
        </w:rPr>
      </w:pPr>
      <w:r w:rsidRPr="00912E5D">
        <w:rPr>
          <w:highlight w:val="yellow"/>
        </w:rPr>
        <w:t>Untrustworthiness of the applicant in the provider’s eyes – capacity of guarantee</w:t>
      </w:r>
    </w:p>
    <w:p w:rsidR="00065632" w:rsidRPr="00912E5D" w:rsidRDefault="00065632" w:rsidP="00912E5D">
      <w:pPr>
        <w:rPr>
          <w:highlight w:val="yellow"/>
        </w:rPr>
      </w:pPr>
      <w:r w:rsidRPr="00912E5D">
        <w:rPr>
          <w:highlight w:val="yellow"/>
        </w:rPr>
        <w:lastRenderedPageBreak/>
        <w:t>Information barrier in looking for financing</w:t>
      </w:r>
    </w:p>
    <w:p w:rsidR="00065632" w:rsidRPr="0057251F" w:rsidRDefault="00065632" w:rsidP="00912E5D">
      <w:r w:rsidRPr="00912E5D">
        <w:rPr>
          <w:highlight w:val="yellow"/>
        </w:rPr>
        <w:t>Other</w:t>
      </w:r>
      <w:r w:rsidRPr="0057251F">
        <w:t xml:space="preserve"> </w:t>
      </w:r>
    </w:p>
    <w:p w:rsidR="00065632" w:rsidRPr="00912E5D" w:rsidRDefault="00065632" w:rsidP="00912E5D"/>
    <w:p w:rsidR="00065632" w:rsidRDefault="00065632" w:rsidP="00D36F9D">
      <w:r>
        <w:rPr>
          <w:b/>
          <w:bCs/>
        </w:rPr>
        <w:t xml:space="preserve">Based on the analyses conducted, it may be confirmed that there is a significant absorption capacity potential in the amount of tens of billions CZK, which can be, at the same time, regarded as the volume of market failure or sub-optimal investment situation. </w:t>
      </w:r>
      <w:r>
        <w:t>These investments can remain in the not-made state where an appropriate form of state aid is not put into place – either activating the banking sector or activating the owners of buildings to a higher investment activity.</w:t>
      </w:r>
    </w:p>
    <w:p w:rsidR="00065632" w:rsidRDefault="00065632" w:rsidP="00D36F9D">
      <w:pPr>
        <w:rPr>
          <w:b/>
          <w:bCs/>
          <w:color w:val="00A1DE"/>
          <w:sz w:val="24"/>
          <w:szCs w:val="24"/>
        </w:rPr>
      </w:pPr>
    </w:p>
    <w:p w:rsidR="00065632" w:rsidRPr="006D3C6B" w:rsidRDefault="00065632" w:rsidP="000979B7">
      <w:pPr>
        <w:pStyle w:val="Nadpis4"/>
      </w:pPr>
      <w:r>
        <w:t>Analysis of the trend of the monitored segment</w:t>
      </w:r>
    </w:p>
    <w:p w:rsidR="00065632" w:rsidRDefault="00065632" w:rsidP="00D36F9D">
      <w:r>
        <w:t>At this point, it is necessary to evaluate the expected future trend of the analysed segment of energy savings in residential buildings with emphasis on the expected development in the construction industry, in the financial sector and general trends regarding the demand by final beneficiaries.</w:t>
      </w:r>
    </w:p>
    <w:p w:rsidR="00065632" w:rsidRDefault="00065632" w:rsidP="00D36F9D">
      <w:pPr>
        <w:rPr>
          <w:color w:val="222222"/>
          <w:sz w:val="21"/>
          <w:szCs w:val="21"/>
        </w:rPr>
      </w:pPr>
      <w:r>
        <w:t xml:space="preserve">As regards the expected development in the Czech construction industry, we may expect a general trend of growth in the volume of construction activities, which were greatly dampened over the past five years, which is illustrated by the below diagram. We can expect growth in new construction as well as more construction activities in the form of revitalisation and reconstruction with emphasis on residential buildings. This trend is confirmed by the CSO's statistical data, meetings with the professional public (conclusions of meetings with representatives of the </w:t>
      </w:r>
      <w:proofErr w:type="spellStart"/>
      <w:r>
        <w:t>Šance</w:t>
      </w:r>
      <w:proofErr w:type="spellEnd"/>
      <w:r>
        <w:t xml:space="preserve"> pro </w:t>
      </w:r>
      <w:proofErr w:type="spellStart"/>
      <w:r>
        <w:t>budovy</w:t>
      </w:r>
      <w:proofErr w:type="spellEnd"/>
      <w:r>
        <w:t xml:space="preserve">, </w:t>
      </w:r>
      <w:proofErr w:type="spellStart"/>
      <w:r>
        <w:t>o.p.s</w:t>
      </w:r>
      <w:proofErr w:type="spellEnd"/>
      <w:r>
        <w:t xml:space="preserve">., association, </w:t>
      </w:r>
      <w:r>
        <w:rPr>
          <w:color w:val="222222"/>
          <w:sz w:val="21"/>
          <w:szCs w:val="21"/>
        </w:rPr>
        <w:t>Efficient Energy Use Centre, State Fund for Housing Development, management of the Union of Czech and Moravian Housing Co-operatives and others) as well as by professional publications (e.g. analytic materials by the Office of the Government of the CR – Impacts of Increased Energy Efficiency on the Czech Economy, the previously mentioned National Energy Efficiency Action Plan of the Czech Republic) and, finally, Contractor's own analyses. In the investment horizon of the programming period (i.e. 2015–2023), we can expect adequate preparedness and capacity and available capacities of the Czech construction industry to satisfy the increased demand for implementation of projects of residential buildings revitalisation, accelerated by the launch of the IROP aid.</w:t>
      </w:r>
    </w:p>
    <w:p w:rsidR="00065632" w:rsidRDefault="00560258" w:rsidP="00D36F9D">
      <w:r>
        <w:rPr>
          <w:noProof/>
          <w:lang w:val="cs-CZ" w:eastAsia="cs-CZ"/>
        </w:rPr>
        <w:drawing>
          <wp:inline distT="0" distB="0" distL="0" distR="0">
            <wp:extent cx="5695950" cy="3514725"/>
            <wp:effectExtent l="19050" t="19050" r="19050" b="28575"/>
            <wp:docPr id="12"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695950" cy="3514725"/>
                    </a:xfrm>
                    <a:prstGeom prst="rect">
                      <a:avLst/>
                    </a:prstGeom>
                    <a:noFill/>
                    <a:ln w="9525" cmpd="sng">
                      <a:solidFill>
                        <a:srgbClr val="92D400"/>
                      </a:solidFill>
                      <a:miter lim="800000"/>
                      <a:headEnd/>
                      <a:tailEnd/>
                    </a:ln>
                    <a:effectLst/>
                  </pic:spPr>
                </pic:pic>
              </a:graphicData>
            </a:graphic>
          </wp:inline>
        </w:drawing>
      </w:r>
    </w:p>
    <w:p w:rsidR="00065632" w:rsidRDefault="00065632" w:rsidP="00D36F9D">
      <w:pPr>
        <w:pStyle w:val="Titulek"/>
      </w:pPr>
      <w:bookmarkStart w:id="92" w:name="_Toc417655519"/>
      <w:bookmarkStart w:id="93" w:name="_Toc426033930"/>
      <w:r>
        <w:t xml:space="preserve">Figure </w:t>
      </w:r>
      <w:r>
        <w:fldChar w:fldCharType="begin"/>
      </w:r>
      <w:r>
        <w:instrText xml:space="preserve"> SEQ Obrázek \* ARABIC </w:instrText>
      </w:r>
      <w:r>
        <w:fldChar w:fldCharType="separate"/>
      </w:r>
      <w:r>
        <w:rPr>
          <w:noProof/>
        </w:rPr>
        <w:t>5</w:t>
      </w:r>
      <w:r>
        <w:fldChar w:fldCharType="end"/>
      </w:r>
      <w:r>
        <w:t>: Construction production index based on CSO's data</w:t>
      </w:r>
      <w:bookmarkEnd w:id="92"/>
      <w:bookmarkEnd w:id="93"/>
    </w:p>
    <w:p w:rsidR="00065632" w:rsidRDefault="00065632" w:rsidP="00D36F9D">
      <w:r>
        <w:lastRenderedPageBreak/>
        <w:t xml:space="preserve">As regards the development in the financial sector, a general trend from 2009 to 2014 is a rather high degree of </w:t>
      </w:r>
      <w:proofErr w:type="spellStart"/>
      <w:r>
        <w:t>reservedness</w:t>
      </w:r>
      <w:proofErr w:type="spellEnd"/>
      <w:r>
        <w:t xml:space="preserve"> of Czech banking houses in providing new loans, including mortgage loans important for this analysis, i.e. a conservative strategy in terms of setting the rating of loan applicants and their projects, requirements for guarantee, and requirements for a shorter maturity. The CSO's and the CNB's statistical data indicate that the volumes of total housing loans provided to Czech citizens (residents) have been growing; however, not at a pace as in the boom years. The pace of mortgage loans provided to citizens has gradually dropped from two-digit annual increases, which ended in 2010 (+10.5%) to more or less stable 5% over the past four years—see the chart. </w:t>
      </w:r>
    </w:p>
    <w:p w:rsidR="00065632" w:rsidRDefault="00065632" w:rsidP="00D36F9D">
      <w:r>
        <w:t xml:space="preserve">This is a long-term trend, regardless of the ever-decreasing price of money, i.e. the interest </w:t>
      </w:r>
      <w:proofErr w:type="gramStart"/>
      <w:r>
        <w:t>rate of mortgage loans—see</w:t>
      </w:r>
      <w:proofErr w:type="gramEnd"/>
      <w:r>
        <w:t xml:space="preserve"> the chart below. As confirmed by the questionnaire survey, the issue of low investment activity is due to several reasons, one of them being the waiting of prepared projects for the launch of state aid under the new programming period of ESI Funds drawing.</w:t>
      </w:r>
    </w:p>
    <w:p w:rsidR="00065632" w:rsidRPr="006D3C6B" w:rsidRDefault="00065632" w:rsidP="00D36F9D">
      <w:pPr>
        <w:rPr>
          <w:b/>
          <w:bCs/>
          <w:color w:val="222222"/>
          <w:sz w:val="21"/>
          <w:szCs w:val="21"/>
        </w:rPr>
      </w:pPr>
      <w:r>
        <w:rPr>
          <w:color w:val="222222"/>
          <w:sz w:val="21"/>
          <w:szCs w:val="21"/>
        </w:rPr>
        <w:t>In the investment horizon of the programming period (i.e. 2015–2023), we can expect adequate preparedness and capacity and available capacities of the banking sector to satisfy the increased demand for financing of projects of residential buildings revitalisation, accelerated by the launch of the IROP aid. The banking sector is generally ready to finance the monitored projects in case the projects are able to meet the conditions of guarantee, or in case their creditworthiness is enhanced by granting of aid from public resources, which will reduce the total amount of resources requested from the bank as a co-financing entity (risk distribution). As regards estimates of the development of the mortgage loans interest rate, stagnation can be expected with regard to the recently launched European programme of quantitative easing and the concurrent low level of rates.</w:t>
      </w:r>
      <w:r>
        <w:rPr>
          <w:rStyle w:val="Znakapoznpodarou"/>
          <w:b/>
          <w:bCs/>
          <w:color w:val="222222"/>
        </w:rPr>
        <w:footnoteReference w:id="7"/>
      </w:r>
      <w:r>
        <w:rPr>
          <w:color w:val="222222"/>
          <w:sz w:val="21"/>
          <w:szCs w:val="21"/>
        </w:rPr>
        <w:t xml:space="preserve"> </w:t>
      </w:r>
    </w:p>
    <w:p w:rsidR="00065632" w:rsidRDefault="00560258" w:rsidP="00D36F9D">
      <w:r>
        <w:rPr>
          <w:noProof/>
          <w:lang w:val="cs-CZ" w:eastAsia="cs-CZ"/>
        </w:rPr>
        <w:drawing>
          <wp:anchor distT="0" distB="0" distL="114300" distR="114300" simplePos="0" relativeHeight="251659776" behindDoc="0" locked="0" layoutInCell="1" allowOverlap="1">
            <wp:simplePos x="0" y="0"/>
            <wp:positionH relativeFrom="column">
              <wp:posOffset>-3810</wp:posOffset>
            </wp:positionH>
            <wp:positionV relativeFrom="paragraph">
              <wp:posOffset>3175</wp:posOffset>
            </wp:positionV>
            <wp:extent cx="2794635" cy="2607945"/>
            <wp:effectExtent l="0" t="0" r="5715" b="1905"/>
            <wp:wrapSquare wrapText="bothSides"/>
            <wp:docPr id="29"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794635" cy="2607945"/>
                    </a:xfrm>
                    <a:prstGeom prst="rect">
                      <a:avLst/>
                    </a:prstGeom>
                    <a:noFill/>
                  </pic:spPr>
                </pic:pic>
              </a:graphicData>
            </a:graphic>
            <wp14:sizeRelH relativeFrom="page">
              <wp14:pctWidth>0</wp14:pctWidth>
            </wp14:sizeRelH>
            <wp14:sizeRelV relativeFrom="page">
              <wp14:pctHeight>0</wp14:pctHeight>
            </wp14:sizeRelV>
          </wp:anchor>
        </w:drawing>
      </w:r>
      <w:r>
        <w:rPr>
          <w:noProof/>
          <w:lang w:val="cs-CZ" w:eastAsia="cs-CZ"/>
        </w:rPr>
        <w:drawing>
          <wp:inline distT="0" distB="0" distL="0" distR="0">
            <wp:extent cx="2686050" cy="2524125"/>
            <wp:effectExtent l="0" t="0" r="0" b="9525"/>
            <wp:docPr id="1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86050" cy="2524125"/>
                    </a:xfrm>
                    <a:prstGeom prst="rect">
                      <a:avLst/>
                    </a:prstGeom>
                    <a:noFill/>
                    <a:ln>
                      <a:noFill/>
                    </a:ln>
                  </pic:spPr>
                </pic:pic>
              </a:graphicData>
            </a:graphic>
          </wp:inline>
        </w:drawing>
      </w:r>
    </w:p>
    <w:p w:rsidR="00065632" w:rsidRDefault="00065632" w:rsidP="00D36F9D">
      <w:pPr>
        <w:pStyle w:val="Titulek"/>
      </w:pPr>
      <w:bookmarkStart w:id="94" w:name="_Toc417655520"/>
      <w:bookmarkStart w:id="95" w:name="_Toc426033931"/>
      <w:r>
        <w:t xml:space="preserve">Figure </w:t>
      </w:r>
      <w:r>
        <w:fldChar w:fldCharType="begin"/>
      </w:r>
      <w:r>
        <w:instrText xml:space="preserve"> SEQ Obrázek \* ARABIC </w:instrText>
      </w:r>
      <w:r>
        <w:fldChar w:fldCharType="separate"/>
      </w:r>
      <w:r>
        <w:rPr>
          <w:noProof/>
        </w:rPr>
        <w:t>6</w:t>
      </w:r>
      <w:r>
        <w:fldChar w:fldCharType="end"/>
      </w:r>
      <w:r>
        <w:t>: Annual change in housing loans, development of mortgage loans interest rates (taken from the CSO's statistical publication)</w:t>
      </w:r>
      <w:bookmarkEnd w:id="94"/>
      <w:bookmarkEnd w:id="95"/>
    </w:p>
    <w:p w:rsidR="00065632" w:rsidRDefault="00065632" w:rsidP="00D36F9D">
      <w:r>
        <w:t xml:space="preserve">According to the above analyses, we can expect readiness of the construction and financial sectors for an increased number of projects in the monitored area. Part of these investments is conditional upon existence of a suitably set form of state aid and part will be implemented regardless of this trend, particularly in relation to the need to address unsatisfactory technical condition of a building (see the charts below). </w:t>
      </w:r>
    </w:p>
    <w:p w:rsidR="00065632" w:rsidRDefault="00065632" w:rsidP="00D36F9D">
      <w:r>
        <w:rPr>
          <w:b/>
          <w:bCs/>
        </w:rPr>
        <w:t>In any case, the Contractor concludes, based on the data collected, that we may expect a growth in investment in residential buildings, i.e. activation of demand for drawing of funds to be offered by the IROP through involvement of financial instruments.</w:t>
      </w:r>
    </w:p>
    <w:p w:rsidR="00065632" w:rsidRDefault="00560258" w:rsidP="00D36F9D">
      <w:pPr>
        <w:jc w:val="center"/>
      </w:pPr>
      <w:r>
        <w:rPr>
          <w:noProof/>
          <w:lang w:val="cs-CZ" w:eastAsia="cs-CZ"/>
        </w:rPr>
        <w:lastRenderedPageBreak/>
        <w:drawing>
          <wp:inline distT="0" distB="0" distL="0" distR="0">
            <wp:extent cx="5124450" cy="2657475"/>
            <wp:effectExtent l="0" t="0" r="0" b="9525"/>
            <wp:docPr id="14" name="Obrázek 7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17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124450" cy="2657475"/>
                    </a:xfrm>
                    <a:prstGeom prst="rect">
                      <a:avLst/>
                    </a:prstGeom>
                    <a:noFill/>
                    <a:ln>
                      <a:noFill/>
                    </a:ln>
                  </pic:spPr>
                </pic:pic>
              </a:graphicData>
            </a:graphic>
          </wp:inline>
        </w:drawing>
      </w:r>
    </w:p>
    <w:p w:rsidR="00065632" w:rsidRDefault="00065632" w:rsidP="00D36F9D">
      <w:pPr>
        <w:pStyle w:val="Titulek"/>
      </w:pPr>
      <w:bookmarkStart w:id="96" w:name="_Toc417655521"/>
      <w:bookmarkStart w:id="97" w:name="_Toc426033932"/>
      <w:r>
        <w:t xml:space="preserve">Figure </w:t>
      </w:r>
      <w:r>
        <w:fldChar w:fldCharType="begin"/>
      </w:r>
      <w:r>
        <w:instrText xml:space="preserve"> SEQ Obrázek \* ARABIC </w:instrText>
      </w:r>
      <w:r>
        <w:fldChar w:fldCharType="separate"/>
      </w:r>
      <w:r>
        <w:rPr>
          <w:noProof/>
        </w:rPr>
        <w:t>7</w:t>
      </w:r>
      <w:r>
        <w:fldChar w:fldCharType="end"/>
      </w:r>
      <w:r>
        <w:t>: Questionnaire survey conclusions – reasons for investment preparation</w:t>
      </w:r>
      <w:bookmarkEnd w:id="96"/>
      <w:bookmarkEnd w:id="97"/>
    </w:p>
    <w:p w:rsidR="00065632" w:rsidRPr="00912E5D" w:rsidRDefault="00065632" w:rsidP="00912E5D">
      <w:pPr>
        <w:rPr>
          <w:highlight w:val="yellow"/>
        </w:rPr>
      </w:pPr>
      <w:r w:rsidRPr="00912E5D">
        <w:rPr>
          <w:highlight w:val="yellow"/>
        </w:rPr>
        <w:t>What is the main reason you are planning implementation of an investment project which should lead to reduced energy intensity of your building?</w:t>
      </w:r>
    </w:p>
    <w:p w:rsidR="00065632" w:rsidRPr="00912E5D" w:rsidRDefault="00065632" w:rsidP="00912E5D">
      <w:pPr>
        <w:rPr>
          <w:highlight w:val="yellow"/>
        </w:rPr>
      </w:pPr>
    </w:p>
    <w:p w:rsidR="00065632" w:rsidRPr="00912E5D" w:rsidRDefault="00065632" w:rsidP="00912E5D">
      <w:pPr>
        <w:rPr>
          <w:highlight w:val="yellow"/>
        </w:rPr>
      </w:pPr>
      <w:r w:rsidRPr="00912E5D">
        <w:rPr>
          <w:highlight w:val="yellow"/>
        </w:rPr>
        <w:t>Overall unsatisfactory condition of the building (related mainly to its age) which must be addresses</w:t>
      </w:r>
    </w:p>
    <w:p w:rsidR="00065632" w:rsidRPr="00912E5D" w:rsidRDefault="00065632" w:rsidP="00912E5D">
      <w:pPr>
        <w:rPr>
          <w:highlight w:val="yellow"/>
        </w:rPr>
      </w:pPr>
      <w:r w:rsidRPr="00912E5D">
        <w:rPr>
          <w:highlight w:val="yellow"/>
        </w:rPr>
        <w:t>Saving money by saving energy</w:t>
      </w:r>
    </w:p>
    <w:p w:rsidR="00065632" w:rsidRPr="0057251F" w:rsidRDefault="00065632" w:rsidP="00912E5D">
      <w:r w:rsidRPr="00912E5D">
        <w:rPr>
          <w:highlight w:val="yellow"/>
        </w:rPr>
        <w:t>Taking advantage of advantageous drawing of state aid</w:t>
      </w:r>
    </w:p>
    <w:p w:rsidR="00065632" w:rsidRPr="00912E5D" w:rsidRDefault="00065632" w:rsidP="00912E5D">
      <w:pPr>
        <w:rPr>
          <w:highlight w:val="yellow"/>
        </w:rPr>
      </w:pPr>
      <w:r w:rsidRPr="00912E5D">
        <w:rPr>
          <w:highlight w:val="yellow"/>
        </w:rPr>
        <w:t>Protection of the environment by saving energy</w:t>
      </w:r>
    </w:p>
    <w:p w:rsidR="00065632" w:rsidRPr="0057251F" w:rsidRDefault="00065632" w:rsidP="00912E5D">
      <w:r w:rsidRPr="00912E5D">
        <w:rPr>
          <w:highlight w:val="yellow"/>
        </w:rPr>
        <w:t>Other reasons</w:t>
      </w:r>
    </w:p>
    <w:p w:rsidR="00065632" w:rsidRPr="00912E5D" w:rsidRDefault="00065632" w:rsidP="00912E5D"/>
    <w:p w:rsidR="00065632" w:rsidRDefault="00560258" w:rsidP="00D36F9D">
      <w:pPr>
        <w:jc w:val="center"/>
      </w:pPr>
      <w:r>
        <w:rPr>
          <w:noProof/>
          <w:lang w:val="cs-CZ" w:eastAsia="cs-CZ"/>
        </w:rPr>
        <w:drawing>
          <wp:inline distT="0" distB="0" distL="0" distR="0">
            <wp:extent cx="5153025" cy="2952750"/>
            <wp:effectExtent l="0" t="0" r="9525" b="0"/>
            <wp:docPr id="15" name="Obrázek 7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17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153025" cy="2952750"/>
                    </a:xfrm>
                    <a:prstGeom prst="rect">
                      <a:avLst/>
                    </a:prstGeom>
                    <a:noFill/>
                    <a:ln>
                      <a:noFill/>
                    </a:ln>
                  </pic:spPr>
                </pic:pic>
              </a:graphicData>
            </a:graphic>
          </wp:inline>
        </w:drawing>
      </w:r>
    </w:p>
    <w:p w:rsidR="00065632" w:rsidRDefault="00065632" w:rsidP="00D36F9D">
      <w:pPr>
        <w:pStyle w:val="Titulek"/>
      </w:pPr>
      <w:bookmarkStart w:id="98" w:name="_Toc417655522"/>
      <w:bookmarkStart w:id="99" w:name="_Toc426033933"/>
      <w:r>
        <w:t xml:space="preserve">Figure </w:t>
      </w:r>
      <w:r>
        <w:fldChar w:fldCharType="begin"/>
      </w:r>
      <w:r>
        <w:instrText xml:space="preserve"> SEQ Obrázek \* ARABIC </w:instrText>
      </w:r>
      <w:r>
        <w:fldChar w:fldCharType="separate"/>
      </w:r>
      <w:r>
        <w:rPr>
          <w:noProof/>
        </w:rPr>
        <w:t>8</w:t>
      </w:r>
      <w:r>
        <w:fldChar w:fldCharType="end"/>
      </w:r>
      <w:r>
        <w:t>: Questionnaire survey conclusions – readiness to invest also without the existence of state aid</w:t>
      </w:r>
      <w:bookmarkEnd w:id="98"/>
      <w:bookmarkEnd w:id="99"/>
    </w:p>
    <w:p w:rsidR="00065632" w:rsidRDefault="00065632" w:rsidP="00912E5D"/>
    <w:p w:rsidR="00065632" w:rsidRPr="00912E5D" w:rsidRDefault="00065632" w:rsidP="00912E5D">
      <w:pPr>
        <w:rPr>
          <w:highlight w:val="yellow"/>
        </w:rPr>
      </w:pPr>
      <w:r w:rsidRPr="00912E5D">
        <w:rPr>
          <w:highlight w:val="yellow"/>
        </w:rPr>
        <w:t>Will you implement the investment project even without the existence of state aid (Integrated Regional Operational Programme, New Green Savings, PANEL, JESSICA)?</w:t>
      </w:r>
    </w:p>
    <w:p w:rsidR="00065632" w:rsidRPr="00912E5D" w:rsidRDefault="00065632" w:rsidP="00912E5D">
      <w:pPr>
        <w:rPr>
          <w:highlight w:val="yellow"/>
        </w:rPr>
      </w:pPr>
    </w:p>
    <w:p w:rsidR="00065632" w:rsidRPr="0057251F" w:rsidRDefault="00065632" w:rsidP="00912E5D">
      <w:r w:rsidRPr="00912E5D">
        <w:rPr>
          <w:highlight w:val="yellow"/>
        </w:rPr>
        <w:t>Definitely yes – Probably yes – Probably no – Definitely no</w:t>
      </w:r>
    </w:p>
    <w:p w:rsidR="00065632" w:rsidRPr="00912E5D" w:rsidRDefault="00065632" w:rsidP="00912E5D"/>
    <w:p w:rsidR="00065632" w:rsidRDefault="00065632" w:rsidP="00D36F9D">
      <w:r>
        <w:t xml:space="preserve">Figure No. 8 shows that up to 55% of planned investments will be implemented regardless of state aid existence—probably in close connection with the conclusions as seen in Figure No. 7, which points to the fact that up to 45% of all investments is prompted by a need to address unsatisfactory technical condition of a building. It is obvious, based on conclusions of interviews with experts and an analysis of available data, that forced projects tend to opt for minimalist low-budget variants of addressing unsatisfactory condition—issues are not resolved in a comprehensive manner, the solution is rather "patching" of critical issues. With regard to the objectives of the CR in relation to achieving higher energy efficiency, namely the CR's commitment to fulfil the binding target in the area of achieving savings on the final energy consumption by 2020, it is necessary to address the situation by setting up a suitable state aid scheme. </w:t>
      </w:r>
    </w:p>
    <w:p w:rsidR="00065632" w:rsidRDefault="00065632" w:rsidP="001B31DC">
      <w:r>
        <w:rPr>
          <w:b/>
          <w:bCs/>
        </w:rPr>
        <w:t>The below described proposal of involvement of a financial instrument will ensure implementation of projects that would otherwise had not been implemented, specifically comprehensive or partial renovations and staged solutions, however, in a volume significantly exceeding the pace when no state aid is present.</w:t>
      </w:r>
      <w:r>
        <w:br w:type="page"/>
      </w:r>
    </w:p>
    <w:p w:rsidR="00065632" w:rsidRDefault="00065632" w:rsidP="00DA4E52">
      <w:pPr>
        <w:pStyle w:val="Nadpis2"/>
      </w:pPr>
      <w:bookmarkStart w:id="100" w:name="_Toc400570383"/>
      <w:bookmarkStart w:id="101" w:name="_Toc401150112"/>
      <w:bookmarkStart w:id="102" w:name="_Toc409797486"/>
      <w:bookmarkStart w:id="103" w:name="_Toc418767144"/>
      <w:bookmarkStart w:id="104" w:name="_Toc426033654"/>
      <w:r>
        <w:lastRenderedPageBreak/>
        <w:t>Assessment of the value added of financial instruments and estimated additional public and private resources</w:t>
      </w:r>
      <w:bookmarkEnd w:id="100"/>
      <w:bookmarkEnd w:id="101"/>
      <w:bookmarkEnd w:id="102"/>
      <w:bookmarkEnd w:id="103"/>
      <w:bookmarkEnd w:id="104"/>
    </w:p>
    <w:p w:rsidR="00065632" w:rsidRDefault="00065632" w:rsidP="00DA4E52">
      <w:r>
        <w:t>With regard to the relation and interconnection of assessment of the value added and the leverage, these two areas were combined, in the ex-ante assessment, into a single unit and the conclusions are presented in a single place. The Contractor considers this approach more logical and easier to understand with regard to the form of the presentation of the resulting message. Following the completed analysis of market failures, the selected areas of intervention, proposed as suitable for the use of financial instruments in the new programming period, were subjected to the modelling of potential value added and the ability of boosting additional public and private resources (with the use of leverage).</w:t>
      </w:r>
    </w:p>
    <w:p w:rsidR="00065632" w:rsidRDefault="00065632" w:rsidP="00DA4E52">
      <w:r>
        <w:rPr>
          <w:b/>
          <w:bCs/>
        </w:rPr>
        <w:t>Leverage means</w:t>
      </w:r>
      <w:r>
        <w:t>, as defined in the methodological recommendation, a contribution of EU to a financial instrument aimed at activating the overall investment exceeding the EU contribution in line with the predefined indicators, also activation of off-budget resources.</w:t>
      </w:r>
    </w:p>
    <w:p w:rsidR="00065632" w:rsidRPr="00DF6467" w:rsidRDefault="00065632" w:rsidP="00DA4E52">
      <w:pPr>
        <w:rPr>
          <w:highlight w:val="yellow"/>
        </w:rPr>
      </w:pPr>
      <w:r>
        <w:rPr>
          <w:b/>
          <w:bCs/>
        </w:rPr>
        <w:t>Value added</w:t>
      </w:r>
      <w:r>
        <w:t xml:space="preserve"> represents the leverage for ESIF contribution, i.e. additional resources up to the level of a final beneficiary. The higher leverage, the higher value added. In particular, it includes additional resources during the first investment cycle. The aid intensity for the financial instrument and the revolving effect allowing for the "rotating" of funds are taken into account in calculating the value added. Any additional contributions received from the final beneficiaries are counted towards the calculation of the value added.</w:t>
      </w:r>
    </w:p>
    <w:p w:rsidR="00065632" w:rsidRPr="00965274" w:rsidRDefault="00065632" w:rsidP="00DA4E52">
      <w:r>
        <w:t xml:space="preserve">Below is modelling of quantitative contribution for a further analysed area of specific objective 2.5 of residential buildings energy savings. The model is based on a number of assumptions, which can be later changed upon further refinement of the proposal of instruments, proposal of the implementation structure, based on conclusions of negotiations with the financial sector, and clarification off its possibilities and interests to be involved in the new IROP structures. </w:t>
      </w:r>
      <w:r>
        <w:rPr>
          <w:b/>
          <w:bCs/>
        </w:rPr>
        <w:t xml:space="preserve">All the essential information regarding the parameters of the multiplication model </w:t>
      </w:r>
      <w:proofErr w:type="gramStart"/>
      <w:r>
        <w:rPr>
          <w:b/>
          <w:bCs/>
        </w:rPr>
        <w:t>are</w:t>
      </w:r>
      <w:proofErr w:type="gramEnd"/>
      <w:r>
        <w:rPr>
          <w:b/>
          <w:bCs/>
        </w:rPr>
        <w:t xml:space="preserve"> directly explained in Annex 2 hereto; in case of need to take into account modification of the input parameters or extension of the monitored output, these materials can be updated and reused.</w:t>
      </w:r>
    </w:p>
    <w:p w:rsidR="00065632" w:rsidRPr="00965274" w:rsidRDefault="00065632" w:rsidP="00DA4E52">
      <w:r>
        <w:t>In the case of a model set up by the Contractor, the financial instrument achieves the following results:</w:t>
      </w:r>
    </w:p>
    <w:p w:rsidR="00065632" w:rsidRDefault="00065632" w:rsidP="00065632">
      <w:pPr>
        <w:pStyle w:val="Odstavecseseznamem"/>
        <w:numPr>
          <w:ilvl w:val="0"/>
          <w:numId w:val="35"/>
        </w:numPr>
        <w:rPr>
          <w:b/>
          <w:bCs/>
        </w:rPr>
      </w:pPr>
      <w:r>
        <w:rPr>
          <w:b/>
          <w:bCs/>
        </w:rPr>
        <w:t>IROP allocation</w:t>
      </w:r>
      <w:r>
        <w:tab/>
      </w:r>
      <w:r>
        <w:tab/>
      </w:r>
      <w:r>
        <w:tab/>
      </w:r>
      <w:r>
        <w:tab/>
      </w:r>
      <w:r>
        <w:tab/>
      </w:r>
      <w:r>
        <w:tab/>
      </w:r>
      <w:r>
        <w:rPr>
          <w:b/>
          <w:bCs/>
        </w:rPr>
        <w:t>16,800</w:t>
      </w:r>
      <w:r>
        <w:tab/>
      </w:r>
      <w:r>
        <w:rPr>
          <w:b/>
          <w:bCs/>
        </w:rPr>
        <w:t>million CZK</w:t>
      </w:r>
    </w:p>
    <w:p w:rsidR="00065632" w:rsidRDefault="00065632" w:rsidP="00065632">
      <w:pPr>
        <w:pStyle w:val="Odstavecseseznamem"/>
        <w:numPr>
          <w:ilvl w:val="0"/>
          <w:numId w:val="35"/>
        </w:numPr>
        <w:rPr>
          <w:b/>
          <w:bCs/>
        </w:rPr>
      </w:pPr>
      <w:r>
        <w:rPr>
          <w:b/>
          <w:bCs/>
        </w:rPr>
        <w:t>Generated investments of cycle 1</w:t>
      </w:r>
      <w:r>
        <w:tab/>
      </w:r>
      <w:r>
        <w:tab/>
      </w:r>
      <w:r>
        <w:tab/>
      </w:r>
      <w:r>
        <w:rPr>
          <w:b/>
          <w:bCs/>
        </w:rPr>
        <w:t>30,800</w:t>
      </w:r>
      <w:r>
        <w:tab/>
      </w:r>
      <w:r>
        <w:rPr>
          <w:b/>
          <w:bCs/>
        </w:rPr>
        <w:t>million CZK</w:t>
      </w:r>
    </w:p>
    <w:p w:rsidR="00065632" w:rsidRDefault="00065632" w:rsidP="00065632">
      <w:pPr>
        <w:pStyle w:val="Odstavecseseznamem"/>
        <w:numPr>
          <w:ilvl w:val="0"/>
          <w:numId w:val="35"/>
        </w:numPr>
        <w:rPr>
          <w:b/>
          <w:bCs/>
        </w:rPr>
      </w:pPr>
      <w:r>
        <w:rPr>
          <w:b/>
          <w:bCs/>
        </w:rPr>
        <w:t>Total invested by 2023</w:t>
      </w:r>
      <w:r>
        <w:tab/>
      </w:r>
      <w:r>
        <w:tab/>
      </w:r>
      <w:r>
        <w:tab/>
      </w:r>
      <w:r>
        <w:rPr>
          <w:b/>
          <w:bCs/>
        </w:rPr>
        <w:t>38,107</w:t>
      </w:r>
      <w:r>
        <w:tab/>
      </w:r>
      <w:r>
        <w:rPr>
          <w:b/>
          <w:bCs/>
        </w:rPr>
        <w:t>million CZK</w:t>
      </w:r>
    </w:p>
    <w:p w:rsidR="00065632" w:rsidRPr="00965274" w:rsidRDefault="00065632" w:rsidP="00065632">
      <w:pPr>
        <w:pStyle w:val="Odstavecseseznamem"/>
        <w:numPr>
          <w:ilvl w:val="0"/>
          <w:numId w:val="35"/>
        </w:numPr>
        <w:spacing w:after="0"/>
        <w:jc w:val="left"/>
        <w:rPr>
          <w:b/>
          <w:bCs/>
        </w:rPr>
      </w:pPr>
      <w:r>
        <w:rPr>
          <w:b/>
          <w:bCs/>
        </w:rPr>
        <w:t>Total available for the revolving of IROP funds</w:t>
      </w:r>
      <w:r>
        <w:tab/>
      </w:r>
      <w:r>
        <w:rPr>
          <w:b/>
          <w:bCs/>
        </w:rPr>
        <w:t>16,005</w:t>
      </w:r>
      <w:r>
        <w:tab/>
      </w:r>
      <w:r>
        <w:rPr>
          <w:b/>
          <w:bCs/>
        </w:rPr>
        <w:t>million CZK</w:t>
      </w:r>
    </w:p>
    <w:p w:rsidR="00065632" w:rsidRDefault="00065632" w:rsidP="00065632">
      <w:pPr>
        <w:pStyle w:val="Odstavecseseznamem"/>
        <w:numPr>
          <w:ilvl w:val="0"/>
          <w:numId w:val="35"/>
        </w:numPr>
        <w:spacing w:after="0"/>
        <w:jc w:val="left"/>
        <w:rPr>
          <w:b/>
          <w:bCs/>
        </w:rPr>
      </w:pPr>
      <w:r>
        <w:rPr>
          <w:b/>
          <w:bCs/>
        </w:rPr>
        <w:t>Added value</w:t>
      </w:r>
      <w:r>
        <w:tab/>
      </w:r>
      <w:r>
        <w:tab/>
      </w:r>
      <w:r>
        <w:tab/>
      </w:r>
      <w:r>
        <w:tab/>
      </w:r>
      <w:r>
        <w:tab/>
      </w:r>
      <w:r>
        <w:rPr>
          <w:b/>
          <w:bCs/>
        </w:rPr>
        <w:t>2.27</w:t>
      </w:r>
      <w:r>
        <w:tab/>
      </w:r>
    </w:p>
    <w:p w:rsidR="00065632" w:rsidRDefault="00065632" w:rsidP="00065632">
      <w:pPr>
        <w:pStyle w:val="Odstavecseseznamem"/>
        <w:numPr>
          <w:ilvl w:val="0"/>
          <w:numId w:val="35"/>
        </w:numPr>
        <w:spacing w:after="0"/>
        <w:jc w:val="left"/>
        <w:rPr>
          <w:b/>
          <w:bCs/>
        </w:rPr>
      </w:pPr>
      <w:r>
        <w:rPr>
          <w:b/>
          <w:bCs/>
        </w:rPr>
        <w:t>leverage</w:t>
      </w:r>
      <w:r>
        <w:tab/>
      </w:r>
      <w:r>
        <w:tab/>
      </w:r>
      <w:r>
        <w:tab/>
      </w:r>
      <w:r>
        <w:tab/>
      </w:r>
      <w:r>
        <w:tab/>
      </w:r>
      <w:r>
        <w:tab/>
      </w:r>
      <w:r>
        <w:rPr>
          <w:b/>
          <w:bCs/>
        </w:rPr>
        <w:t>1.83</w:t>
      </w:r>
      <w:r>
        <w:tab/>
      </w:r>
    </w:p>
    <w:p w:rsidR="00065632" w:rsidRDefault="00065632" w:rsidP="00BF23ED">
      <w:pPr>
        <w:spacing w:after="0"/>
        <w:ind w:left="720"/>
        <w:jc w:val="left"/>
        <w:rPr>
          <w:b/>
          <w:bCs/>
        </w:rPr>
      </w:pPr>
    </w:p>
    <w:p w:rsidR="00065632" w:rsidRDefault="00065632" w:rsidP="00377FA3">
      <w:r>
        <w:rPr>
          <w:b/>
          <w:bCs/>
        </w:rPr>
        <w:t>The above potential financial results and the stated potential added value of involvement of a financial instrument are the result of evaluation of quantitative and qualitative aspects.</w:t>
      </w:r>
      <w:r>
        <w:t xml:space="preserve"> In the analytical and proposal parts, in order to qualitatively "cleanse" the data, the Contractor took into account, in accordance with recommendations in chapter 4.1.2 of the general methodology, mainly the following aspects:</w:t>
      </w:r>
    </w:p>
    <w:p w:rsidR="00065632" w:rsidRDefault="00065632" w:rsidP="00065632">
      <w:pPr>
        <w:pStyle w:val="Odstavecseseznamem"/>
        <w:numPr>
          <w:ilvl w:val="0"/>
          <w:numId w:val="59"/>
        </w:numPr>
        <w:spacing w:after="0"/>
        <w:jc w:val="left"/>
      </w:pPr>
      <w:r>
        <w:t>It was verified that there is general interest in the proposed product; see the questionnaire survey conclusions;</w:t>
      </w:r>
    </w:p>
    <w:p w:rsidR="00065632" w:rsidRDefault="00065632" w:rsidP="00065632">
      <w:pPr>
        <w:pStyle w:val="Odstavecseseznamem"/>
        <w:numPr>
          <w:ilvl w:val="0"/>
          <w:numId w:val="59"/>
        </w:numPr>
        <w:spacing w:after="0"/>
        <w:jc w:val="left"/>
      </w:pPr>
      <w:r>
        <w:t>As regards calculations of potential demand based on previous experience with subsidy drawing, the quantitative analysis conclusions were cleansed by a coefficient taking into account the Contractor's subjective opinion based on experience that not all the previous applicants want/could apply under IROP SO 2.5;</w:t>
      </w:r>
    </w:p>
    <w:p w:rsidR="00065632" w:rsidRDefault="00065632" w:rsidP="00065632">
      <w:pPr>
        <w:pStyle w:val="Odstavecseseznamem"/>
        <w:numPr>
          <w:ilvl w:val="0"/>
          <w:numId w:val="59"/>
        </w:numPr>
        <w:spacing w:after="0"/>
        <w:jc w:val="left"/>
      </w:pPr>
      <w:r>
        <w:t>As regards the calculation of potential demand based on the questionnaire survey results, the Contractor applied the range of a correction coefficient which aims to cover the shortcomings of the quantitative aspect of the survey;</w:t>
      </w:r>
    </w:p>
    <w:p w:rsidR="00065632" w:rsidRDefault="00065632" w:rsidP="00065632">
      <w:pPr>
        <w:pStyle w:val="Odstavecseseznamem"/>
        <w:numPr>
          <w:ilvl w:val="0"/>
          <w:numId w:val="59"/>
        </w:numPr>
        <w:spacing w:after="0"/>
        <w:jc w:val="left"/>
      </w:pPr>
      <w:r>
        <w:t>The actual proposal of the loan facility takes in account that projects are prepared at different times (not only in the first years when the allocation is usually exhausted); on the contrary, aid may be provided in long term due to the revolving effect (even beyond the horizon of the programming period);</w:t>
      </w:r>
    </w:p>
    <w:p w:rsidR="00065632" w:rsidRDefault="00065632" w:rsidP="00065632">
      <w:pPr>
        <w:pStyle w:val="Odstavecseseznamem"/>
        <w:numPr>
          <w:ilvl w:val="0"/>
          <w:numId w:val="59"/>
        </w:numPr>
        <w:spacing w:after="0"/>
        <w:jc w:val="left"/>
      </w:pPr>
      <w:r>
        <w:t xml:space="preserve">The draft implementation and investment strategy lists particular recommendations as regards suitable complementary "soft" steps so as to ensure activation of the demand (use of experienced and known SFHD, introduction of an information campaign in advance, consideration of shared </w:t>
      </w:r>
      <w:r>
        <w:lastRenderedPageBreak/>
        <w:t>structures with other MAs as a way to better transparency of types of offered aid, looking for synergies with national programmes);</w:t>
      </w:r>
    </w:p>
    <w:p w:rsidR="00065632" w:rsidRDefault="00065632" w:rsidP="00065632">
      <w:pPr>
        <w:pStyle w:val="Odstavecseseznamem"/>
        <w:numPr>
          <w:ilvl w:val="0"/>
          <w:numId w:val="59"/>
        </w:numPr>
        <w:spacing w:after="0"/>
        <w:jc w:val="left"/>
      </w:pPr>
      <w:r>
        <w:t>The Contractor lists, in the chapter on indicators, a set of qualitative criteria and recommends taking them into account in recalculating the target values based on the responsible party's experience;</w:t>
      </w:r>
    </w:p>
    <w:p w:rsidR="00065632" w:rsidRDefault="00065632" w:rsidP="00065632">
      <w:pPr>
        <w:pStyle w:val="Odstavecseseznamem"/>
        <w:numPr>
          <w:ilvl w:val="0"/>
          <w:numId w:val="59"/>
        </w:numPr>
        <w:spacing w:after="0"/>
        <w:jc w:val="left"/>
      </w:pPr>
      <w:r>
        <w:t>The facility proposal includes variants to ensure variability in case of unexpected problems in the next stage of the facility preparation, i.e. to provide the MA with more flexibility in decision making.</w:t>
      </w:r>
    </w:p>
    <w:p w:rsidR="00065632" w:rsidRDefault="00065632" w:rsidP="00BF23ED">
      <w:pPr>
        <w:spacing w:after="0"/>
        <w:jc w:val="left"/>
      </w:pPr>
    </w:p>
    <w:p w:rsidR="00065632" w:rsidRDefault="00065632" w:rsidP="00AE1942">
      <w:r>
        <w:t>In an effort to map the potential of interest of suitable co-financing entities to be involved in the proposed implementation structure of the financial instrument, the Contractor held discussions with representatives of the main Czech banking houses associated in the Czech Banking Association. The main findings can be summarized as follows:</w:t>
      </w:r>
    </w:p>
    <w:p w:rsidR="00065632" w:rsidRDefault="00065632" w:rsidP="00065632">
      <w:pPr>
        <w:pStyle w:val="Odstavecseseznamem"/>
        <w:numPr>
          <w:ilvl w:val="0"/>
          <w:numId w:val="54"/>
        </w:numPr>
        <w:spacing w:after="0"/>
      </w:pPr>
      <w:r>
        <w:t>It is crucial to set up the system in a transparent and stable manner; the conditions should not change in time.</w:t>
      </w:r>
    </w:p>
    <w:p w:rsidR="00065632" w:rsidRDefault="00065632" w:rsidP="00065632">
      <w:pPr>
        <w:pStyle w:val="Odstavecseseznamem"/>
        <w:numPr>
          <w:ilvl w:val="0"/>
          <w:numId w:val="54"/>
        </w:numPr>
        <w:spacing w:after="0"/>
      </w:pPr>
      <w:r>
        <w:t>The monitored area of residential buildings does not show a major market failure, projects are implemented even without public intervention = the loan financial instrument may accelerate the pace of the investment activity.</w:t>
      </w:r>
    </w:p>
    <w:p w:rsidR="00065632" w:rsidRDefault="00065632" w:rsidP="00065632">
      <w:pPr>
        <w:pStyle w:val="Odstavecseseznamem"/>
        <w:numPr>
          <w:ilvl w:val="0"/>
          <w:numId w:val="54"/>
        </w:numPr>
        <w:spacing w:after="0"/>
      </w:pPr>
      <w:r>
        <w:t>It is important to design the instrument to have at least a 1.0–1.5% p.a. difference in comparison with the commercial interest rate (the long term of fixation of this interest rate must be taken into account).</w:t>
      </w:r>
    </w:p>
    <w:p w:rsidR="00065632" w:rsidRDefault="00065632" w:rsidP="00065632">
      <w:pPr>
        <w:pStyle w:val="Odstavecseseznamem"/>
        <w:numPr>
          <w:ilvl w:val="0"/>
          <w:numId w:val="54"/>
        </w:numPr>
        <w:spacing w:after="0"/>
      </w:pPr>
      <w:r>
        <w:t xml:space="preserve">The proposal for framework cooperation with several banks is a suitable solution; the entire allocation can then be divided into all banks that are able to meet the defined criteria of cooperation. It is desirable to set the project evaluation rules so as to achieve comparability in determining the amount of state aid. </w:t>
      </w:r>
    </w:p>
    <w:p w:rsidR="00065632" w:rsidRDefault="00065632" w:rsidP="00065632">
      <w:pPr>
        <w:pStyle w:val="Odstavecseseznamem"/>
        <w:numPr>
          <w:ilvl w:val="0"/>
          <w:numId w:val="54"/>
        </w:numPr>
        <w:spacing w:after="0"/>
      </w:pPr>
      <w:r>
        <w:rPr>
          <w:b/>
          <w:bCs/>
        </w:rPr>
        <w:t>It is important to set releasing of funds in tranches</w:t>
      </w:r>
      <w:r>
        <w:t xml:space="preserve"> to avoid negotiations about conditions on every single project (proportion of IROP's and bank's funds, interest rate) and to agree on them collectively for the whole package of funds which a given bank is to distribute.</w:t>
      </w:r>
    </w:p>
    <w:p w:rsidR="00065632" w:rsidRDefault="00065632" w:rsidP="00065632">
      <w:pPr>
        <w:pStyle w:val="Odstavecseseznamem"/>
        <w:numPr>
          <w:ilvl w:val="0"/>
          <w:numId w:val="54"/>
        </w:numPr>
        <w:spacing w:after="0"/>
      </w:pPr>
      <w:r>
        <w:t>The technique of tranche releases should be variable and should allow not only "pouring" of funds into banks, where it is difficult for the banks to define, in accounting and tax terms, what kind of funds these are and how to enter them into accounts, but it could also be done e.g. in the form of an (interest-free) "loan", which had already been discussed in the case of the SHDF's tender for the JESSICA programme, assisted from the IOP in the 2007–2013 period, but it was not applied.</w:t>
      </w:r>
    </w:p>
    <w:p w:rsidR="00065632" w:rsidRDefault="00065632" w:rsidP="00065632">
      <w:pPr>
        <w:pStyle w:val="Odstavecseseznamem"/>
        <w:numPr>
          <w:ilvl w:val="0"/>
          <w:numId w:val="54"/>
        </w:numPr>
        <w:spacing w:after="0"/>
      </w:pPr>
      <w:r>
        <w:t xml:space="preserve">It is not appropriate to use the de minimis scheme (off-the-shelf) since housing cooperatives have typically exhausted the limit for de minimis. The above said, however, does not exclude the possibility to have an alternative form of assistance and allow also smaller entities use assistance under the de minimis scheme. </w:t>
      </w:r>
    </w:p>
    <w:p w:rsidR="00065632" w:rsidRDefault="00065632">
      <w:pPr>
        <w:spacing w:after="0"/>
        <w:jc w:val="left"/>
      </w:pPr>
      <w:r>
        <w:br w:type="page"/>
      </w:r>
    </w:p>
    <w:p w:rsidR="00065632" w:rsidRDefault="00065632" w:rsidP="00DA4E52">
      <w:pPr>
        <w:pStyle w:val="Nadpis2"/>
      </w:pPr>
      <w:bookmarkStart w:id="105" w:name="_Toc402012686"/>
      <w:bookmarkStart w:id="106" w:name="_Toc409797489"/>
      <w:bookmarkStart w:id="107" w:name="_Toc418767145"/>
      <w:bookmarkStart w:id="108" w:name="_Toc426033655"/>
      <w:r>
        <w:lastRenderedPageBreak/>
        <w:t xml:space="preserve">Experience with financial instruments in the </w:t>
      </w:r>
      <w:bookmarkEnd w:id="105"/>
      <w:bookmarkEnd w:id="106"/>
      <w:r>
        <w:t>CR and selected EU Member States</w:t>
      </w:r>
      <w:bookmarkEnd w:id="107"/>
      <w:bookmarkEnd w:id="108"/>
    </w:p>
    <w:p w:rsidR="00065632" w:rsidRDefault="00065632" w:rsidP="00606034">
      <w:pPr>
        <w:pStyle w:val="Nadpis3"/>
      </w:pPr>
      <w:bookmarkStart w:id="109" w:name="_Toc414373301"/>
      <w:bookmarkStart w:id="110" w:name="_Toc418767146"/>
      <w:bookmarkStart w:id="111" w:name="_Toc426033656"/>
      <w:r>
        <w:t xml:space="preserve">Transfer of Experience when Using Similar Previously Implemented Instruments to the Proposal of Innovative </w:t>
      </w:r>
      <w:bookmarkEnd w:id="109"/>
      <w:r>
        <w:t>Financial Instruments in IROP</w:t>
      </w:r>
      <w:bookmarkEnd w:id="110"/>
      <w:bookmarkEnd w:id="111"/>
    </w:p>
    <w:p w:rsidR="00065632" w:rsidRDefault="00065632" w:rsidP="00DA4E52">
      <w:r>
        <w:t xml:space="preserve">The Contractor has utilised the obtained information from previously applied financial instruments abroad particularly for the identification of appropriate directions of analyses regarding the utilisation of instruments within the analytical phase, then also within the proposed part of the ex-ante assessment – accenting the proposal of the investment strategy and the implementation arrangement. This chapter is to describe selected financial instruments / funds aimed at promoting energy savings projects and projects aimed at capacity building for social housing. The description intentionally includes particularly funds with comparable characteristics and size, whereas it may be assumed that similar ones will emerge in the environment of the Czech Republic. </w:t>
      </w:r>
    </w:p>
    <w:p w:rsidR="00065632" w:rsidRDefault="00065632" w:rsidP="00DA4E52">
      <w:r>
        <w:t>The regional operation/proximity of funds was another selection criterion. The Slovak Republic, Hungary and Poland underwent the initial consideration as well. For the purposes of comparison, in terms of experience, with aid for environmental measures, the Polish model was elaborated in detail, particularly with respect to the active utilisation of the option to redeem part of the loan principal – that is, a combination of a subsidy and a loan instrument and the potential utilisation of this model in the environment of the Czech Republic. Likewise, the variant of solving this issue in France was described in detail in order to assess the suitability of aid for social housing. The final section of this chapter presents experience and lessons the Contractor considers important with respect to the use of the JESSICA instrument within IOP 2007–2013.</w:t>
      </w:r>
    </w:p>
    <w:p w:rsidR="00065632" w:rsidRDefault="00065632" w:rsidP="00DA4E52">
      <w:r>
        <w:t xml:space="preserve">Hungary was very active in the utilisation of financial funds (PHARE, EBRD) in the past, however, after a certain boom in the utilisation also of the repayment form of investing in 2003–2006 the development in this area slowed down. The Budapest office of Deloitte carries out an audit of the utilization of IFIs in Hungary in the programming period 2007–2013. The Contractor applied the experience gained from Hungarian colleagues in the instrument proposal. </w:t>
      </w:r>
    </w:p>
    <w:p w:rsidR="00065632" w:rsidRDefault="00065632" w:rsidP="00DA4E52">
      <w:r>
        <w:t xml:space="preserve">In the case of the Federal Republic of Germany, </w:t>
      </w:r>
      <w:proofErr w:type="spellStart"/>
      <w:r>
        <w:t>KfW</w:t>
      </w:r>
      <w:proofErr w:type="spellEnd"/>
      <w:r>
        <w:t xml:space="preserve"> was included in the comparison as the regional leader in the provision of repayable forms of aid in the environmental area. </w:t>
      </w:r>
      <w:proofErr w:type="spellStart"/>
      <w:r>
        <w:t>KfW</w:t>
      </w:r>
      <w:proofErr w:type="spellEnd"/>
      <w:r>
        <w:t xml:space="preserve"> (similarly to Poland) uses a "bonus" in the form of remission of instalments – actual reduction in the loan principal.   </w:t>
      </w:r>
    </w:p>
    <w:p w:rsidR="00065632" w:rsidRDefault="00065632" w:rsidP="001333E5">
      <w:r>
        <w:t xml:space="preserve">Experience with the existing Polish and German financial instruments was particularly used in the solution of the appropriate implementation arrangement of the finical instrument, where good practice cases and ascertained gaps and deficiencies in the </w:t>
      </w:r>
      <w:r w:rsidRPr="00442487">
        <w:t>motivation of final beneficiaries were taken into account, i.e. in activation of the project pipeline, which are the absorption capacity of the programme</w:t>
      </w:r>
      <w:r>
        <w:t>. On the basis of the analysis of experience in Poland and Germany, the Contractor proposed to use the aid in the form of the combination of a financial instrument and a subsidy, which should make sure that the consequences of the departure from the subsidy scheme would not have substantial impacts on the absorption capacities. Likewise, such experience was reflected in the preparation of the syndicated loan, which, by the combination of ESIF funds and resources from banking houses without a direct involvement of the final applicant, aims at overcoming the problem with a lower level of interest in a financial instrument by final beneficiaries than in the offer of a classical subsidy financing.</w:t>
      </w:r>
    </w:p>
    <w:p w:rsidR="00065632" w:rsidRPr="00331A9A" w:rsidRDefault="00065632" w:rsidP="001333E5">
      <w:r>
        <w:t>Experience from abroad was also reflected in the consideration of specific parameters of the proposed instruments for IROP, such as the loan maturity or the loan rate limit, or a possibility or an advantage of the utilisation of securitization. The key findings and lessons learnt concerning the operation of foreign forms of the aid of financial instruments already in place are also mentioned particularly in other sub-chapters.</w:t>
      </w:r>
    </w:p>
    <w:p w:rsidR="00065632" w:rsidRDefault="00065632" w:rsidP="00DA4E52">
      <w:pPr>
        <w:rPr>
          <w:b/>
          <w:bCs/>
        </w:rPr>
      </w:pPr>
      <w:r>
        <w:rPr>
          <w:b/>
          <w:bCs/>
        </w:rPr>
        <w:t>Generally, it can be said that countries abroad use capital financial instruments (the more experience with using IFIs, the more intense use), in addition to loan financial instruments, and they also combine national, European and municipal funds. The most considered and the most interesting payback period for investors is 10 years. For the average length of operation of a fund (until investors can exit</w:t>
      </w:r>
      <w:proofErr w:type="gramStart"/>
      <w:r>
        <w:rPr>
          <w:b/>
          <w:bCs/>
        </w:rPr>
        <w:t>) ,</w:t>
      </w:r>
      <w:proofErr w:type="gramEnd"/>
      <w:r>
        <w:rPr>
          <w:b/>
          <w:bCs/>
        </w:rPr>
        <w:t xml:space="preserve"> this period amounts to 5- 7 years. It is often common that after the "termination" of the fund, the fund is smoothly transformed into a successor fund - in particular the British model. The most common interest rate for financial instruments taking form of soft loans is 1–3.5%. </w:t>
      </w:r>
    </w:p>
    <w:p w:rsidR="00065632" w:rsidRDefault="00065632" w:rsidP="00DA4E52">
      <w:pPr>
        <w:pStyle w:val="Nadpis3"/>
      </w:pPr>
      <w:bookmarkStart w:id="112" w:name="_Toc409797490"/>
      <w:bookmarkStart w:id="113" w:name="_Toc418767147"/>
      <w:bookmarkStart w:id="114" w:name="_Toc426033657"/>
      <w:r>
        <w:lastRenderedPageBreak/>
        <w:t>Experience in the area of social housing</w:t>
      </w:r>
      <w:bookmarkEnd w:id="112"/>
      <w:bookmarkEnd w:id="113"/>
      <w:bookmarkEnd w:id="114"/>
    </w:p>
    <w:p w:rsidR="00065632" w:rsidRPr="00E15207" w:rsidRDefault="00065632" w:rsidP="00DA4E52">
      <w:r>
        <w:t xml:space="preserve">The following chapter describes successful application of instruments aiding social housing in EU countries. With regard to consensus of governmental and non-governmental organisations in terms of ensuring long-term lease housing, we do not mention concepts on the basis of shelters or hostels, whose usefulness can be reasonably doubted in the medium and long term. We are listing concepts of aid for supply, i.e. residential capacities, not possibilities of stimulating the demand for them (purchasing power of tenants), for which the use of financial instruments is inappropriate in principle. </w:t>
      </w:r>
    </w:p>
    <w:p w:rsidR="00065632" w:rsidRPr="00E15207" w:rsidRDefault="00065632" w:rsidP="00DA4E52">
      <w:r>
        <w:t xml:space="preserve">Europe-wide efforts can be observed for cooperation between the public, private and non-governmental sectors, with a clear tendency to restrict the role of public administration only to the financial aspect, which frees the entire process from bureaucracy, collecting political points and open </w:t>
      </w:r>
      <w:proofErr w:type="spellStart"/>
      <w:r>
        <w:t>clientelism</w:t>
      </w:r>
      <w:proofErr w:type="spellEnd"/>
      <w:r>
        <w:t xml:space="preserve">. The importance of NGOs is growing (e.g. in the UK, apartments are not the property of municipalities but only of NGOs, which are the only eligible entities to apply for soft loans). </w:t>
      </w:r>
    </w:p>
    <w:p w:rsidR="00065632" w:rsidRPr="00E15207" w:rsidRDefault="00065632" w:rsidP="00DA4E52">
      <w:r>
        <w:t>A priority group in awarding social apartments consists of low-income households, mainly the homeless, young families with children, household with handicapped members, households of immigrants and seniors, i.e. people competent for independent housing who, however, are unattractive for the lessors for some reasons.</w:t>
      </w:r>
    </w:p>
    <w:p w:rsidR="00065632" w:rsidRPr="00E15207" w:rsidRDefault="00065632" w:rsidP="00DA4E52">
      <w:r>
        <w:t>Emphasis is put on integration of social housing in a comprehensive framework of long-term social assistance. Agencies work with clients in long term and help them deal with administration and any housing-related problems. The mechanisms used may be divided by property owner.</w:t>
      </w:r>
    </w:p>
    <w:p w:rsidR="00065632" w:rsidRPr="00E15207" w:rsidRDefault="00065632" w:rsidP="00DA4E52">
      <w:pPr>
        <w:pStyle w:val="Default"/>
        <w:rPr>
          <w:rFonts w:ascii="Arial" w:hAnsi="Arial" w:cs="Arial"/>
        </w:rPr>
      </w:pPr>
    </w:p>
    <w:tbl>
      <w:tblPr>
        <w:tblW w:w="8796" w:type="dxa"/>
        <w:tblInd w:w="-56" w:type="dxa"/>
        <w:tblBorders>
          <w:bottom w:val="single" w:sz="4" w:space="0" w:color="92D400"/>
          <w:insideH w:val="single" w:sz="4" w:space="0" w:color="92D400"/>
        </w:tblBorders>
        <w:tblCellMar>
          <w:top w:w="28" w:type="dxa"/>
          <w:left w:w="28" w:type="dxa"/>
          <w:bottom w:w="28" w:type="dxa"/>
          <w:right w:w="28" w:type="dxa"/>
        </w:tblCellMar>
        <w:tblLook w:val="00A0" w:firstRow="1" w:lastRow="0" w:firstColumn="1" w:lastColumn="0" w:noHBand="0" w:noVBand="0"/>
      </w:tblPr>
      <w:tblGrid>
        <w:gridCol w:w="1394"/>
        <w:gridCol w:w="1186"/>
        <w:gridCol w:w="2669"/>
        <w:gridCol w:w="1725"/>
        <w:gridCol w:w="1822"/>
      </w:tblGrid>
      <w:tr w:rsidR="00065632" w:rsidRPr="00E15207">
        <w:trPr>
          <w:trHeight w:val="459"/>
        </w:trPr>
        <w:tc>
          <w:tcPr>
            <w:tcW w:w="1394" w:type="dxa"/>
            <w:shd w:val="clear" w:color="auto" w:fill="92D400"/>
          </w:tcPr>
          <w:p w:rsidR="00065632" w:rsidRPr="00693AAF" w:rsidRDefault="00065632" w:rsidP="00693AAF">
            <w:pPr>
              <w:keepNext/>
              <w:spacing w:after="0"/>
              <w:jc w:val="center"/>
              <w:rPr>
                <w:color w:val="FFFFFF"/>
                <w:sz w:val="18"/>
                <w:szCs w:val="18"/>
              </w:rPr>
            </w:pPr>
            <w:r w:rsidRPr="00693AAF">
              <w:rPr>
                <w:color w:val="FFFFFF"/>
                <w:sz w:val="18"/>
                <w:szCs w:val="18"/>
              </w:rPr>
              <w:t>Ownership model</w:t>
            </w:r>
          </w:p>
        </w:tc>
        <w:tc>
          <w:tcPr>
            <w:tcW w:w="1186" w:type="dxa"/>
            <w:shd w:val="clear" w:color="auto" w:fill="92D400"/>
          </w:tcPr>
          <w:p w:rsidR="00065632" w:rsidRPr="00693AAF" w:rsidRDefault="00065632" w:rsidP="00693AAF">
            <w:pPr>
              <w:keepNext/>
              <w:spacing w:after="0"/>
              <w:jc w:val="center"/>
              <w:rPr>
                <w:color w:val="FFFFFF"/>
                <w:sz w:val="18"/>
                <w:szCs w:val="18"/>
              </w:rPr>
            </w:pPr>
            <w:r w:rsidRPr="00693AAF">
              <w:rPr>
                <w:color w:val="FFFFFF"/>
                <w:sz w:val="18"/>
                <w:szCs w:val="18"/>
              </w:rPr>
              <w:t>Private sector participation</w:t>
            </w:r>
          </w:p>
        </w:tc>
        <w:tc>
          <w:tcPr>
            <w:tcW w:w="2669" w:type="dxa"/>
            <w:shd w:val="clear" w:color="auto" w:fill="92D400"/>
          </w:tcPr>
          <w:p w:rsidR="00065632" w:rsidRPr="00693AAF" w:rsidRDefault="00065632" w:rsidP="00693AAF">
            <w:pPr>
              <w:keepNext/>
              <w:spacing w:after="0"/>
              <w:jc w:val="center"/>
              <w:rPr>
                <w:color w:val="FFFFFF"/>
                <w:sz w:val="18"/>
                <w:szCs w:val="18"/>
              </w:rPr>
            </w:pPr>
            <w:r w:rsidRPr="00693AAF">
              <w:rPr>
                <w:color w:val="FFFFFF"/>
                <w:sz w:val="18"/>
                <w:szCs w:val="18"/>
              </w:rPr>
              <w:t>Agency's activities</w:t>
            </w:r>
          </w:p>
        </w:tc>
        <w:tc>
          <w:tcPr>
            <w:tcW w:w="1725" w:type="dxa"/>
            <w:shd w:val="clear" w:color="auto" w:fill="92D400"/>
          </w:tcPr>
          <w:p w:rsidR="00065632" w:rsidRPr="00693AAF" w:rsidRDefault="00065632" w:rsidP="00693AAF">
            <w:pPr>
              <w:keepNext/>
              <w:spacing w:after="0"/>
              <w:jc w:val="center"/>
              <w:rPr>
                <w:color w:val="FFFFFF"/>
                <w:sz w:val="18"/>
                <w:szCs w:val="18"/>
              </w:rPr>
            </w:pPr>
            <w:r w:rsidRPr="00693AAF">
              <w:rPr>
                <w:color w:val="FFFFFF"/>
                <w:sz w:val="18"/>
                <w:szCs w:val="18"/>
              </w:rPr>
              <w:t>Private sector benefit</w:t>
            </w:r>
          </w:p>
        </w:tc>
        <w:tc>
          <w:tcPr>
            <w:tcW w:w="1822" w:type="dxa"/>
            <w:shd w:val="clear" w:color="auto" w:fill="92D400"/>
          </w:tcPr>
          <w:p w:rsidR="00065632" w:rsidRPr="00693AAF" w:rsidRDefault="00065632" w:rsidP="00693AAF">
            <w:pPr>
              <w:keepNext/>
              <w:spacing w:after="0"/>
              <w:jc w:val="center"/>
              <w:rPr>
                <w:color w:val="FFFFFF"/>
                <w:sz w:val="18"/>
                <w:szCs w:val="18"/>
              </w:rPr>
            </w:pPr>
            <w:r w:rsidRPr="00693AAF">
              <w:rPr>
                <w:color w:val="FFFFFF"/>
                <w:sz w:val="18"/>
                <w:szCs w:val="18"/>
              </w:rPr>
              <w:t>Financing</w:t>
            </w:r>
          </w:p>
        </w:tc>
      </w:tr>
      <w:tr w:rsidR="00065632" w:rsidRPr="00E15207">
        <w:trPr>
          <w:trHeight w:val="1213"/>
        </w:trPr>
        <w:tc>
          <w:tcPr>
            <w:tcW w:w="1394" w:type="dxa"/>
            <w:shd w:val="clear" w:color="auto" w:fill="FFFFFF"/>
          </w:tcPr>
          <w:p w:rsidR="00065632" w:rsidRPr="00693AAF" w:rsidRDefault="00065632" w:rsidP="00693AAF">
            <w:pPr>
              <w:keepNext/>
              <w:spacing w:after="0"/>
              <w:jc w:val="center"/>
              <w:rPr>
                <w:color w:val="000000"/>
                <w:sz w:val="18"/>
                <w:szCs w:val="18"/>
              </w:rPr>
            </w:pPr>
            <w:r w:rsidRPr="00693AAF">
              <w:rPr>
                <w:color w:val="000000"/>
                <w:sz w:val="18"/>
                <w:szCs w:val="18"/>
              </w:rPr>
              <w:t>Public sector</w:t>
            </w:r>
          </w:p>
        </w:tc>
        <w:tc>
          <w:tcPr>
            <w:tcW w:w="1186" w:type="dxa"/>
            <w:shd w:val="clear" w:color="auto" w:fill="FFFFFF"/>
          </w:tcPr>
          <w:p w:rsidR="00065632" w:rsidRPr="00693AAF" w:rsidRDefault="00065632" w:rsidP="00693AAF">
            <w:pPr>
              <w:keepNext/>
              <w:spacing w:after="0"/>
              <w:jc w:val="center"/>
              <w:rPr>
                <w:color w:val="000000"/>
                <w:sz w:val="18"/>
                <w:szCs w:val="18"/>
              </w:rPr>
            </w:pPr>
            <w:r w:rsidRPr="00693AAF">
              <w:rPr>
                <w:color w:val="000000"/>
                <w:sz w:val="18"/>
                <w:szCs w:val="18"/>
              </w:rPr>
              <w:t>NO</w:t>
            </w:r>
          </w:p>
        </w:tc>
        <w:tc>
          <w:tcPr>
            <w:tcW w:w="2669" w:type="dxa"/>
            <w:shd w:val="clear" w:color="auto" w:fill="FFFFFF"/>
          </w:tcPr>
          <w:p w:rsidR="00065632" w:rsidRPr="00693AAF" w:rsidRDefault="00065632" w:rsidP="00693AAF">
            <w:pPr>
              <w:keepNext/>
              <w:spacing w:after="0"/>
              <w:jc w:val="center"/>
              <w:rPr>
                <w:color w:val="000000"/>
                <w:sz w:val="18"/>
                <w:szCs w:val="18"/>
              </w:rPr>
            </w:pPr>
            <w:r w:rsidRPr="00693AAF">
              <w:rPr>
                <w:color w:val="000000"/>
                <w:sz w:val="18"/>
                <w:szCs w:val="18"/>
              </w:rPr>
              <w:t>Construction, administration and maintenance of the housing stock, allocation of apartments to tenants, other social services</w:t>
            </w:r>
          </w:p>
        </w:tc>
        <w:tc>
          <w:tcPr>
            <w:tcW w:w="1725" w:type="dxa"/>
            <w:shd w:val="clear" w:color="auto" w:fill="FFFFFF"/>
          </w:tcPr>
          <w:p w:rsidR="00065632" w:rsidRPr="00693AAF" w:rsidRDefault="00065632" w:rsidP="00693AAF">
            <w:pPr>
              <w:keepNext/>
              <w:spacing w:after="0"/>
              <w:jc w:val="center"/>
              <w:rPr>
                <w:color w:val="000000"/>
                <w:sz w:val="18"/>
                <w:szCs w:val="18"/>
              </w:rPr>
            </w:pPr>
            <w:r w:rsidRPr="00693AAF">
              <w:rPr>
                <w:color w:val="000000"/>
                <w:sz w:val="18"/>
                <w:szCs w:val="18"/>
              </w:rPr>
              <w:t>NO</w:t>
            </w:r>
          </w:p>
        </w:tc>
        <w:tc>
          <w:tcPr>
            <w:tcW w:w="1822" w:type="dxa"/>
            <w:shd w:val="clear" w:color="auto" w:fill="FFFFFF"/>
          </w:tcPr>
          <w:p w:rsidR="00065632" w:rsidRPr="00693AAF" w:rsidRDefault="00065632" w:rsidP="00693AAF">
            <w:pPr>
              <w:keepNext/>
              <w:spacing w:after="0"/>
              <w:jc w:val="center"/>
              <w:rPr>
                <w:color w:val="000000"/>
                <w:sz w:val="18"/>
                <w:szCs w:val="18"/>
              </w:rPr>
            </w:pPr>
            <w:r w:rsidRPr="00693AAF">
              <w:rPr>
                <w:color w:val="000000"/>
                <w:sz w:val="18"/>
                <w:szCs w:val="18"/>
              </w:rPr>
              <w:t>Public—soft loan for acquisition, subsidy for reconstruction, agency operation, contributions for housing</w:t>
            </w:r>
          </w:p>
        </w:tc>
      </w:tr>
      <w:tr w:rsidR="00065632" w:rsidRPr="00E15207">
        <w:trPr>
          <w:trHeight w:val="649"/>
        </w:trPr>
        <w:tc>
          <w:tcPr>
            <w:tcW w:w="1394" w:type="dxa"/>
            <w:shd w:val="clear" w:color="auto" w:fill="FFFFFF"/>
          </w:tcPr>
          <w:p w:rsidR="00065632" w:rsidRPr="00693AAF" w:rsidRDefault="00065632" w:rsidP="00693AAF">
            <w:pPr>
              <w:keepNext/>
              <w:spacing w:after="0"/>
              <w:jc w:val="center"/>
              <w:rPr>
                <w:color w:val="000000"/>
                <w:sz w:val="18"/>
                <w:szCs w:val="18"/>
              </w:rPr>
            </w:pPr>
            <w:r w:rsidRPr="00693AAF">
              <w:rPr>
                <w:color w:val="000000"/>
                <w:sz w:val="18"/>
                <w:szCs w:val="18"/>
              </w:rPr>
              <w:t>Private sector</w:t>
            </w:r>
          </w:p>
        </w:tc>
        <w:tc>
          <w:tcPr>
            <w:tcW w:w="1186" w:type="dxa"/>
            <w:shd w:val="clear" w:color="auto" w:fill="FFFFFF"/>
          </w:tcPr>
          <w:p w:rsidR="00065632" w:rsidRPr="00693AAF" w:rsidRDefault="00065632" w:rsidP="00693AAF">
            <w:pPr>
              <w:keepNext/>
              <w:spacing w:after="0"/>
              <w:jc w:val="center"/>
              <w:rPr>
                <w:color w:val="000000"/>
                <w:sz w:val="18"/>
                <w:szCs w:val="18"/>
              </w:rPr>
            </w:pPr>
            <w:r w:rsidRPr="00693AAF">
              <w:rPr>
                <w:color w:val="000000"/>
                <w:sz w:val="18"/>
                <w:szCs w:val="18"/>
              </w:rPr>
              <w:t>YES</w:t>
            </w:r>
          </w:p>
        </w:tc>
        <w:tc>
          <w:tcPr>
            <w:tcW w:w="2669" w:type="dxa"/>
            <w:shd w:val="clear" w:color="auto" w:fill="FFFFFF"/>
          </w:tcPr>
          <w:p w:rsidR="00065632" w:rsidRPr="00693AAF" w:rsidRDefault="00065632" w:rsidP="00693AAF">
            <w:pPr>
              <w:keepNext/>
              <w:spacing w:after="0"/>
              <w:jc w:val="center"/>
              <w:rPr>
                <w:color w:val="000000"/>
                <w:sz w:val="18"/>
                <w:szCs w:val="18"/>
              </w:rPr>
            </w:pPr>
            <w:r w:rsidRPr="00693AAF">
              <w:rPr>
                <w:color w:val="000000"/>
                <w:sz w:val="18"/>
                <w:szCs w:val="18"/>
              </w:rPr>
              <w:t>Finding suitable apartments in private ownership, selection of tenants, collection of rent, conflict solving, other social services</w:t>
            </w:r>
          </w:p>
        </w:tc>
        <w:tc>
          <w:tcPr>
            <w:tcW w:w="1725" w:type="dxa"/>
            <w:shd w:val="clear" w:color="auto" w:fill="FFFFFF"/>
          </w:tcPr>
          <w:p w:rsidR="00065632" w:rsidRPr="00693AAF" w:rsidRDefault="00065632" w:rsidP="00693AAF">
            <w:pPr>
              <w:keepNext/>
              <w:spacing w:after="0"/>
              <w:jc w:val="center"/>
              <w:rPr>
                <w:color w:val="000000"/>
                <w:sz w:val="18"/>
                <w:szCs w:val="18"/>
              </w:rPr>
            </w:pPr>
            <w:r w:rsidRPr="00693AAF">
              <w:rPr>
                <w:color w:val="000000"/>
                <w:sz w:val="18"/>
                <w:szCs w:val="18"/>
              </w:rPr>
              <w:t>Subsidy, interest subsidy (up to 77%), rent payment guarantee, long-term contract (9-year type), apartment maintenance guarantee</w:t>
            </w:r>
          </w:p>
        </w:tc>
        <w:tc>
          <w:tcPr>
            <w:tcW w:w="1822" w:type="dxa"/>
            <w:shd w:val="clear" w:color="auto" w:fill="FFFFFF"/>
          </w:tcPr>
          <w:p w:rsidR="00065632" w:rsidRPr="00693AAF" w:rsidRDefault="00065632" w:rsidP="00693AAF">
            <w:pPr>
              <w:keepNext/>
              <w:spacing w:after="0"/>
              <w:jc w:val="center"/>
              <w:rPr>
                <w:color w:val="000000"/>
                <w:sz w:val="18"/>
                <w:szCs w:val="18"/>
              </w:rPr>
            </w:pPr>
            <w:r w:rsidRPr="00693AAF">
              <w:rPr>
                <w:color w:val="000000"/>
                <w:sz w:val="18"/>
                <w:szCs w:val="18"/>
              </w:rPr>
              <w:t>Public—(interest) subsidy for reconstruction, agency operation, contributions for housing</w:t>
            </w:r>
          </w:p>
        </w:tc>
      </w:tr>
    </w:tbl>
    <w:p w:rsidR="00065632" w:rsidRPr="00E15207" w:rsidRDefault="00065632" w:rsidP="00DA4E52">
      <w:pPr>
        <w:pStyle w:val="Default"/>
        <w:rPr>
          <w:rFonts w:ascii="Arial" w:hAnsi="Arial" w:cs="Arial"/>
        </w:rPr>
      </w:pPr>
    </w:p>
    <w:p w:rsidR="00065632" w:rsidRPr="00E15207" w:rsidRDefault="00065632" w:rsidP="00DA4E52">
      <w:r>
        <w:t xml:space="preserve">The ownership model applies to situations where an apartment is directly owned by a municipality or an agency and its acquisition, whether through purchase, reconstruction or </w:t>
      </w:r>
      <w:proofErr w:type="gramStart"/>
      <w:r>
        <w:t>construction,</w:t>
      </w:r>
      <w:proofErr w:type="gramEnd"/>
      <w:r>
        <w:t xml:space="preserve"> is associated with investment expenditure. Such purchases are financed through subsidies and soft loans.</w:t>
      </w:r>
    </w:p>
    <w:p w:rsidR="00065632" w:rsidRDefault="00065632" w:rsidP="00DA4E52">
      <w:r>
        <w:t xml:space="preserve">Mediation (ownership model: private sector) describes situations where real estate is private property and agencies or municipalities only mediate its lease to the target group of persons. Such activities are usually subsidised by the State; however, these are non-investment subsidies. </w:t>
      </w:r>
    </w:p>
    <w:p w:rsidR="00065632" w:rsidRPr="00E15207" w:rsidRDefault="00065632" w:rsidP="00DA4E52">
      <w:r>
        <w:t>An essential difference between partial and full mediation consists in the legal relationship between the owner, the agency and the client. In the case of partial mediation, the agency is merely an intermediary, and only the property owner as the lessor and the client as the tenant enter into a legal relationship. In the model of full mediation, the client becomes a sub-tenant of an agency, which is the tenant of the property belonging to the owner who rents it out.</w:t>
      </w:r>
    </w:p>
    <w:p w:rsidR="00065632" w:rsidRPr="00E15207" w:rsidRDefault="00065632" w:rsidP="00DA4E52">
      <w:r>
        <w:t>Some examples from practice:</w:t>
      </w:r>
    </w:p>
    <w:p w:rsidR="00065632" w:rsidRPr="00E15207" w:rsidRDefault="00065632" w:rsidP="00DA4E52">
      <w:r>
        <w:rPr>
          <w:b/>
          <w:bCs/>
        </w:rPr>
        <w:t>France</w:t>
      </w:r>
      <w:r>
        <w:t xml:space="preserve"> – NGO-owned apartments are 77% financed by a state subsidy, 13% financed by a loan and the remaining 10% is covered by the organisation through fund raising. In addition to the organisations' own apartments, housing is mediated in private properties whose owners may be granted subsidies or soft loans </w:t>
      </w:r>
      <w:r>
        <w:lastRenderedPageBreak/>
        <w:t>for reconstruction, which is conditioned by subsequent conferral of the property to the administration, but not ownership, of municipalities or NGOs.</w:t>
      </w:r>
    </w:p>
    <w:p w:rsidR="00065632" w:rsidRPr="00E15207" w:rsidRDefault="00065632" w:rsidP="00DA4E52">
      <w:r>
        <w:rPr>
          <w:b/>
          <w:bCs/>
        </w:rPr>
        <w:t>Cologne</w:t>
      </w:r>
      <w:r>
        <w:t xml:space="preserve"> – in combating homelessness, the municipality has 5,400 apartments, mostly acquired from its own funds. Some tenants pay social rent of 5.1 €/m</w:t>
      </w:r>
      <w:r>
        <w:rPr>
          <w:vertAlign w:val="superscript"/>
        </w:rPr>
        <w:t>2</w:t>
      </w:r>
      <w:r>
        <w:t>, working tenants 11 €/m</w:t>
      </w:r>
      <w:r>
        <w:rPr>
          <w:vertAlign w:val="superscript"/>
        </w:rPr>
        <w:t>2</w:t>
      </w:r>
      <w:r>
        <w:t>. Also working tenants belong to a high-risk group of citizens which also consumes other related social services. The agency operation is subsidised by the State; only the richest German cities can afford to cover the investment costs from their own sources.</w:t>
      </w:r>
    </w:p>
    <w:p w:rsidR="00065632" w:rsidRPr="00E15207" w:rsidRDefault="00065632" w:rsidP="00DA4E52">
      <w:pPr>
        <w:rPr>
          <w:sz w:val="26"/>
          <w:szCs w:val="26"/>
        </w:rPr>
      </w:pPr>
      <w:r>
        <w:rPr>
          <w:b/>
          <w:bCs/>
        </w:rPr>
        <w:t>Belgium</w:t>
      </w:r>
      <w:r>
        <w:rPr>
          <w:sz w:val="26"/>
          <w:szCs w:val="26"/>
        </w:rPr>
        <w:t xml:space="preserve"> </w:t>
      </w:r>
      <w:r>
        <w:t>-</w:t>
      </w:r>
      <w:r>
        <w:rPr>
          <w:sz w:val="26"/>
          <w:szCs w:val="26"/>
        </w:rPr>
        <w:t xml:space="preserve"> </w:t>
      </w:r>
      <w:r>
        <w:t>a non-profit social agency operates as a state-subsidised mediator among problematic tenants and private owners of properties, with the aim to reach conclusion of a long-term lease contract for lower-than-market rent. It provides the owners with guarantee of timely payment of rent as well as compensation of any damage, and it handles all administration. The Belgian system works without investment subsidies.</w:t>
      </w:r>
    </w:p>
    <w:p w:rsidR="00065632" w:rsidRDefault="00065632" w:rsidP="00DA4E52">
      <w:r>
        <w:rPr>
          <w:b/>
          <w:bCs/>
        </w:rPr>
        <w:t>Great Britain</w:t>
      </w:r>
      <w:r>
        <w:t xml:space="preserve"> –</w:t>
      </w:r>
      <w:r>
        <w:rPr>
          <w:sz w:val="20"/>
          <w:szCs w:val="20"/>
        </w:rPr>
        <w:t xml:space="preserve"> </w:t>
      </w:r>
      <w:r>
        <w:t>municipalities are required by law to provide social housing. Under the principle of full mediation, NGOs or municipalities rent apartments from private owners and subsequently allocate them to sub-tenants in need. The owners have a guarantee of rent regardless of the apartment occupancy, they save cost of apartment administration and cost of any damage and minor repairs or costs of eviction of non-payers, which are borne by the intermediary. Moreover, some municipalities provide soft loans for reconstruction of the apartments in question.</w:t>
      </w:r>
    </w:p>
    <w:p w:rsidR="00065632" w:rsidRDefault="00065632">
      <w:pPr>
        <w:spacing w:after="0"/>
        <w:jc w:val="left"/>
      </w:pPr>
      <w:r>
        <w:br w:type="page"/>
      </w:r>
    </w:p>
    <w:p w:rsidR="00065632" w:rsidRDefault="00065632" w:rsidP="00884652">
      <w:pPr>
        <w:pStyle w:val="Nadpis3"/>
      </w:pPr>
      <w:bookmarkStart w:id="115" w:name="_Toc418767148"/>
      <w:bookmarkStart w:id="116" w:name="_Toc426033658"/>
      <w:r>
        <w:lastRenderedPageBreak/>
        <w:t>Experience in the area of reducing energy consumption in the housing sector</w:t>
      </w:r>
      <w:bookmarkEnd w:id="115"/>
      <w:bookmarkEnd w:id="116"/>
      <w:r>
        <w:t xml:space="preserve"> </w:t>
      </w:r>
    </w:p>
    <w:p w:rsidR="00065632" w:rsidRDefault="00065632" w:rsidP="00DA4E52">
      <w:r>
        <w:t xml:space="preserve">The following overview table contains basic attributes of financial instruments/funds included in the benchmarking evaluation. The following text describes the individual funds in detail.  </w:t>
      </w:r>
    </w:p>
    <w:tbl>
      <w:tblPr>
        <w:tblpPr w:leftFromText="142" w:rightFromText="142" w:vertAnchor="text" w:tblpY="1"/>
        <w:tblW w:w="9747"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0A0" w:firstRow="1" w:lastRow="0" w:firstColumn="1" w:lastColumn="0" w:noHBand="0" w:noVBand="0"/>
      </w:tblPr>
      <w:tblGrid>
        <w:gridCol w:w="1751"/>
        <w:gridCol w:w="1570"/>
        <w:gridCol w:w="1182"/>
        <w:gridCol w:w="1417"/>
        <w:gridCol w:w="1559"/>
        <w:gridCol w:w="2268"/>
      </w:tblGrid>
      <w:tr w:rsidR="00065632" w:rsidRPr="00EF526D">
        <w:trPr>
          <w:trHeight w:val="529"/>
          <w:tblHeader/>
        </w:trPr>
        <w:tc>
          <w:tcPr>
            <w:tcW w:w="1751" w:type="dxa"/>
            <w:shd w:val="solid" w:color="000080" w:fill="FFFFFF"/>
          </w:tcPr>
          <w:p w:rsidR="00065632" w:rsidRPr="00693AAF" w:rsidRDefault="00065632" w:rsidP="00693AAF">
            <w:pPr>
              <w:keepNext/>
              <w:spacing w:after="0"/>
              <w:jc w:val="center"/>
              <w:rPr>
                <w:rStyle w:val="hps"/>
                <w:b/>
                <w:bCs/>
                <w:color w:val="FFFFFF"/>
              </w:rPr>
            </w:pPr>
            <w:r w:rsidRPr="00693AAF">
              <w:rPr>
                <w:rStyle w:val="hps"/>
                <w:b/>
                <w:bCs/>
                <w:color w:val="FFFFFF"/>
              </w:rPr>
              <w:t>Fund/institution name</w:t>
            </w:r>
          </w:p>
        </w:tc>
        <w:tc>
          <w:tcPr>
            <w:tcW w:w="1570" w:type="dxa"/>
            <w:shd w:val="solid" w:color="000080" w:fill="FFFFFF"/>
          </w:tcPr>
          <w:p w:rsidR="00065632" w:rsidRPr="00693AAF" w:rsidRDefault="00065632" w:rsidP="00693AAF">
            <w:pPr>
              <w:keepNext/>
              <w:spacing w:after="0"/>
              <w:jc w:val="center"/>
              <w:rPr>
                <w:rStyle w:val="hps"/>
                <w:b/>
                <w:bCs/>
                <w:color w:val="FFFFFF"/>
              </w:rPr>
            </w:pPr>
            <w:r w:rsidRPr="00693AAF">
              <w:rPr>
                <w:rStyle w:val="hps"/>
                <w:b/>
                <w:bCs/>
                <w:color w:val="FFFFFF"/>
              </w:rPr>
              <w:t>Fund specialisation</w:t>
            </w:r>
          </w:p>
        </w:tc>
        <w:tc>
          <w:tcPr>
            <w:tcW w:w="1182" w:type="dxa"/>
            <w:shd w:val="solid" w:color="000080" w:fill="FFFFFF"/>
          </w:tcPr>
          <w:p w:rsidR="00065632" w:rsidRPr="00693AAF" w:rsidRDefault="00065632" w:rsidP="00693AAF">
            <w:pPr>
              <w:keepNext/>
              <w:spacing w:after="0"/>
              <w:jc w:val="center"/>
              <w:rPr>
                <w:rStyle w:val="hps"/>
                <w:b/>
                <w:bCs/>
                <w:color w:val="FFFFFF"/>
              </w:rPr>
            </w:pPr>
            <w:r w:rsidRPr="00693AAF">
              <w:rPr>
                <w:rStyle w:val="hps"/>
                <w:b/>
                <w:bCs/>
                <w:color w:val="FFFFFF"/>
              </w:rPr>
              <w:t xml:space="preserve">Capital allocation </w:t>
            </w:r>
          </w:p>
        </w:tc>
        <w:tc>
          <w:tcPr>
            <w:tcW w:w="1417" w:type="dxa"/>
            <w:shd w:val="solid" w:color="000080" w:fill="FFFFFF"/>
          </w:tcPr>
          <w:p w:rsidR="00065632" w:rsidRPr="00693AAF" w:rsidRDefault="00065632" w:rsidP="00693AAF">
            <w:pPr>
              <w:keepNext/>
              <w:spacing w:after="0"/>
              <w:jc w:val="center"/>
              <w:rPr>
                <w:rStyle w:val="hps"/>
                <w:b/>
                <w:bCs/>
                <w:color w:val="FFFFFF"/>
              </w:rPr>
            </w:pPr>
            <w:r w:rsidRPr="00693AAF">
              <w:rPr>
                <w:rStyle w:val="hps"/>
                <w:b/>
                <w:bCs/>
                <w:color w:val="FFFFFF"/>
              </w:rPr>
              <w:t xml:space="preserve">Project size </w:t>
            </w:r>
          </w:p>
        </w:tc>
        <w:tc>
          <w:tcPr>
            <w:tcW w:w="1559" w:type="dxa"/>
            <w:shd w:val="solid" w:color="000080" w:fill="FFFFFF"/>
          </w:tcPr>
          <w:p w:rsidR="00065632" w:rsidRPr="00693AAF" w:rsidRDefault="00065632" w:rsidP="00693AAF">
            <w:pPr>
              <w:keepNext/>
              <w:spacing w:after="0"/>
              <w:jc w:val="center"/>
              <w:rPr>
                <w:rStyle w:val="hps"/>
                <w:b/>
                <w:bCs/>
                <w:color w:val="FFFFFF"/>
              </w:rPr>
            </w:pPr>
            <w:r w:rsidRPr="00693AAF">
              <w:rPr>
                <w:rStyle w:val="hps"/>
                <w:b/>
                <w:bCs/>
                <w:color w:val="FFFFFF"/>
              </w:rPr>
              <w:t>Financial instrument type</w:t>
            </w:r>
          </w:p>
        </w:tc>
        <w:tc>
          <w:tcPr>
            <w:tcW w:w="2268" w:type="dxa"/>
            <w:shd w:val="solid" w:color="000080" w:fill="FFFFFF"/>
          </w:tcPr>
          <w:p w:rsidR="00065632" w:rsidRPr="00693AAF" w:rsidRDefault="00065632" w:rsidP="00693AAF">
            <w:pPr>
              <w:keepNext/>
              <w:spacing w:after="0"/>
              <w:jc w:val="center"/>
              <w:rPr>
                <w:rStyle w:val="hps"/>
                <w:b/>
                <w:bCs/>
                <w:color w:val="FFFFFF"/>
              </w:rPr>
            </w:pPr>
            <w:r w:rsidRPr="00693AAF">
              <w:rPr>
                <w:rStyle w:val="hps"/>
                <w:b/>
                <w:bCs/>
                <w:color w:val="FFFFFF"/>
              </w:rPr>
              <w:t>Conditions of provision</w:t>
            </w:r>
          </w:p>
        </w:tc>
      </w:tr>
      <w:tr w:rsidR="00065632" w:rsidRPr="00EF526D">
        <w:tc>
          <w:tcPr>
            <w:tcW w:w="9747" w:type="dxa"/>
            <w:gridSpan w:val="6"/>
            <w:shd w:val="clear" w:color="auto" w:fill="B0CAFF"/>
            <w:vAlign w:val="center"/>
          </w:tcPr>
          <w:p w:rsidR="00065632" w:rsidRPr="00EF526D" w:rsidRDefault="00065632" w:rsidP="00693AAF">
            <w:pPr>
              <w:keepNext/>
              <w:spacing w:after="0"/>
              <w:jc w:val="center"/>
              <w:rPr>
                <w:rStyle w:val="hps"/>
              </w:rPr>
            </w:pPr>
            <w:r>
              <w:rPr>
                <w:rStyle w:val="hps"/>
              </w:rPr>
              <w:t>Great Britain, Wales</w:t>
            </w:r>
          </w:p>
        </w:tc>
      </w:tr>
      <w:tr w:rsidR="00065632" w:rsidRPr="00EF526D">
        <w:tc>
          <w:tcPr>
            <w:tcW w:w="1751" w:type="dxa"/>
            <w:vAlign w:val="center"/>
          </w:tcPr>
          <w:p w:rsidR="00065632" w:rsidRPr="00EF526D" w:rsidRDefault="00065632" w:rsidP="00693AAF">
            <w:pPr>
              <w:keepNext/>
              <w:spacing w:after="0"/>
              <w:jc w:val="center"/>
              <w:rPr>
                <w:rStyle w:val="hps"/>
              </w:rPr>
            </w:pPr>
            <w:r>
              <w:rPr>
                <w:rStyle w:val="hps"/>
              </w:rPr>
              <w:t>EEUD</w:t>
            </w:r>
          </w:p>
        </w:tc>
        <w:tc>
          <w:tcPr>
            <w:tcW w:w="1570" w:type="dxa"/>
            <w:vAlign w:val="center"/>
          </w:tcPr>
          <w:p w:rsidR="00065632" w:rsidRPr="00EF526D" w:rsidRDefault="00065632" w:rsidP="00693AAF">
            <w:pPr>
              <w:keepNext/>
              <w:spacing w:after="0"/>
              <w:jc w:val="center"/>
              <w:rPr>
                <w:rStyle w:val="hps"/>
              </w:rPr>
            </w:pPr>
            <w:r>
              <w:rPr>
                <w:rStyle w:val="hps"/>
              </w:rPr>
              <w:t>Energy intensity, building reconstruction</w:t>
            </w:r>
          </w:p>
        </w:tc>
        <w:tc>
          <w:tcPr>
            <w:tcW w:w="1182" w:type="dxa"/>
            <w:vAlign w:val="center"/>
          </w:tcPr>
          <w:p w:rsidR="00065632" w:rsidRPr="00EF526D" w:rsidRDefault="00065632" w:rsidP="00693AAF">
            <w:pPr>
              <w:keepNext/>
              <w:spacing w:after="0"/>
              <w:jc w:val="center"/>
              <w:rPr>
                <w:rStyle w:val="hps"/>
              </w:rPr>
            </w:pPr>
            <w:r>
              <w:rPr>
                <w:rStyle w:val="hps"/>
              </w:rPr>
              <w:t>£ 50 million</w:t>
            </w:r>
          </w:p>
        </w:tc>
        <w:tc>
          <w:tcPr>
            <w:tcW w:w="1417" w:type="dxa"/>
            <w:vAlign w:val="center"/>
          </w:tcPr>
          <w:p w:rsidR="00065632" w:rsidRPr="00EF526D" w:rsidRDefault="00065632" w:rsidP="00693AAF">
            <w:pPr>
              <w:keepNext/>
              <w:spacing w:after="0"/>
              <w:jc w:val="center"/>
              <w:rPr>
                <w:rStyle w:val="hps"/>
              </w:rPr>
            </w:pPr>
            <w:r>
              <w:rPr>
                <w:rStyle w:val="hps"/>
              </w:rPr>
              <w:t>£ 3.5-14 million</w:t>
            </w:r>
          </w:p>
        </w:tc>
        <w:tc>
          <w:tcPr>
            <w:tcW w:w="1559" w:type="dxa"/>
            <w:vAlign w:val="center"/>
          </w:tcPr>
          <w:p w:rsidR="00065632" w:rsidRPr="00EF526D" w:rsidRDefault="00065632" w:rsidP="00693AAF">
            <w:pPr>
              <w:keepNext/>
              <w:spacing w:after="0"/>
              <w:jc w:val="center"/>
              <w:rPr>
                <w:rStyle w:val="hps"/>
              </w:rPr>
            </w:pPr>
            <w:r>
              <w:rPr>
                <w:rStyle w:val="hps"/>
              </w:rPr>
              <w:t>Debt, equity</w:t>
            </w:r>
          </w:p>
        </w:tc>
        <w:tc>
          <w:tcPr>
            <w:tcW w:w="2268" w:type="dxa"/>
            <w:vAlign w:val="center"/>
          </w:tcPr>
          <w:p w:rsidR="00065632" w:rsidRPr="00EF526D" w:rsidRDefault="00065632" w:rsidP="00693AAF">
            <w:pPr>
              <w:keepNext/>
              <w:spacing w:after="0"/>
              <w:jc w:val="center"/>
              <w:rPr>
                <w:rStyle w:val="hps"/>
              </w:rPr>
            </w:pPr>
            <w:r>
              <w:rPr>
                <w:rStyle w:val="hps"/>
              </w:rPr>
              <w:t>Economical projects, repayment up to 10 years</w:t>
            </w:r>
          </w:p>
        </w:tc>
      </w:tr>
      <w:tr w:rsidR="00065632" w:rsidRPr="00EF526D">
        <w:tc>
          <w:tcPr>
            <w:tcW w:w="9747" w:type="dxa"/>
            <w:gridSpan w:val="6"/>
            <w:shd w:val="clear" w:color="auto" w:fill="72C7E7"/>
            <w:vAlign w:val="center"/>
          </w:tcPr>
          <w:p w:rsidR="00065632" w:rsidRPr="00EF526D" w:rsidRDefault="00065632" w:rsidP="00693AAF">
            <w:pPr>
              <w:keepNext/>
              <w:spacing w:after="0"/>
              <w:jc w:val="center"/>
              <w:rPr>
                <w:rStyle w:val="hps"/>
              </w:rPr>
            </w:pPr>
            <w:r>
              <w:rPr>
                <w:rStyle w:val="hps"/>
              </w:rPr>
              <w:t>Poland</w:t>
            </w:r>
          </w:p>
        </w:tc>
      </w:tr>
      <w:tr w:rsidR="00065632" w:rsidRPr="00EF526D">
        <w:tc>
          <w:tcPr>
            <w:tcW w:w="1751" w:type="dxa"/>
            <w:vAlign w:val="center"/>
          </w:tcPr>
          <w:p w:rsidR="00065632" w:rsidRPr="00EF526D" w:rsidRDefault="00065632" w:rsidP="00693AAF">
            <w:pPr>
              <w:keepNext/>
              <w:spacing w:after="0"/>
              <w:jc w:val="center"/>
              <w:rPr>
                <w:rStyle w:val="hps"/>
              </w:rPr>
            </w:pPr>
            <w:proofErr w:type="spellStart"/>
            <w:r>
              <w:rPr>
                <w:rStyle w:val="hps"/>
              </w:rPr>
              <w:t>NFOŚiGW</w:t>
            </w:r>
            <w:proofErr w:type="spellEnd"/>
          </w:p>
          <w:p w:rsidR="00065632" w:rsidRPr="00EF526D" w:rsidRDefault="00065632" w:rsidP="00693AAF">
            <w:pPr>
              <w:keepNext/>
              <w:spacing w:after="0"/>
              <w:jc w:val="center"/>
              <w:rPr>
                <w:rStyle w:val="hps"/>
              </w:rPr>
            </w:pPr>
          </w:p>
        </w:tc>
        <w:tc>
          <w:tcPr>
            <w:tcW w:w="1570" w:type="dxa"/>
            <w:vAlign w:val="center"/>
          </w:tcPr>
          <w:p w:rsidR="00065632" w:rsidRPr="00EF526D" w:rsidRDefault="00065632" w:rsidP="00693AAF">
            <w:pPr>
              <w:keepNext/>
              <w:spacing w:after="0"/>
              <w:jc w:val="center"/>
              <w:rPr>
                <w:rStyle w:val="hps"/>
              </w:rPr>
            </w:pPr>
            <w:r>
              <w:rPr>
                <w:rStyle w:val="hps"/>
              </w:rPr>
              <w:t>All long-term aided ecology projects</w:t>
            </w:r>
          </w:p>
        </w:tc>
        <w:tc>
          <w:tcPr>
            <w:tcW w:w="1182" w:type="dxa"/>
            <w:vAlign w:val="center"/>
          </w:tcPr>
          <w:p w:rsidR="00065632" w:rsidRPr="00EF526D" w:rsidRDefault="00065632" w:rsidP="00693AAF">
            <w:pPr>
              <w:keepNext/>
              <w:spacing w:after="0"/>
              <w:jc w:val="center"/>
              <w:rPr>
                <w:rStyle w:val="hps"/>
              </w:rPr>
            </w:pPr>
            <w:r>
              <w:rPr>
                <w:rStyle w:val="hps"/>
              </w:rPr>
              <w:t>PLN 5.2 billion</w:t>
            </w:r>
          </w:p>
        </w:tc>
        <w:tc>
          <w:tcPr>
            <w:tcW w:w="1417" w:type="dxa"/>
            <w:vAlign w:val="center"/>
          </w:tcPr>
          <w:p w:rsidR="00065632" w:rsidRPr="00EF526D" w:rsidRDefault="00065632" w:rsidP="00693AAF">
            <w:pPr>
              <w:keepNext/>
              <w:spacing w:after="0"/>
              <w:jc w:val="center"/>
              <w:rPr>
                <w:rStyle w:val="hps"/>
              </w:rPr>
            </w:pPr>
          </w:p>
        </w:tc>
        <w:tc>
          <w:tcPr>
            <w:tcW w:w="1559" w:type="dxa"/>
            <w:vAlign w:val="center"/>
          </w:tcPr>
          <w:p w:rsidR="00065632" w:rsidRPr="00EF526D" w:rsidRDefault="00065632" w:rsidP="00693AAF">
            <w:pPr>
              <w:keepNext/>
              <w:spacing w:after="0"/>
              <w:jc w:val="center"/>
              <w:rPr>
                <w:rStyle w:val="hps"/>
              </w:rPr>
            </w:pPr>
            <w:r>
              <w:rPr>
                <w:rStyle w:val="hps"/>
              </w:rPr>
              <w:t>Loans, credit lines, subsidies, interest settlements, equity</w:t>
            </w:r>
          </w:p>
        </w:tc>
        <w:tc>
          <w:tcPr>
            <w:tcW w:w="2268" w:type="dxa"/>
            <w:vAlign w:val="center"/>
          </w:tcPr>
          <w:p w:rsidR="00065632" w:rsidRPr="00EF526D" w:rsidRDefault="00065632" w:rsidP="00693AAF">
            <w:pPr>
              <w:keepNext/>
              <w:spacing w:after="0"/>
              <w:rPr>
                <w:rStyle w:val="hps"/>
              </w:rPr>
            </w:pPr>
            <w:r>
              <w:rPr>
                <w:rStyle w:val="hps"/>
              </w:rPr>
              <w:t>Length of the loan repayment, interest rate, project character</w:t>
            </w:r>
          </w:p>
        </w:tc>
      </w:tr>
      <w:tr w:rsidR="00065632" w:rsidRPr="00EF526D">
        <w:tc>
          <w:tcPr>
            <w:tcW w:w="1751" w:type="dxa"/>
            <w:vAlign w:val="center"/>
          </w:tcPr>
          <w:p w:rsidR="00065632" w:rsidRPr="00EF526D" w:rsidRDefault="00065632" w:rsidP="00693AAF">
            <w:pPr>
              <w:keepNext/>
              <w:spacing w:after="0"/>
              <w:jc w:val="center"/>
              <w:rPr>
                <w:rStyle w:val="hps"/>
              </w:rPr>
            </w:pPr>
            <w:proofErr w:type="spellStart"/>
            <w:r>
              <w:rPr>
                <w:rStyle w:val="hps"/>
              </w:rPr>
              <w:t>WFOŚiGW</w:t>
            </w:r>
            <w:proofErr w:type="spellEnd"/>
            <w:r>
              <w:rPr>
                <w:rStyle w:val="hps"/>
              </w:rPr>
              <w:t>**</w:t>
            </w:r>
          </w:p>
        </w:tc>
        <w:tc>
          <w:tcPr>
            <w:tcW w:w="1570" w:type="dxa"/>
            <w:vAlign w:val="center"/>
          </w:tcPr>
          <w:p w:rsidR="00065632" w:rsidRPr="00EF526D" w:rsidRDefault="00065632" w:rsidP="00693AAF">
            <w:pPr>
              <w:keepNext/>
              <w:spacing w:after="0"/>
              <w:jc w:val="center"/>
              <w:rPr>
                <w:rStyle w:val="hps"/>
              </w:rPr>
            </w:pPr>
            <w:r>
              <w:rPr>
                <w:rStyle w:val="hps"/>
              </w:rPr>
              <w:t>Water and waste management, waste management and recycling, air protection, removal of accidents, pollution and catastrophes</w:t>
            </w:r>
          </w:p>
        </w:tc>
        <w:tc>
          <w:tcPr>
            <w:tcW w:w="1182" w:type="dxa"/>
            <w:vAlign w:val="center"/>
          </w:tcPr>
          <w:p w:rsidR="00065632" w:rsidRPr="00EF526D" w:rsidRDefault="00065632" w:rsidP="00693AAF">
            <w:pPr>
              <w:keepNext/>
              <w:spacing w:after="0"/>
              <w:jc w:val="center"/>
              <w:rPr>
                <w:rStyle w:val="hps"/>
              </w:rPr>
            </w:pPr>
            <w:r>
              <w:rPr>
                <w:rStyle w:val="hps"/>
              </w:rPr>
              <w:t>PLN 493.5 billion</w:t>
            </w:r>
          </w:p>
        </w:tc>
        <w:tc>
          <w:tcPr>
            <w:tcW w:w="1417" w:type="dxa"/>
            <w:vAlign w:val="center"/>
          </w:tcPr>
          <w:p w:rsidR="00065632" w:rsidRPr="00EF526D" w:rsidRDefault="00065632" w:rsidP="00693AAF">
            <w:pPr>
              <w:keepNext/>
              <w:spacing w:after="0"/>
              <w:jc w:val="center"/>
              <w:rPr>
                <w:rStyle w:val="hps"/>
              </w:rPr>
            </w:pPr>
          </w:p>
        </w:tc>
        <w:tc>
          <w:tcPr>
            <w:tcW w:w="1559" w:type="dxa"/>
            <w:vAlign w:val="center"/>
          </w:tcPr>
          <w:p w:rsidR="00065632" w:rsidRDefault="00065632" w:rsidP="00693AAF">
            <w:pPr>
              <w:keepNext/>
              <w:spacing w:after="0"/>
              <w:jc w:val="center"/>
              <w:rPr>
                <w:rStyle w:val="hps"/>
              </w:rPr>
            </w:pPr>
            <w:r>
              <w:rPr>
                <w:rStyle w:val="hps"/>
              </w:rPr>
              <w:t>Loans, credit lines, subsidies, interest settlements</w:t>
            </w:r>
          </w:p>
        </w:tc>
        <w:tc>
          <w:tcPr>
            <w:tcW w:w="2268" w:type="dxa"/>
            <w:vAlign w:val="center"/>
          </w:tcPr>
          <w:p w:rsidR="00065632" w:rsidRPr="00EF526D" w:rsidRDefault="00065632" w:rsidP="00693AAF">
            <w:pPr>
              <w:keepNext/>
              <w:spacing w:after="0"/>
              <w:rPr>
                <w:rStyle w:val="hps"/>
              </w:rPr>
            </w:pPr>
            <w:r>
              <w:rPr>
                <w:rStyle w:val="hps"/>
              </w:rPr>
              <w:t>Length of the loan repayment, interest rate, project character</w:t>
            </w:r>
          </w:p>
        </w:tc>
      </w:tr>
      <w:tr w:rsidR="00065632" w:rsidRPr="00EF526D">
        <w:tc>
          <w:tcPr>
            <w:tcW w:w="9747" w:type="dxa"/>
            <w:gridSpan w:val="6"/>
            <w:shd w:val="clear" w:color="auto" w:fill="72C7E7"/>
            <w:vAlign w:val="center"/>
          </w:tcPr>
          <w:p w:rsidR="00065632" w:rsidRPr="00EF526D" w:rsidRDefault="00065632" w:rsidP="00693AAF">
            <w:pPr>
              <w:keepNext/>
              <w:spacing w:after="0"/>
              <w:jc w:val="center"/>
              <w:rPr>
                <w:rStyle w:val="hps"/>
              </w:rPr>
            </w:pPr>
            <w:r>
              <w:rPr>
                <w:rStyle w:val="hps"/>
              </w:rPr>
              <w:t>Germany</w:t>
            </w:r>
          </w:p>
        </w:tc>
      </w:tr>
      <w:tr w:rsidR="00065632" w:rsidRPr="00EF526D">
        <w:tc>
          <w:tcPr>
            <w:tcW w:w="1751" w:type="dxa"/>
            <w:vAlign w:val="center"/>
          </w:tcPr>
          <w:p w:rsidR="00065632" w:rsidRPr="00EF526D" w:rsidRDefault="00065632" w:rsidP="00693AAF">
            <w:pPr>
              <w:keepNext/>
              <w:spacing w:after="0"/>
              <w:jc w:val="center"/>
              <w:rPr>
                <w:rStyle w:val="hps"/>
              </w:rPr>
            </w:pPr>
            <w:r>
              <w:rPr>
                <w:rStyle w:val="hps"/>
              </w:rPr>
              <w:t>KFW</w:t>
            </w:r>
          </w:p>
        </w:tc>
        <w:tc>
          <w:tcPr>
            <w:tcW w:w="1570" w:type="dxa"/>
            <w:vAlign w:val="center"/>
          </w:tcPr>
          <w:p w:rsidR="00065632" w:rsidRPr="00EF526D" w:rsidRDefault="00065632" w:rsidP="00693AAF">
            <w:pPr>
              <w:keepNext/>
              <w:spacing w:after="0"/>
              <w:jc w:val="center"/>
              <w:rPr>
                <w:rStyle w:val="hps"/>
              </w:rPr>
            </w:pPr>
            <w:r>
              <w:rPr>
                <w:rStyle w:val="hps"/>
              </w:rPr>
              <w:t xml:space="preserve">Measures to increase the energy efficiency of buildings, environmental education, support for start-ups, environmental projects </w:t>
            </w:r>
          </w:p>
        </w:tc>
        <w:tc>
          <w:tcPr>
            <w:tcW w:w="1182" w:type="dxa"/>
            <w:vAlign w:val="center"/>
          </w:tcPr>
          <w:p w:rsidR="00065632" w:rsidRPr="00EF526D" w:rsidRDefault="00065632" w:rsidP="00693AAF">
            <w:pPr>
              <w:keepNext/>
              <w:spacing w:after="0"/>
              <w:jc w:val="center"/>
              <w:rPr>
                <w:rStyle w:val="hps"/>
              </w:rPr>
            </w:pPr>
            <w:r>
              <w:rPr>
                <w:rStyle w:val="hps"/>
              </w:rPr>
              <w:t xml:space="preserve">PLN 57.4 billion for 2014 (the entire </w:t>
            </w:r>
            <w:proofErr w:type="spellStart"/>
            <w:r>
              <w:rPr>
                <w:rStyle w:val="hps"/>
              </w:rPr>
              <w:t>KfW</w:t>
            </w:r>
            <w:proofErr w:type="spellEnd"/>
            <w:r>
              <w:rPr>
                <w:rStyle w:val="hps"/>
              </w:rPr>
              <w:t xml:space="preserve"> group)</w:t>
            </w:r>
          </w:p>
        </w:tc>
        <w:tc>
          <w:tcPr>
            <w:tcW w:w="1417" w:type="dxa"/>
            <w:vAlign w:val="center"/>
          </w:tcPr>
          <w:p w:rsidR="00065632" w:rsidRPr="00EF526D" w:rsidRDefault="00065632" w:rsidP="00693AAF">
            <w:pPr>
              <w:keepNext/>
              <w:spacing w:after="0"/>
              <w:jc w:val="center"/>
              <w:rPr>
                <w:rStyle w:val="hps"/>
              </w:rPr>
            </w:pPr>
            <w:r>
              <w:rPr>
                <w:rStyle w:val="hps"/>
              </w:rPr>
              <w:t xml:space="preserve">Max. EUR 75,000 per housing unit </w:t>
            </w:r>
          </w:p>
        </w:tc>
        <w:tc>
          <w:tcPr>
            <w:tcW w:w="1559" w:type="dxa"/>
            <w:vAlign w:val="center"/>
          </w:tcPr>
          <w:p w:rsidR="00065632" w:rsidRDefault="00065632" w:rsidP="00693AAF">
            <w:pPr>
              <w:keepNext/>
              <w:spacing w:after="0"/>
              <w:jc w:val="center"/>
              <w:rPr>
                <w:rStyle w:val="hps"/>
              </w:rPr>
            </w:pPr>
            <w:r>
              <w:rPr>
                <w:rStyle w:val="hps"/>
              </w:rPr>
              <w:t xml:space="preserve">Combination of loan and subsidy financing. </w:t>
            </w:r>
          </w:p>
        </w:tc>
        <w:tc>
          <w:tcPr>
            <w:tcW w:w="2268" w:type="dxa"/>
            <w:vAlign w:val="center"/>
          </w:tcPr>
          <w:p w:rsidR="00065632" w:rsidRPr="00EF526D" w:rsidRDefault="00065632" w:rsidP="00693AAF">
            <w:pPr>
              <w:keepNext/>
              <w:spacing w:after="0"/>
              <w:rPr>
                <w:rStyle w:val="hps"/>
              </w:rPr>
            </w:pPr>
            <w:r>
              <w:rPr>
                <w:rStyle w:val="hps"/>
              </w:rPr>
              <w:t>Fulfilment of defined conditions of savings (described in more details in the description below in the respective chapter)</w:t>
            </w:r>
          </w:p>
        </w:tc>
      </w:tr>
      <w:tr w:rsidR="00065632" w:rsidRPr="00EF526D">
        <w:tc>
          <w:tcPr>
            <w:tcW w:w="9747" w:type="dxa"/>
            <w:gridSpan w:val="6"/>
            <w:shd w:val="clear" w:color="auto" w:fill="72C7E7"/>
            <w:vAlign w:val="center"/>
          </w:tcPr>
          <w:p w:rsidR="00065632" w:rsidRPr="00EF526D" w:rsidRDefault="00065632" w:rsidP="00693AAF">
            <w:pPr>
              <w:keepNext/>
              <w:spacing w:after="0"/>
              <w:jc w:val="center"/>
              <w:rPr>
                <w:rStyle w:val="hps"/>
              </w:rPr>
            </w:pPr>
            <w:r>
              <w:rPr>
                <w:rStyle w:val="hps"/>
              </w:rPr>
              <w:t>Slovakia</w:t>
            </w:r>
          </w:p>
        </w:tc>
      </w:tr>
      <w:tr w:rsidR="00065632" w:rsidRPr="00EF526D">
        <w:tc>
          <w:tcPr>
            <w:tcW w:w="1751" w:type="dxa"/>
            <w:vAlign w:val="center"/>
          </w:tcPr>
          <w:p w:rsidR="00065632" w:rsidRPr="00EF526D" w:rsidRDefault="00065632" w:rsidP="00693AAF">
            <w:pPr>
              <w:keepNext/>
              <w:spacing w:after="0"/>
              <w:jc w:val="center"/>
              <w:rPr>
                <w:rStyle w:val="hps"/>
              </w:rPr>
            </w:pPr>
            <w:r>
              <w:rPr>
                <w:rStyle w:val="hps"/>
              </w:rPr>
              <w:t xml:space="preserve">Environmental Fund </w:t>
            </w:r>
          </w:p>
        </w:tc>
        <w:tc>
          <w:tcPr>
            <w:tcW w:w="1570" w:type="dxa"/>
            <w:vAlign w:val="center"/>
          </w:tcPr>
          <w:p w:rsidR="00065632" w:rsidRPr="00EF526D" w:rsidRDefault="00065632" w:rsidP="00693AAF">
            <w:pPr>
              <w:keepNext/>
              <w:spacing w:after="0"/>
              <w:jc w:val="center"/>
              <w:rPr>
                <w:rStyle w:val="hps"/>
              </w:rPr>
            </w:pPr>
            <w:r>
              <w:rPr>
                <w:rStyle w:val="hps"/>
              </w:rPr>
              <w:t>All long-term aided ecology projects</w:t>
            </w:r>
          </w:p>
        </w:tc>
        <w:tc>
          <w:tcPr>
            <w:tcW w:w="1182" w:type="dxa"/>
            <w:vAlign w:val="center"/>
          </w:tcPr>
          <w:p w:rsidR="00065632" w:rsidRPr="00EF526D" w:rsidRDefault="00065632" w:rsidP="00693AAF">
            <w:pPr>
              <w:keepNext/>
              <w:spacing w:after="0"/>
              <w:jc w:val="center"/>
              <w:rPr>
                <w:rStyle w:val="hps"/>
              </w:rPr>
            </w:pPr>
            <w:r>
              <w:rPr>
                <w:rStyle w:val="hps"/>
              </w:rPr>
              <w:t>EUR 6–10 million</w:t>
            </w:r>
          </w:p>
        </w:tc>
        <w:tc>
          <w:tcPr>
            <w:tcW w:w="1417" w:type="dxa"/>
            <w:vAlign w:val="center"/>
          </w:tcPr>
          <w:p w:rsidR="00065632" w:rsidRPr="00EF526D" w:rsidRDefault="00065632" w:rsidP="00693AAF">
            <w:pPr>
              <w:keepNext/>
              <w:spacing w:after="0"/>
              <w:jc w:val="center"/>
              <w:rPr>
                <w:rStyle w:val="hps"/>
              </w:rPr>
            </w:pPr>
          </w:p>
        </w:tc>
        <w:tc>
          <w:tcPr>
            <w:tcW w:w="1559" w:type="dxa"/>
            <w:vAlign w:val="center"/>
          </w:tcPr>
          <w:p w:rsidR="00065632" w:rsidRPr="00EF526D" w:rsidRDefault="00065632" w:rsidP="00693AAF">
            <w:pPr>
              <w:keepNext/>
              <w:spacing w:after="0"/>
              <w:jc w:val="center"/>
              <w:rPr>
                <w:rStyle w:val="hps"/>
              </w:rPr>
            </w:pPr>
            <w:r>
              <w:rPr>
                <w:rStyle w:val="hps"/>
              </w:rPr>
              <w:t xml:space="preserve">Loan financing </w:t>
            </w:r>
          </w:p>
        </w:tc>
        <w:tc>
          <w:tcPr>
            <w:tcW w:w="2268" w:type="dxa"/>
            <w:vAlign w:val="center"/>
          </w:tcPr>
          <w:p w:rsidR="00065632" w:rsidRPr="00747486" w:rsidRDefault="00065632" w:rsidP="00693AAF">
            <w:pPr>
              <w:keepNext/>
              <w:spacing w:after="0"/>
              <w:rPr>
                <w:rStyle w:val="hps"/>
              </w:rPr>
            </w:pPr>
            <w:r>
              <w:rPr>
                <w:rStyle w:val="hps"/>
              </w:rPr>
              <w:t>Length of the loan repayment, interest rate, guarantee for a loan 130% of the value</w:t>
            </w:r>
          </w:p>
        </w:tc>
      </w:tr>
      <w:tr w:rsidR="00065632" w:rsidRPr="00EF526D">
        <w:tc>
          <w:tcPr>
            <w:tcW w:w="1751" w:type="dxa"/>
            <w:vAlign w:val="center"/>
          </w:tcPr>
          <w:p w:rsidR="00065632" w:rsidRDefault="00065632" w:rsidP="00693AAF">
            <w:pPr>
              <w:keepNext/>
              <w:spacing w:after="0"/>
              <w:jc w:val="center"/>
              <w:rPr>
                <w:rStyle w:val="hps"/>
              </w:rPr>
            </w:pPr>
            <w:proofErr w:type="spellStart"/>
            <w:r>
              <w:rPr>
                <w:rStyle w:val="hps"/>
              </w:rPr>
              <w:t>Štátny</w:t>
            </w:r>
            <w:proofErr w:type="spellEnd"/>
            <w:r>
              <w:rPr>
                <w:rStyle w:val="hps"/>
              </w:rPr>
              <w:t xml:space="preserve"> fond </w:t>
            </w:r>
            <w:proofErr w:type="spellStart"/>
            <w:r>
              <w:rPr>
                <w:rStyle w:val="hps"/>
              </w:rPr>
              <w:t>rozvoja</w:t>
            </w:r>
            <w:proofErr w:type="spellEnd"/>
            <w:r>
              <w:rPr>
                <w:rStyle w:val="hps"/>
              </w:rPr>
              <w:t xml:space="preserve"> </w:t>
            </w:r>
            <w:proofErr w:type="spellStart"/>
            <w:r>
              <w:rPr>
                <w:rStyle w:val="hps"/>
              </w:rPr>
              <w:t>bývania</w:t>
            </w:r>
            <w:proofErr w:type="spellEnd"/>
            <w:r>
              <w:rPr>
                <w:rStyle w:val="hps"/>
              </w:rPr>
              <w:t>- JESSICA</w:t>
            </w:r>
          </w:p>
        </w:tc>
        <w:tc>
          <w:tcPr>
            <w:tcW w:w="1570" w:type="dxa"/>
            <w:vAlign w:val="center"/>
          </w:tcPr>
          <w:p w:rsidR="00065632" w:rsidRPr="00EF526D" w:rsidRDefault="00065632" w:rsidP="00693AAF">
            <w:pPr>
              <w:keepNext/>
              <w:spacing w:after="0"/>
              <w:jc w:val="center"/>
              <w:rPr>
                <w:rStyle w:val="hps"/>
              </w:rPr>
            </w:pPr>
            <w:r>
              <w:rPr>
                <w:rStyle w:val="hps"/>
              </w:rPr>
              <w:t>Renovation of residential buildings and thermal insulation</w:t>
            </w:r>
          </w:p>
        </w:tc>
        <w:tc>
          <w:tcPr>
            <w:tcW w:w="1182" w:type="dxa"/>
            <w:vAlign w:val="center"/>
          </w:tcPr>
          <w:p w:rsidR="00065632" w:rsidRDefault="00065632" w:rsidP="00693AAF">
            <w:pPr>
              <w:keepNext/>
              <w:spacing w:after="0"/>
              <w:jc w:val="center"/>
              <w:rPr>
                <w:rStyle w:val="hps"/>
              </w:rPr>
            </w:pPr>
          </w:p>
        </w:tc>
        <w:tc>
          <w:tcPr>
            <w:tcW w:w="1417" w:type="dxa"/>
            <w:vAlign w:val="center"/>
          </w:tcPr>
          <w:p w:rsidR="00065632" w:rsidRPr="00EF526D" w:rsidRDefault="00065632" w:rsidP="00693AAF">
            <w:pPr>
              <w:keepNext/>
              <w:spacing w:after="0"/>
              <w:jc w:val="center"/>
              <w:rPr>
                <w:rStyle w:val="hps"/>
              </w:rPr>
            </w:pPr>
            <w:r>
              <w:rPr>
                <w:rStyle w:val="hps"/>
              </w:rPr>
              <w:t>Max. EUR 200,000 calculated through GGE</w:t>
            </w:r>
          </w:p>
        </w:tc>
        <w:tc>
          <w:tcPr>
            <w:tcW w:w="1559" w:type="dxa"/>
            <w:vAlign w:val="center"/>
          </w:tcPr>
          <w:p w:rsidR="00065632" w:rsidRDefault="00065632" w:rsidP="00693AAF">
            <w:pPr>
              <w:keepNext/>
              <w:spacing w:after="0"/>
              <w:jc w:val="center"/>
              <w:rPr>
                <w:rStyle w:val="hps"/>
              </w:rPr>
            </w:pPr>
            <w:r>
              <w:rPr>
                <w:rStyle w:val="hps"/>
              </w:rPr>
              <w:t>Loan financing</w:t>
            </w:r>
          </w:p>
        </w:tc>
        <w:tc>
          <w:tcPr>
            <w:tcW w:w="2268" w:type="dxa"/>
            <w:vAlign w:val="center"/>
          </w:tcPr>
          <w:p w:rsidR="00065632" w:rsidRDefault="00065632" w:rsidP="00693AAF">
            <w:pPr>
              <w:keepNext/>
              <w:spacing w:after="0"/>
              <w:rPr>
                <w:rStyle w:val="hps"/>
              </w:rPr>
            </w:pPr>
            <w:r>
              <w:rPr>
                <w:rStyle w:val="hps"/>
              </w:rPr>
              <w:t>Form of aid:</w:t>
            </w:r>
          </w:p>
          <w:p w:rsidR="00065632" w:rsidRDefault="00065632" w:rsidP="00693AAF">
            <w:pPr>
              <w:keepNext/>
              <w:spacing w:after="0"/>
              <w:rPr>
                <w:rStyle w:val="hps"/>
              </w:rPr>
            </w:pPr>
            <w:r>
              <w:rPr>
                <w:rStyle w:val="hps"/>
              </w:rPr>
              <w:t xml:space="preserve">- </w:t>
            </w:r>
            <w:proofErr w:type="gramStart"/>
            <w:r>
              <w:rPr>
                <w:rStyle w:val="hps"/>
              </w:rPr>
              <w:t>interest</w:t>
            </w:r>
            <w:proofErr w:type="gramEnd"/>
            <w:r>
              <w:rPr>
                <w:rStyle w:val="hps"/>
              </w:rPr>
              <w:t xml:space="preserve"> rate 1.5% p.a.</w:t>
            </w:r>
          </w:p>
          <w:p w:rsidR="00065632" w:rsidRDefault="00065632" w:rsidP="00693AAF">
            <w:pPr>
              <w:keepNext/>
              <w:spacing w:after="0"/>
              <w:rPr>
                <w:rStyle w:val="hps"/>
              </w:rPr>
            </w:pPr>
            <w:r>
              <w:rPr>
                <w:rStyle w:val="hps"/>
              </w:rPr>
              <w:t>- loan maturity period no longer than 20 years</w:t>
            </w:r>
          </w:p>
          <w:p w:rsidR="00065632" w:rsidRPr="00522328" w:rsidRDefault="00065632" w:rsidP="00693AAF">
            <w:pPr>
              <w:keepNext/>
              <w:spacing w:after="0"/>
              <w:rPr>
                <w:rStyle w:val="hps"/>
              </w:rPr>
            </w:pPr>
            <w:r>
              <w:rPr>
                <w:rStyle w:val="hps"/>
              </w:rPr>
              <w:t>- loan amount up to 75% of eligible expenditure</w:t>
            </w:r>
          </w:p>
          <w:p w:rsidR="00065632" w:rsidRPr="00EF526D" w:rsidRDefault="00065632" w:rsidP="00693AAF">
            <w:pPr>
              <w:keepNext/>
              <w:spacing w:after="0"/>
              <w:rPr>
                <w:rStyle w:val="hps"/>
              </w:rPr>
            </w:pPr>
            <w:r>
              <w:rPr>
                <w:rStyle w:val="hps"/>
              </w:rPr>
              <w:t>- involvement of own resources of at least 25% of EE</w:t>
            </w:r>
          </w:p>
        </w:tc>
      </w:tr>
    </w:tbl>
    <w:p w:rsidR="00065632" w:rsidRPr="00EF526D" w:rsidRDefault="00065632" w:rsidP="00DA4E52">
      <w:pPr>
        <w:pStyle w:val="Titulek"/>
      </w:pPr>
      <w:bookmarkStart w:id="117" w:name="_Toc409795568"/>
      <w:bookmarkStart w:id="118" w:name="_Toc417655505"/>
      <w:bookmarkStart w:id="119" w:name="_Toc426033916"/>
      <w:r>
        <w:t xml:space="preserve">Table </w:t>
      </w:r>
      <w:r>
        <w:fldChar w:fldCharType="begin"/>
      </w:r>
      <w:r>
        <w:instrText xml:space="preserve"> SEQ Tabulka \* ARABIC </w:instrText>
      </w:r>
      <w:r>
        <w:fldChar w:fldCharType="separate"/>
      </w:r>
      <w:r>
        <w:rPr>
          <w:noProof/>
        </w:rPr>
        <w:t>7</w:t>
      </w:r>
      <w:r>
        <w:fldChar w:fldCharType="end"/>
      </w:r>
      <w:r>
        <w:t>: Comparison of basic attributes of selected IFIs abroad</w:t>
      </w:r>
      <w:bookmarkEnd w:id="117"/>
      <w:bookmarkEnd w:id="118"/>
      <w:bookmarkEnd w:id="119"/>
      <w:r>
        <w:t xml:space="preserve"> </w:t>
      </w:r>
    </w:p>
    <w:p w:rsidR="00065632" w:rsidRPr="00852E78" w:rsidRDefault="00065632" w:rsidP="00DA4E52">
      <w:pPr>
        <w:pStyle w:val="CaptionIntroductionparagraph"/>
        <w:rPr>
          <w:rStyle w:val="Odkazintenzivn"/>
          <w:b/>
          <w:bCs/>
          <w:smallCaps w:val="0"/>
          <w:color w:val="00A1DE"/>
        </w:rPr>
      </w:pPr>
      <w:r>
        <w:lastRenderedPageBreak/>
        <w:t>Great Britain – London Green Fund</w:t>
      </w:r>
      <w:r>
        <w:rPr>
          <w:rStyle w:val="Odkazintenzivn"/>
          <w:color w:val="00A1DE"/>
        </w:rPr>
        <w:t xml:space="preserve"> </w:t>
      </w:r>
    </w:p>
    <w:p w:rsidR="00065632" w:rsidRPr="00EF526D" w:rsidRDefault="00065632" w:rsidP="00DA4E52">
      <w:r>
        <w:t xml:space="preserve">London Green fund (hereinafter only LGF) was established in 2009. It is a holding fund, in which funds were deposited of the European Fund for Regional Development in the amount of £ 50 million, London Development Agency (hereinafter only LDA) in the amount of £ 32 million and the municipality-owned London Waste and Recycling Board (hereinafter only LWARB) in the amount of £ 18 million. </w:t>
      </w:r>
    </w:p>
    <w:p w:rsidR="00065632" w:rsidRPr="00EF526D" w:rsidRDefault="00065632" w:rsidP="00DA4E52">
      <w:r>
        <w:t xml:space="preserve">LGF invests financial funds in two smaller funds (Fund of Municipal Development), which are managed separately and invest directly in projects reducing energy intensity of carbon emissions. They are “revolving” investment funds, in which funds are invested within a single project and after repayment they are reinvested in new projects. A total of £ 50 million (Energy Efficiency Urban Development Fund) and £ 35 million (Waste Urban Development Fund), which is rather known as the Foresight Environmental Fund, was invested in the revolving funds. </w:t>
      </w:r>
    </w:p>
    <w:p w:rsidR="00065632" w:rsidRPr="00EF526D" w:rsidRDefault="00065632" w:rsidP="00DA4E52">
      <w:r>
        <w:t>The Energy Efficiency Fund, which was established in August 2011, provides particularly debt financing (or capital financing, where appropriate) of the projects for the adjustment or reconstruction of the existing public and private buildings, which shall reduce their energy intensity, and introducing decentralised energy systems. The individual projects may draw loans from £ 3.5 million to £ 14 million (£ 14 million in social housing) with the maximum repayment period of 10 years.</w:t>
      </w:r>
    </w:p>
    <w:p w:rsidR="00065632" w:rsidRPr="00EF526D" w:rsidRDefault="00560258" w:rsidP="00CE41CE">
      <w:pPr>
        <w:jc w:val="center"/>
        <w:rPr>
          <w:rStyle w:val="hps"/>
          <w:color w:val="222222"/>
        </w:rPr>
      </w:pPr>
      <w:r>
        <w:rPr>
          <w:noProof/>
          <w:color w:val="222222"/>
          <w:lang w:val="cs-CZ" w:eastAsia="cs-CZ"/>
        </w:rPr>
        <w:drawing>
          <wp:inline distT="0" distB="0" distL="0" distR="0">
            <wp:extent cx="4962525" cy="2714625"/>
            <wp:effectExtent l="0" t="0" r="9525" b="9525"/>
            <wp:docPr id="16" name="Picture 7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962525" cy="2714625"/>
                    </a:xfrm>
                    <a:prstGeom prst="rect">
                      <a:avLst/>
                    </a:prstGeom>
                    <a:noFill/>
                    <a:ln>
                      <a:noFill/>
                    </a:ln>
                  </pic:spPr>
                </pic:pic>
              </a:graphicData>
            </a:graphic>
          </wp:inline>
        </w:drawing>
      </w:r>
    </w:p>
    <w:p w:rsidR="00065632" w:rsidRDefault="00065632" w:rsidP="00DA4E52">
      <w:pPr>
        <w:pStyle w:val="Titulek"/>
      </w:pPr>
      <w:bookmarkStart w:id="120" w:name="_Toc402012888"/>
      <w:bookmarkStart w:id="121" w:name="_Toc409795572"/>
      <w:bookmarkStart w:id="122" w:name="_Toc417655523"/>
      <w:bookmarkStart w:id="123" w:name="_Toc426033934"/>
      <w:r>
        <w:t xml:space="preserve">Figure </w:t>
      </w:r>
      <w:r>
        <w:fldChar w:fldCharType="begin"/>
      </w:r>
      <w:r>
        <w:instrText xml:space="preserve"> SEQ Obrázek \* ARABIC </w:instrText>
      </w:r>
      <w:r>
        <w:fldChar w:fldCharType="separate"/>
      </w:r>
      <w:r>
        <w:rPr>
          <w:noProof/>
        </w:rPr>
        <w:t>9</w:t>
      </w:r>
      <w:r>
        <w:fldChar w:fldCharType="end"/>
      </w:r>
      <w:r>
        <w:t>: Functional diagram of London Green Fund arrangement</w:t>
      </w:r>
      <w:bookmarkEnd w:id="120"/>
      <w:bookmarkEnd w:id="121"/>
      <w:bookmarkEnd w:id="122"/>
      <w:bookmarkEnd w:id="123"/>
    </w:p>
    <w:p w:rsidR="00065632" w:rsidRDefault="00065632" w:rsidP="00912E5D"/>
    <w:p w:rsidR="00065632" w:rsidRDefault="00065632" w:rsidP="00912E5D"/>
    <w:p w:rsidR="00065632" w:rsidRPr="00912E5D" w:rsidRDefault="00065632" w:rsidP="00912E5D">
      <w:pPr>
        <w:rPr>
          <w:highlight w:val="yellow"/>
        </w:rPr>
      </w:pPr>
      <w:r w:rsidRPr="00912E5D">
        <w:rPr>
          <w:highlight w:val="yellow"/>
        </w:rPr>
        <w:t>London Waste and Recycling Board £18 million – London Development Agency £13 million – European Regional Development Fund £50 million</w:t>
      </w:r>
    </w:p>
    <w:p w:rsidR="00065632" w:rsidRPr="00912E5D" w:rsidRDefault="00065632" w:rsidP="00912E5D">
      <w:pPr>
        <w:rPr>
          <w:highlight w:val="yellow"/>
        </w:rPr>
      </w:pPr>
    </w:p>
    <w:p w:rsidR="00065632" w:rsidRPr="00912E5D" w:rsidRDefault="00065632" w:rsidP="00912E5D">
      <w:pPr>
        <w:rPr>
          <w:highlight w:val="yellow"/>
        </w:rPr>
      </w:pPr>
      <w:r w:rsidRPr="00912E5D">
        <w:rPr>
          <w:highlight w:val="yellow"/>
        </w:rPr>
        <w:t xml:space="preserve">London Green Fund </w:t>
      </w:r>
    </w:p>
    <w:p w:rsidR="00065632" w:rsidRPr="00912E5D" w:rsidRDefault="00065632" w:rsidP="00912E5D">
      <w:pPr>
        <w:rPr>
          <w:highlight w:val="yellow"/>
        </w:rPr>
      </w:pPr>
    </w:p>
    <w:p w:rsidR="00065632" w:rsidRPr="00912E5D" w:rsidRDefault="00065632" w:rsidP="00912E5D">
      <w:pPr>
        <w:rPr>
          <w:highlight w:val="yellow"/>
        </w:rPr>
      </w:pPr>
      <w:r w:rsidRPr="00912E5D">
        <w:rPr>
          <w:highlight w:val="yellow"/>
        </w:rPr>
        <w:t>Under preparation</w:t>
      </w:r>
    </w:p>
    <w:p w:rsidR="00065632" w:rsidRPr="00912E5D" w:rsidRDefault="00065632" w:rsidP="00912E5D">
      <w:pPr>
        <w:rPr>
          <w:highlight w:val="yellow"/>
        </w:rPr>
      </w:pPr>
    </w:p>
    <w:p w:rsidR="00065632" w:rsidRPr="00912E5D" w:rsidRDefault="00065632" w:rsidP="00912E5D">
      <w:pPr>
        <w:rPr>
          <w:highlight w:val="yellow"/>
        </w:rPr>
      </w:pPr>
      <w:r w:rsidRPr="00912E5D">
        <w:rPr>
          <w:highlight w:val="yellow"/>
        </w:rPr>
        <w:t>European Investment Bank</w:t>
      </w:r>
    </w:p>
    <w:p w:rsidR="00065632" w:rsidRPr="00912E5D" w:rsidRDefault="00065632" w:rsidP="00912E5D">
      <w:pPr>
        <w:rPr>
          <w:highlight w:val="yellow"/>
        </w:rPr>
      </w:pPr>
    </w:p>
    <w:p w:rsidR="00065632" w:rsidRPr="00912E5D" w:rsidRDefault="00065632" w:rsidP="00912E5D">
      <w:pPr>
        <w:rPr>
          <w:highlight w:val="yellow"/>
        </w:rPr>
      </w:pPr>
      <w:r w:rsidRPr="00912E5D">
        <w:rPr>
          <w:highlight w:val="yellow"/>
        </w:rPr>
        <w:t>£35 million Waste Urban Development Fund -&gt; equity</w:t>
      </w:r>
    </w:p>
    <w:p w:rsidR="00065632" w:rsidRPr="00912E5D" w:rsidRDefault="00065632" w:rsidP="00912E5D">
      <w:pPr>
        <w:rPr>
          <w:highlight w:val="yellow"/>
        </w:rPr>
      </w:pPr>
      <w:r w:rsidRPr="00912E5D">
        <w:rPr>
          <w:highlight w:val="yellow"/>
        </w:rPr>
        <w:t>£50 million Energy Efficiency Urban Development Fund -&gt; loan</w:t>
      </w:r>
    </w:p>
    <w:p w:rsidR="00065632" w:rsidRPr="00912E5D" w:rsidRDefault="00065632" w:rsidP="00912E5D">
      <w:pPr>
        <w:rPr>
          <w:highlight w:val="yellow"/>
        </w:rPr>
      </w:pPr>
      <w:r w:rsidRPr="00912E5D">
        <w:rPr>
          <w:highlight w:val="yellow"/>
        </w:rPr>
        <w:lastRenderedPageBreak/>
        <w:t>£12 million Green Housing Urban Development Fund</w:t>
      </w:r>
    </w:p>
    <w:p w:rsidR="00065632" w:rsidRPr="00912E5D" w:rsidRDefault="00065632" w:rsidP="00912E5D">
      <w:pPr>
        <w:rPr>
          <w:highlight w:val="yellow"/>
        </w:rPr>
      </w:pPr>
    </w:p>
    <w:p w:rsidR="00065632" w:rsidRPr="00912E5D" w:rsidRDefault="00065632" w:rsidP="00912E5D">
      <w:pPr>
        <w:rPr>
          <w:highlight w:val="yellow"/>
        </w:rPr>
      </w:pPr>
      <w:r w:rsidRPr="00912E5D">
        <w:rPr>
          <w:highlight w:val="yellow"/>
        </w:rPr>
        <w:t>Private investors</w:t>
      </w:r>
    </w:p>
    <w:p w:rsidR="00065632" w:rsidRPr="00912E5D" w:rsidRDefault="00065632" w:rsidP="00912E5D">
      <w:pPr>
        <w:rPr>
          <w:highlight w:val="yellow"/>
        </w:rPr>
      </w:pPr>
    </w:p>
    <w:p w:rsidR="00065632" w:rsidRPr="00912E5D" w:rsidRDefault="00065632" w:rsidP="00912E5D">
      <w:pPr>
        <w:rPr>
          <w:highlight w:val="yellow"/>
        </w:rPr>
      </w:pPr>
      <w:r w:rsidRPr="00912E5D">
        <w:rPr>
          <w:highlight w:val="yellow"/>
        </w:rPr>
        <w:t>Project</w:t>
      </w:r>
    </w:p>
    <w:p w:rsidR="00065632" w:rsidRPr="00912E5D" w:rsidRDefault="00065632" w:rsidP="00912E5D">
      <w:pPr>
        <w:rPr>
          <w:highlight w:val="yellow"/>
        </w:rPr>
      </w:pPr>
    </w:p>
    <w:p w:rsidR="00065632" w:rsidRPr="0057251F" w:rsidRDefault="00065632" w:rsidP="00912E5D">
      <w:r w:rsidRPr="00912E5D">
        <w:rPr>
          <w:highlight w:val="yellow"/>
        </w:rPr>
        <w:t>High risk / high return</w:t>
      </w:r>
      <w:r w:rsidRPr="00912E5D">
        <w:rPr>
          <w:highlight w:val="yellow"/>
        </w:rPr>
        <w:tab/>
      </w:r>
      <w:r w:rsidRPr="00912E5D">
        <w:rPr>
          <w:highlight w:val="yellow"/>
        </w:rPr>
        <w:tab/>
      </w:r>
      <w:r w:rsidRPr="00912E5D">
        <w:rPr>
          <w:highlight w:val="yellow"/>
        </w:rPr>
        <w:tab/>
        <w:t>Low risk / low return</w:t>
      </w:r>
    </w:p>
    <w:p w:rsidR="00065632" w:rsidRPr="00912E5D" w:rsidRDefault="00065632" w:rsidP="00912E5D"/>
    <w:p w:rsidR="00065632" w:rsidRPr="00EF526D" w:rsidRDefault="00065632" w:rsidP="00DA4E52">
      <w:r>
        <w:t xml:space="preserve">LGF operation will be terminated at the end of 2015, but its successor is already being prepared, which is to be its direct follower with the assistance of the European and Structural Funds. In the period 2015-2020 the successor fund shall aid particularly construction of facilitates for waste recycling in the spirit of the European Commission's target to recycle 70% of the municipal waste by 2030. In London alone, this means the construction of 40 new recycling facilities. </w:t>
      </w:r>
    </w:p>
    <w:p w:rsidR="00065632" w:rsidRPr="00EF526D" w:rsidRDefault="00065632" w:rsidP="00DA4E52">
      <w:pPr>
        <w:rPr>
          <w:b/>
          <w:bCs/>
        </w:rPr>
      </w:pPr>
      <w:r>
        <w:t xml:space="preserve">The current LWARB's plans speak about allocation of £ 20 million until 2020, of which </w:t>
      </w:r>
      <w:r>
        <w:rPr>
          <w:b/>
          <w:bCs/>
        </w:rPr>
        <w:t>£ 7 million</w:t>
      </w:r>
      <w:r>
        <w:t xml:space="preserve"> in the form of the equity in the successor fund (working name LGF2) and the remaining funds in the form of debt financing and direct venture capital investments.</w:t>
      </w:r>
    </w:p>
    <w:p w:rsidR="00065632" w:rsidRDefault="00065632" w:rsidP="00DA4E52">
      <w:pPr>
        <w:rPr>
          <w:b/>
          <w:bCs/>
        </w:rPr>
      </w:pPr>
      <w:r>
        <w:t>In addition to LGF, LWARB also ensures the Infrastructure Investment Programme (IIP), where it only provides debt financing.</w:t>
      </w:r>
    </w:p>
    <w:p w:rsidR="00065632" w:rsidRPr="00403C49" w:rsidRDefault="00065632" w:rsidP="00DA4E52">
      <w:pPr>
        <w:pStyle w:val="CaptionIntroductionparagraph"/>
      </w:pPr>
      <w:r>
        <w:t xml:space="preserve">Poland </w:t>
      </w:r>
    </w:p>
    <w:p w:rsidR="00065632" w:rsidRPr="00B5430B" w:rsidRDefault="00065632" w:rsidP="00DA4E52">
      <w:r>
        <w:t>National and regional funds for protection of the environment and water management were established in Poland in 1989 within the post-socialist transformation of the country. The whole mechanism of financing the investment projects is based on these funds.</w:t>
      </w:r>
    </w:p>
    <w:p w:rsidR="00065632" w:rsidRDefault="00065632" w:rsidP="00DA4E52">
      <w:pPr>
        <w:pStyle w:val="Highlight3"/>
        <w:rPr>
          <w:shd w:val="clear" w:color="auto" w:fill="FFFFFF"/>
        </w:rPr>
      </w:pPr>
    </w:p>
    <w:p w:rsidR="00065632" w:rsidRDefault="00065632" w:rsidP="00DA4E52">
      <w:pPr>
        <w:pStyle w:val="Highlight3"/>
        <w:rPr>
          <w:shd w:val="clear" w:color="auto" w:fill="FFFFFF"/>
        </w:rPr>
      </w:pPr>
    </w:p>
    <w:p w:rsidR="00065632" w:rsidRPr="00EF526D" w:rsidRDefault="00065632" w:rsidP="00DA4E52">
      <w:pPr>
        <w:pStyle w:val="Highlight3"/>
        <w:rPr>
          <w:shd w:val="clear" w:color="auto" w:fill="FFFFFF"/>
        </w:rPr>
      </w:pPr>
      <w:proofErr w:type="spellStart"/>
      <w:r>
        <w:t>Narodowy</w:t>
      </w:r>
      <w:proofErr w:type="spellEnd"/>
      <w:r>
        <w:t xml:space="preserve"> </w:t>
      </w:r>
      <w:proofErr w:type="spellStart"/>
      <w:r>
        <w:t>Fundusz</w:t>
      </w:r>
      <w:proofErr w:type="spellEnd"/>
      <w:r>
        <w:t xml:space="preserve"> </w:t>
      </w:r>
      <w:proofErr w:type="spellStart"/>
      <w:r>
        <w:t>Ochrony</w:t>
      </w:r>
      <w:proofErr w:type="spellEnd"/>
      <w:r>
        <w:t xml:space="preserve"> </w:t>
      </w:r>
      <w:proofErr w:type="spellStart"/>
      <w:r>
        <w:t>Środowiska</w:t>
      </w:r>
      <w:proofErr w:type="spellEnd"/>
      <w:r>
        <w:t xml:space="preserve"> </w:t>
      </w:r>
      <w:proofErr w:type="spellStart"/>
      <w:r>
        <w:t>i</w:t>
      </w:r>
      <w:proofErr w:type="spellEnd"/>
      <w:r>
        <w:t xml:space="preserve"> </w:t>
      </w:r>
      <w:proofErr w:type="spellStart"/>
      <w:r>
        <w:t>Gospodarki</w:t>
      </w:r>
      <w:proofErr w:type="spellEnd"/>
      <w:r>
        <w:t xml:space="preserve"> </w:t>
      </w:r>
      <w:proofErr w:type="spellStart"/>
      <w:r>
        <w:t>Wodnej</w:t>
      </w:r>
      <w:proofErr w:type="spellEnd"/>
    </w:p>
    <w:p w:rsidR="00065632" w:rsidRPr="00EF526D" w:rsidRDefault="00065632" w:rsidP="00DA4E52">
      <w:pPr>
        <w:rPr>
          <w:b/>
          <w:bCs/>
        </w:rPr>
      </w:pPr>
      <w:r>
        <w:t xml:space="preserve">The European grant funds in the amount of € 3,808.2 million within </w:t>
      </w:r>
      <w:proofErr w:type="spellStart"/>
      <w:r>
        <w:t>Narodowy</w:t>
      </w:r>
      <w:proofErr w:type="spellEnd"/>
      <w:r>
        <w:t xml:space="preserve"> </w:t>
      </w:r>
      <w:proofErr w:type="spellStart"/>
      <w:r>
        <w:t>Fundusz</w:t>
      </w:r>
      <w:proofErr w:type="spellEnd"/>
      <w:r>
        <w:t xml:space="preserve"> </w:t>
      </w:r>
      <w:proofErr w:type="spellStart"/>
      <w:r>
        <w:t>Ochrony</w:t>
      </w:r>
      <w:proofErr w:type="spellEnd"/>
      <w:r>
        <w:t xml:space="preserve"> </w:t>
      </w:r>
      <w:proofErr w:type="spellStart"/>
      <w:r>
        <w:t>Środowiska</w:t>
      </w:r>
      <w:proofErr w:type="spellEnd"/>
      <w:r>
        <w:t xml:space="preserve"> </w:t>
      </w:r>
      <w:proofErr w:type="spellStart"/>
      <w:r>
        <w:t>i</w:t>
      </w:r>
      <w:proofErr w:type="spellEnd"/>
      <w:r>
        <w:t xml:space="preserve"> </w:t>
      </w:r>
      <w:proofErr w:type="spellStart"/>
      <w:r>
        <w:t>Gospodarki</w:t>
      </w:r>
      <w:proofErr w:type="spellEnd"/>
      <w:r>
        <w:t xml:space="preserve"> </w:t>
      </w:r>
      <w:proofErr w:type="spellStart"/>
      <w:r>
        <w:t>Wodnej</w:t>
      </w:r>
      <w:proofErr w:type="spellEnd"/>
      <w:r>
        <w:t xml:space="preserve"> (hereinafter “</w:t>
      </w:r>
      <w:proofErr w:type="spellStart"/>
      <w:r>
        <w:t>NFOSiGW</w:t>
      </w:r>
      <w:proofErr w:type="spellEnd"/>
      <w:r>
        <w:t>”) are projected for the programming period 2014–2020. The Cohesion Fund and the European Fund for Regional Development are the sources of funds. Other resources will be drawn by the national and regional funds from the Life+ programme, the Norwegian Financial Mechanism and the Mechanism of the European Economic Area.  Other funds are received by the fund by the sales of CO2 emission allowances allocated within the Kyoto Protocol.</w:t>
      </w:r>
    </w:p>
    <w:p w:rsidR="00065632" w:rsidRPr="00EF526D" w:rsidRDefault="00065632" w:rsidP="00DA4E52">
      <w:pPr>
        <w:rPr>
          <w:b/>
          <w:bCs/>
        </w:rPr>
      </w:pPr>
      <w:r>
        <w:t xml:space="preserve">In 2013, </w:t>
      </w:r>
      <w:proofErr w:type="spellStart"/>
      <w:r>
        <w:t>NFOSiGW</w:t>
      </w:r>
      <w:proofErr w:type="spellEnd"/>
      <w:r>
        <w:t xml:space="preserve"> provided financing in the amount of PLN 5.2 billion, in which nearly one half came from the European resources. The methods of the provided financing are particularly the following:</w:t>
      </w:r>
    </w:p>
    <w:p w:rsidR="00065632" w:rsidRPr="00BD7BD2" w:rsidRDefault="00065632" w:rsidP="00065632">
      <w:pPr>
        <w:pStyle w:val="Odstavecseseznamem"/>
        <w:numPr>
          <w:ilvl w:val="0"/>
          <w:numId w:val="43"/>
        </w:numPr>
        <w:rPr>
          <w:b/>
          <w:bCs/>
        </w:rPr>
      </w:pPr>
      <w:r>
        <w:t>Investment and non-investment subsidies</w:t>
      </w:r>
    </w:p>
    <w:p w:rsidR="00065632" w:rsidRPr="00BD7BD2" w:rsidRDefault="00065632" w:rsidP="00065632">
      <w:pPr>
        <w:pStyle w:val="Odstavecseseznamem"/>
        <w:numPr>
          <w:ilvl w:val="0"/>
          <w:numId w:val="43"/>
        </w:numPr>
        <w:rPr>
          <w:b/>
          <w:bCs/>
        </w:rPr>
      </w:pPr>
      <w:r>
        <w:t>Loans and credit lines</w:t>
      </w:r>
    </w:p>
    <w:p w:rsidR="00065632" w:rsidRPr="00BD7BD2" w:rsidRDefault="00065632" w:rsidP="00065632">
      <w:pPr>
        <w:pStyle w:val="Odstavecseseznamem"/>
        <w:numPr>
          <w:ilvl w:val="0"/>
          <w:numId w:val="43"/>
        </w:numPr>
        <w:rPr>
          <w:b/>
          <w:bCs/>
        </w:rPr>
      </w:pPr>
      <w:r>
        <w:t>Bank loans</w:t>
      </w:r>
    </w:p>
    <w:p w:rsidR="00065632" w:rsidRPr="00BD7BD2" w:rsidRDefault="00065632" w:rsidP="00065632">
      <w:pPr>
        <w:pStyle w:val="Odstavecseseznamem"/>
        <w:numPr>
          <w:ilvl w:val="0"/>
          <w:numId w:val="43"/>
        </w:numPr>
        <w:rPr>
          <w:b/>
          <w:bCs/>
        </w:rPr>
      </w:pPr>
      <w:r>
        <w:t>Concessions for rehabilitation of the environment after the termination of activities</w:t>
      </w:r>
    </w:p>
    <w:p w:rsidR="00065632" w:rsidRPr="00BD7BD2" w:rsidRDefault="00065632" w:rsidP="00065632">
      <w:pPr>
        <w:pStyle w:val="Odstavecseseznamem"/>
        <w:numPr>
          <w:ilvl w:val="0"/>
          <w:numId w:val="43"/>
        </w:numPr>
        <w:rPr>
          <w:b/>
          <w:bCs/>
        </w:rPr>
      </w:pPr>
      <w:r>
        <w:t>Equity investments</w:t>
      </w:r>
    </w:p>
    <w:p w:rsidR="00065632" w:rsidRPr="00BD7BD2" w:rsidRDefault="00065632" w:rsidP="00065632">
      <w:pPr>
        <w:pStyle w:val="Odstavecseseznamem"/>
        <w:numPr>
          <w:ilvl w:val="0"/>
          <w:numId w:val="43"/>
        </w:numPr>
        <w:rPr>
          <w:b/>
          <w:bCs/>
        </w:rPr>
      </w:pPr>
      <w:r>
        <w:t>Subsidies for the payment of bank interest</w:t>
      </w:r>
    </w:p>
    <w:p w:rsidR="00065632" w:rsidRPr="00ED6618" w:rsidRDefault="00065632" w:rsidP="00065632">
      <w:pPr>
        <w:pStyle w:val="Odstavecseseznamem"/>
        <w:numPr>
          <w:ilvl w:val="0"/>
          <w:numId w:val="43"/>
        </w:numPr>
        <w:rPr>
          <w:b/>
          <w:bCs/>
        </w:rPr>
      </w:pPr>
      <w:r>
        <w:t>Redemption of part of the principal of commercial loans</w:t>
      </w:r>
    </w:p>
    <w:p w:rsidR="00065632" w:rsidRPr="00EF526D" w:rsidRDefault="00065632" w:rsidP="00DA4E52">
      <w:pPr>
        <w:pStyle w:val="Highlight3"/>
      </w:pPr>
      <w:proofErr w:type="spellStart"/>
      <w:r>
        <w:t>Wojewódzki</w:t>
      </w:r>
      <w:proofErr w:type="spellEnd"/>
      <w:r>
        <w:t xml:space="preserve"> </w:t>
      </w:r>
      <w:proofErr w:type="spellStart"/>
      <w:r>
        <w:t>Fundusz</w:t>
      </w:r>
      <w:proofErr w:type="spellEnd"/>
      <w:r>
        <w:t xml:space="preserve"> </w:t>
      </w:r>
      <w:proofErr w:type="spellStart"/>
      <w:r>
        <w:t>Ochrony</w:t>
      </w:r>
      <w:proofErr w:type="spellEnd"/>
      <w:r>
        <w:t xml:space="preserve"> </w:t>
      </w:r>
      <w:proofErr w:type="spellStart"/>
      <w:r>
        <w:t>Środowiska</w:t>
      </w:r>
      <w:proofErr w:type="spellEnd"/>
      <w:r>
        <w:t xml:space="preserve"> </w:t>
      </w:r>
      <w:proofErr w:type="spellStart"/>
      <w:r>
        <w:t>i</w:t>
      </w:r>
      <w:proofErr w:type="spellEnd"/>
      <w:r>
        <w:t> </w:t>
      </w:r>
      <w:proofErr w:type="spellStart"/>
      <w:r>
        <w:t>Gospodarki</w:t>
      </w:r>
      <w:proofErr w:type="spellEnd"/>
      <w:r>
        <w:t xml:space="preserve"> </w:t>
      </w:r>
      <w:proofErr w:type="spellStart"/>
      <w:r>
        <w:t>Wodnej</w:t>
      </w:r>
      <w:proofErr w:type="spellEnd"/>
      <w:r>
        <w:t xml:space="preserve"> w </w:t>
      </w:r>
      <w:proofErr w:type="spellStart"/>
      <w:r>
        <w:t>Katowicach</w:t>
      </w:r>
      <w:proofErr w:type="spellEnd"/>
      <w:r>
        <w:t xml:space="preserve"> (</w:t>
      </w:r>
      <w:proofErr w:type="spellStart"/>
      <w:r>
        <w:t>WFOŚiGWvK</w:t>
      </w:r>
      <w:proofErr w:type="spellEnd"/>
      <w:r>
        <w:t>)</w:t>
      </w:r>
    </w:p>
    <w:p w:rsidR="00065632" w:rsidRPr="00EF526D" w:rsidRDefault="00065632" w:rsidP="00DA4E52">
      <w:pPr>
        <w:rPr>
          <w:b/>
          <w:bCs/>
        </w:rPr>
      </w:pPr>
      <w:r>
        <w:t xml:space="preserve">Each </w:t>
      </w:r>
      <w:proofErr w:type="spellStart"/>
      <w:r>
        <w:t>voivodeship</w:t>
      </w:r>
      <w:proofErr w:type="spellEnd"/>
      <w:r>
        <w:t xml:space="preserve"> has its fund operating on the same principle. The Fund of the Katowice </w:t>
      </w:r>
      <w:proofErr w:type="spellStart"/>
      <w:r>
        <w:t>Voivodeship</w:t>
      </w:r>
      <w:proofErr w:type="spellEnd"/>
      <w:r>
        <w:t xml:space="preserve"> was selected for the purposes of comparison. This fund was established in 1993 as a public financing institution implementing the ecological policy of the Silesian </w:t>
      </w:r>
      <w:proofErr w:type="spellStart"/>
      <w:r>
        <w:t>Voivodeship</w:t>
      </w:r>
      <w:proofErr w:type="spellEnd"/>
      <w:r>
        <w:t xml:space="preserve">. The fund aids ecological projects implemented by public and private entities using the European funds intended for the conservation of the environment and water management. In most cases, the fund aids projects by subsidies and loans and, </w:t>
      </w:r>
      <w:r>
        <w:lastRenderedPageBreak/>
        <w:t xml:space="preserve">subject to the </w:t>
      </w:r>
      <w:proofErr w:type="spellStart"/>
      <w:r>
        <w:t>voivod's</w:t>
      </w:r>
      <w:proofErr w:type="spellEnd"/>
      <w:r>
        <w:t xml:space="preserve"> consent, it may become an equity investor. The investment areas include particularly:</w:t>
      </w:r>
    </w:p>
    <w:p w:rsidR="00065632" w:rsidRPr="00BD7BD2" w:rsidRDefault="00065632" w:rsidP="00065632">
      <w:pPr>
        <w:pStyle w:val="Odstavecseseznamem"/>
        <w:numPr>
          <w:ilvl w:val="0"/>
          <w:numId w:val="44"/>
        </w:numPr>
        <w:rPr>
          <w:b/>
          <w:bCs/>
        </w:rPr>
      </w:pPr>
      <w:r>
        <w:t>Water and waste management;</w:t>
      </w:r>
    </w:p>
    <w:p w:rsidR="00065632" w:rsidRPr="00BD7BD2" w:rsidRDefault="00065632" w:rsidP="00065632">
      <w:pPr>
        <w:pStyle w:val="Odstavecseseznamem"/>
        <w:numPr>
          <w:ilvl w:val="0"/>
          <w:numId w:val="44"/>
        </w:numPr>
        <w:rPr>
          <w:b/>
          <w:bCs/>
        </w:rPr>
      </w:pPr>
      <w:r>
        <w:t>Waste management and waste recycling;</w:t>
      </w:r>
    </w:p>
    <w:p w:rsidR="00065632" w:rsidRPr="00BD7BD2" w:rsidRDefault="00065632" w:rsidP="00065632">
      <w:pPr>
        <w:pStyle w:val="Odstavecseseznamem"/>
        <w:numPr>
          <w:ilvl w:val="0"/>
          <w:numId w:val="44"/>
        </w:numPr>
        <w:rPr>
          <w:b/>
          <w:bCs/>
        </w:rPr>
      </w:pPr>
      <w:r>
        <w:t>Air protection;</w:t>
      </w:r>
    </w:p>
    <w:p w:rsidR="00065632" w:rsidRPr="00BD7BD2" w:rsidRDefault="00065632" w:rsidP="00065632">
      <w:pPr>
        <w:pStyle w:val="Odstavecseseznamem"/>
        <w:numPr>
          <w:ilvl w:val="0"/>
          <w:numId w:val="44"/>
        </w:numPr>
        <w:rPr>
          <w:b/>
          <w:bCs/>
        </w:rPr>
      </w:pPr>
      <w:r>
        <w:t>Liquidation of the consequences of accidents, pollutions and catastrophes.</w:t>
      </w:r>
    </w:p>
    <w:p w:rsidR="00065632" w:rsidRPr="00BD7BD2" w:rsidRDefault="00065632" w:rsidP="00DA4E52">
      <w:pPr>
        <w:rPr>
          <w:b/>
          <w:bCs/>
        </w:rPr>
      </w:pPr>
      <w:r>
        <w:t>In practice, the types of projects most frequently subsidised by the fund include:</w:t>
      </w:r>
    </w:p>
    <w:p w:rsidR="00065632" w:rsidRPr="00BD7BD2" w:rsidRDefault="00065632" w:rsidP="00065632">
      <w:pPr>
        <w:pStyle w:val="Odstavecseseznamem"/>
        <w:numPr>
          <w:ilvl w:val="0"/>
          <w:numId w:val="44"/>
        </w:numPr>
        <w:rPr>
          <w:b/>
          <w:bCs/>
        </w:rPr>
      </w:pPr>
      <w:r>
        <w:t>Thermal insulation of buildings;</w:t>
      </w:r>
    </w:p>
    <w:p w:rsidR="00065632" w:rsidRPr="00BD7BD2" w:rsidRDefault="00065632" w:rsidP="00065632">
      <w:pPr>
        <w:pStyle w:val="Odstavecseseznamem"/>
        <w:numPr>
          <w:ilvl w:val="0"/>
          <w:numId w:val="44"/>
        </w:numPr>
        <w:rPr>
          <w:b/>
          <w:bCs/>
        </w:rPr>
      </w:pPr>
      <w:r>
        <w:t>Asbestos liquidation;</w:t>
      </w:r>
    </w:p>
    <w:p w:rsidR="00065632" w:rsidRPr="00BD7BD2" w:rsidRDefault="00065632" w:rsidP="00065632">
      <w:pPr>
        <w:pStyle w:val="Odstavecseseznamem"/>
        <w:numPr>
          <w:ilvl w:val="0"/>
          <w:numId w:val="44"/>
        </w:numPr>
        <w:rPr>
          <w:b/>
          <w:bCs/>
        </w:rPr>
      </w:pPr>
      <w:r>
        <w:t>Ecological energy sources;</w:t>
      </w:r>
    </w:p>
    <w:p w:rsidR="00065632" w:rsidRPr="00BD7BD2" w:rsidRDefault="00065632" w:rsidP="00065632">
      <w:pPr>
        <w:pStyle w:val="Odstavecseseznamem"/>
        <w:numPr>
          <w:ilvl w:val="0"/>
          <w:numId w:val="44"/>
        </w:numPr>
        <w:rPr>
          <w:b/>
          <w:bCs/>
        </w:rPr>
      </w:pPr>
      <w:r>
        <w:t>Replacement of heating units.</w:t>
      </w:r>
    </w:p>
    <w:p w:rsidR="00065632" w:rsidRPr="00EF526D" w:rsidRDefault="00065632" w:rsidP="00DA4E52">
      <w:pPr>
        <w:rPr>
          <w:b/>
          <w:bCs/>
        </w:rPr>
      </w:pPr>
      <w:r>
        <w:t xml:space="preserve">EU funds and other international financing resources, which are supplemented from the central and regional budget, play the critical role in financing the fund. At the beginning, the Fund shall have PLN 1,225.5 billion and another PLN 155.8 billion shall flow in its budget during the year. The total expenditures for 2015 are estimated in the amount of PLN 493.5 billion (PLN 488.2 billion in 2014, PLN 374.8 billion in 2013). </w:t>
      </w:r>
    </w:p>
    <w:p w:rsidR="00065632" w:rsidRPr="00EF526D" w:rsidRDefault="00065632" w:rsidP="00DA4E52">
      <w:pPr>
        <w:rPr>
          <w:b/>
          <w:bCs/>
        </w:rPr>
      </w:pPr>
      <w:r>
        <w:t>The fund provides financing via financial instruments in the following forms:</w:t>
      </w:r>
    </w:p>
    <w:p w:rsidR="00065632" w:rsidRPr="00BD7BD2" w:rsidRDefault="00065632" w:rsidP="00DA4E52">
      <w:pPr>
        <w:rPr>
          <w:b/>
          <w:bCs/>
        </w:rPr>
      </w:pPr>
      <w:r>
        <w:rPr>
          <w:b/>
          <w:bCs/>
        </w:rPr>
        <w:t>Loans, including bridging loans</w:t>
      </w:r>
    </w:p>
    <w:p w:rsidR="00065632" w:rsidRPr="00EF526D" w:rsidRDefault="00065632" w:rsidP="00DA4E52">
      <w:pPr>
        <w:rPr>
          <w:b/>
          <w:bCs/>
        </w:rPr>
      </w:pPr>
      <w:proofErr w:type="gramStart"/>
      <w:r>
        <w:t>Up to the amount of 80% of the qualified costs, taking the ecological significance of the projects and possibilities of the Fund into consideration.</w:t>
      </w:r>
      <w:proofErr w:type="gramEnd"/>
      <w:r>
        <w:t xml:space="preserve"> In the case of a combination of a loan and subsidy, the total support may not exceed 80% of the eligible costs. Asbestos removal projects are an exception, and they may obtain 100% coverage of the costs. In the case of financing using the European funds the aid may not exceed 80% of the applicant's own resources.</w:t>
      </w:r>
    </w:p>
    <w:p w:rsidR="00065632" w:rsidRPr="00EF526D" w:rsidRDefault="00065632" w:rsidP="00DA4E52">
      <w:pPr>
        <w:rPr>
          <w:b/>
          <w:bCs/>
        </w:rPr>
      </w:pPr>
      <w:r>
        <w:t>The interest rate is derived as 0.95* repo rate published by the Polish Central Bank, however no more than 3.5%. The loan needs to be repaid within 3-12 years, providing that the first instalment is payable in 3-12 months after the completion of the project implementation. Bridging loans are subject to special conditions. The loan is granted via a cooperating bank, which is competent to evaluate the applicant's creditworthiness and is governed by standard procedures common in the banking sector.</w:t>
      </w:r>
    </w:p>
    <w:p w:rsidR="00065632" w:rsidRDefault="00065632" w:rsidP="00DA4E52">
      <w:pPr>
        <w:rPr>
          <w:b/>
          <w:bCs/>
        </w:rPr>
      </w:pPr>
    </w:p>
    <w:p w:rsidR="00065632" w:rsidRDefault="00065632" w:rsidP="00DA4E52">
      <w:pPr>
        <w:rPr>
          <w:b/>
          <w:bCs/>
        </w:rPr>
      </w:pPr>
    </w:p>
    <w:p w:rsidR="00065632" w:rsidRDefault="00065632" w:rsidP="00DA4E52">
      <w:pPr>
        <w:rPr>
          <w:b/>
          <w:bCs/>
        </w:rPr>
      </w:pPr>
    </w:p>
    <w:p w:rsidR="00065632" w:rsidRPr="00BD7BD2" w:rsidRDefault="00065632" w:rsidP="00DA4E52">
      <w:pPr>
        <w:rPr>
          <w:b/>
          <w:bCs/>
        </w:rPr>
      </w:pPr>
      <w:r>
        <w:rPr>
          <w:b/>
          <w:bCs/>
        </w:rPr>
        <w:t>Redemption of part of the drawn loan</w:t>
      </w:r>
    </w:p>
    <w:p w:rsidR="00065632" w:rsidRPr="00EF526D" w:rsidRDefault="00065632" w:rsidP="00DA4E52">
      <w:pPr>
        <w:rPr>
          <w:b/>
          <w:bCs/>
        </w:rPr>
      </w:pPr>
      <w:r>
        <w:t xml:space="preserve">The fund offers the redemption of part of the principal of a common commercial loan drawn by the applicant in connection with the project. The loan may be redeemed if the whole project has been completed according to the plan, it has brought the agreed ecological benefits in the corresponding time and also at least one half of the loan has been paid off. </w:t>
      </w:r>
    </w:p>
    <w:p w:rsidR="00065632" w:rsidRDefault="00065632" w:rsidP="00DA4E52">
      <w:r>
        <w:t xml:space="preserve">20% or as much as 40% (in some cases as much as 45%) of the loan may be redeemed as long as the debtor undertakes to reinvest the equivalent of the redeemed amount in another project of the aided type. </w:t>
      </w:r>
    </w:p>
    <w:p w:rsidR="00065632" w:rsidRPr="00BD7BD2" w:rsidRDefault="00065632" w:rsidP="00DA4E52">
      <w:pPr>
        <w:rPr>
          <w:b/>
          <w:bCs/>
        </w:rPr>
      </w:pPr>
      <w:r>
        <w:rPr>
          <w:b/>
          <w:bCs/>
        </w:rPr>
        <w:t>Subsidies for the reimbursement of interest expenses of a drawn loan</w:t>
      </w:r>
    </w:p>
    <w:p w:rsidR="00065632" w:rsidRPr="00EF526D" w:rsidRDefault="00065632" w:rsidP="00DA4E52">
      <w:pPr>
        <w:rPr>
          <w:b/>
          <w:bCs/>
        </w:rPr>
      </w:pPr>
      <w:r>
        <w:t>The subsidy is provided for the reimbursement of interest expenses from a loan reaching as much as 80% of eligible costs. Loan expenses whose interest rate does not exceed the triple of 3M WIBOR may be paid, providing that the fund shall not reimburse interest expenses exceeding 0.6*3M WIBOR. Only interest expenses of loans payable within 12 years from the project implementation may be subsidised.</w:t>
      </w:r>
    </w:p>
    <w:p w:rsidR="00065632" w:rsidRPr="00BD7BD2" w:rsidRDefault="00065632" w:rsidP="00DA4E52">
      <w:pPr>
        <w:rPr>
          <w:b/>
          <w:bCs/>
        </w:rPr>
      </w:pPr>
      <w:r>
        <w:rPr>
          <w:b/>
          <w:bCs/>
        </w:rPr>
        <w:t>Bank credit line</w:t>
      </w:r>
    </w:p>
    <w:p w:rsidR="00065632" w:rsidRPr="00EF526D" w:rsidRDefault="00065632" w:rsidP="00DA4E52">
      <w:pPr>
        <w:rPr>
          <w:b/>
          <w:bCs/>
        </w:rPr>
      </w:pPr>
      <w:proofErr w:type="gramStart"/>
      <w:r>
        <w:t>Financing of 90% of eligible investment expenses, however no more than PLN 300 thousand via a bank credit line.</w:t>
      </w:r>
      <w:proofErr w:type="gramEnd"/>
      <w:r>
        <w:t xml:space="preserve"> The loan rate is 0.95 repo rate, however no less than 3.5% p.a. The one-off commission of the bank is 1% of the granted line. </w:t>
      </w:r>
    </w:p>
    <w:p w:rsidR="00065632" w:rsidRPr="00EF526D" w:rsidRDefault="00065632" w:rsidP="00DA4E52">
      <w:pPr>
        <w:rPr>
          <w:b/>
          <w:bCs/>
        </w:rPr>
      </w:pPr>
      <w:r>
        <w:lastRenderedPageBreak/>
        <w:t>The line needs to be repaid within 3-12 years, providing that the first instalment is payable in 3-12 months after the completion of the project implementation. The whole project needs to be completed within 18 months after the provision of the credit line. The line is granted via a cooperating bank, which is competent to evaluate the applicant's creditworthiness and is governed by standard procedures common in the banking sector.</w:t>
      </w:r>
    </w:p>
    <w:p w:rsidR="00065632" w:rsidRPr="000C5272" w:rsidRDefault="00065632" w:rsidP="00DA4E52">
      <w:pPr>
        <w:pStyle w:val="CaptionIntroductionparagraph"/>
        <w:rPr>
          <w:lang w:val="de-DE"/>
        </w:rPr>
      </w:pPr>
      <w:r w:rsidRPr="000C5272">
        <w:rPr>
          <w:rStyle w:val="st1"/>
          <w:lang w:val="de-DE"/>
        </w:rPr>
        <w:t xml:space="preserve">Federal </w:t>
      </w:r>
      <w:proofErr w:type="spellStart"/>
      <w:r w:rsidRPr="000C5272">
        <w:rPr>
          <w:rStyle w:val="st1"/>
          <w:lang w:val="de-DE"/>
        </w:rPr>
        <w:t>Republic</w:t>
      </w:r>
      <w:proofErr w:type="spellEnd"/>
      <w:r w:rsidRPr="000C5272">
        <w:rPr>
          <w:rStyle w:val="st1"/>
          <w:lang w:val="de-DE"/>
        </w:rPr>
        <w:t xml:space="preserve"> </w:t>
      </w:r>
      <w:proofErr w:type="spellStart"/>
      <w:r w:rsidRPr="000C5272">
        <w:rPr>
          <w:rStyle w:val="st1"/>
          <w:lang w:val="de-DE"/>
        </w:rPr>
        <w:t>of</w:t>
      </w:r>
      <w:proofErr w:type="spellEnd"/>
      <w:r w:rsidRPr="000C5272">
        <w:rPr>
          <w:rStyle w:val="st1"/>
          <w:lang w:val="de-DE"/>
        </w:rPr>
        <w:t xml:space="preserve"> Germany</w:t>
      </w:r>
    </w:p>
    <w:p w:rsidR="00065632" w:rsidRPr="000C5272" w:rsidRDefault="00065632" w:rsidP="00DA4E52">
      <w:pPr>
        <w:pStyle w:val="Highlight3"/>
        <w:rPr>
          <w:lang w:val="de-DE"/>
        </w:rPr>
      </w:pPr>
      <w:r w:rsidRPr="000C5272">
        <w:rPr>
          <w:lang w:val="de-DE"/>
        </w:rPr>
        <w:t xml:space="preserve">Kreditanstalt für Wiederaufbau Bankengruppe </w:t>
      </w:r>
    </w:p>
    <w:p w:rsidR="00065632" w:rsidRDefault="00065632" w:rsidP="00DA4E52">
      <w:pPr>
        <w:rPr>
          <w:color w:val="222222"/>
        </w:rPr>
      </w:pPr>
      <w:r w:rsidRPr="000C5272">
        <w:rPr>
          <w:lang w:val="de-DE"/>
        </w:rPr>
        <w:t xml:space="preserve">Kreditanstalt für Wiederaufbau </w:t>
      </w:r>
      <w:proofErr w:type="spellStart"/>
      <w:r w:rsidRPr="00442487">
        <w:t>Bankengruppe</w:t>
      </w:r>
      <w:proofErr w:type="spellEnd"/>
      <w:r w:rsidRPr="00442487">
        <w:t xml:space="preserve"> (hereinafter “</w:t>
      </w:r>
      <w:proofErr w:type="spellStart"/>
      <w:r w:rsidRPr="00442487">
        <w:t>KfW</w:t>
      </w:r>
      <w:proofErr w:type="spellEnd"/>
      <w:r w:rsidRPr="00442487">
        <w:t xml:space="preserve">”) has been in operation in Germany since 1945. </w:t>
      </w:r>
      <w:proofErr w:type="spellStart"/>
      <w:r w:rsidRPr="00442487">
        <w:t>KfW</w:t>
      </w:r>
      <w:proofErr w:type="spellEnd"/>
      <w:r w:rsidRPr="00442487">
        <w:t xml:space="preserve"> is a government-supported bank. In the area of environmental measures it focuses on assistance for projects of private persons and house owners, lessors and housing associations interested in energy-saving reconstructions of older residential</w:t>
      </w:r>
      <w:r>
        <w:t xml:space="preserve"> buildings, mainly with grants or loans under advantageous conditions.</w:t>
      </w:r>
    </w:p>
    <w:p w:rsidR="00065632" w:rsidRPr="00EF526D" w:rsidRDefault="00065632" w:rsidP="00DA4E52">
      <w:pPr>
        <w:rPr>
          <w:rFonts w:ascii="Verdana" w:hAnsi="Verdana" w:cs="Verdana"/>
          <w:sz w:val="17"/>
          <w:szCs w:val="17"/>
        </w:rPr>
      </w:pPr>
      <w:r>
        <w:t>In most cases, the parameters that the building and its partial structure need to fulfil after the reconstruction are based on the Energy Saving Regulation (</w:t>
      </w:r>
      <w:proofErr w:type="spellStart"/>
      <w:r>
        <w:t>EnEV</w:t>
      </w:r>
      <w:proofErr w:type="spellEnd"/>
      <w:r>
        <w:t xml:space="preserve"> - from German </w:t>
      </w:r>
      <w:proofErr w:type="spellStart"/>
      <w:r>
        <w:t>Energieeinsparverordnung</w:t>
      </w:r>
      <w:proofErr w:type="spellEnd"/>
      <w:r>
        <w:t xml:space="preserve">). </w:t>
      </w:r>
      <w:r w:rsidRPr="00693AAF">
        <w:t xml:space="preserve">The grants or loans are provided to </w:t>
      </w:r>
      <w:proofErr w:type="spellStart"/>
      <w:r w:rsidRPr="00693AAF">
        <w:t>KfW</w:t>
      </w:r>
      <w:proofErr w:type="spellEnd"/>
      <w:r w:rsidRPr="00693AAF">
        <w:t xml:space="preserve"> applications for thermal insulations of walls, roofs and floor areas, replacements of windows and street doors, installations and restorations of ventilation systems, restorations of heating systems and heat distribution optimisation in the existing heating systems. </w:t>
      </w:r>
    </w:p>
    <w:p w:rsidR="00065632" w:rsidRPr="00693AAF" w:rsidRDefault="00065632" w:rsidP="00DA4E52">
      <w:r w:rsidRPr="00693AAF">
        <w:t xml:space="preserve">If a grant is provided, </w:t>
      </w:r>
      <w:proofErr w:type="spellStart"/>
      <w:r w:rsidRPr="00693AAF">
        <w:t>KfW</w:t>
      </w:r>
      <w:proofErr w:type="spellEnd"/>
      <w:r w:rsidRPr="00693AAF">
        <w:t xml:space="preserve"> sets the ceilings for 1 housing unit expressed in the following table:</w:t>
      </w:r>
    </w:p>
    <w:tbl>
      <w:tblPr>
        <w:tblW w:w="8108" w:type="dxa"/>
        <w:tblInd w:w="-56" w:type="dxa"/>
        <w:tblBorders>
          <w:bottom w:val="single" w:sz="4" w:space="0" w:color="92D400"/>
          <w:insideH w:val="single" w:sz="4" w:space="0" w:color="92D400"/>
        </w:tblBorders>
        <w:tblCellMar>
          <w:top w:w="28" w:type="dxa"/>
          <w:left w:w="28" w:type="dxa"/>
          <w:bottom w:w="28" w:type="dxa"/>
          <w:right w:w="28" w:type="dxa"/>
        </w:tblCellMar>
        <w:tblLook w:val="00A0" w:firstRow="1" w:lastRow="0" w:firstColumn="1" w:lastColumn="0" w:noHBand="0" w:noVBand="0"/>
      </w:tblPr>
      <w:tblGrid>
        <w:gridCol w:w="2880"/>
        <w:gridCol w:w="796"/>
        <w:gridCol w:w="2306"/>
        <w:gridCol w:w="2126"/>
      </w:tblGrid>
      <w:tr w:rsidR="00065632" w:rsidRPr="00EF526D">
        <w:tc>
          <w:tcPr>
            <w:tcW w:w="2880" w:type="dxa"/>
            <w:shd w:val="clear" w:color="auto" w:fill="92D400"/>
          </w:tcPr>
          <w:p w:rsidR="00065632" w:rsidRPr="00693AAF" w:rsidRDefault="00065632" w:rsidP="00693AAF">
            <w:pPr>
              <w:spacing w:after="0"/>
              <w:rPr>
                <w:b/>
                <w:bCs/>
                <w:color w:val="FFFFFF"/>
              </w:rPr>
            </w:pPr>
            <w:r w:rsidRPr="00693AAF">
              <w:rPr>
                <w:b/>
                <w:bCs/>
                <w:color w:val="FFFFFF"/>
              </w:rPr>
              <w:t>Level of aid</w:t>
            </w:r>
          </w:p>
        </w:tc>
        <w:tc>
          <w:tcPr>
            <w:tcW w:w="796" w:type="dxa"/>
            <w:shd w:val="clear" w:color="auto" w:fill="92D400"/>
          </w:tcPr>
          <w:p w:rsidR="00065632" w:rsidRPr="00693AAF" w:rsidRDefault="00065632" w:rsidP="00693AAF">
            <w:pPr>
              <w:spacing w:after="0"/>
              <w:rPr>
                <w:b/>
                <w:bCs/>
                <w:color w:val="FFFFFF"/>
              </w:rPr>
            </w:pPr>
          </w:p>
        </w:tc>
        <w:tc>
          <w:tcPr>
            <w:tcW w:w="2306" w:type="dxa"/>
            <w:shd w:val="clear" w:color="auto" w:fill="92D400"/>
          </w:tcPr>
          <w:p w:rsidR="00065632" w:rsidRPr="00693AAF" w:rsidRDefault="00065632" w:rsidP="00693AAF">
            <w:pPr>
              <w:spacing w:after="0"/>
              <w:rPr>
                <w:b/>
                <w:bCs/>
                <w:color w:val="FFFFFF"/>
              </w:rPr>
            </w:pPr>
            <w:r w:rsidRPr="00693AAF">
              <w:rPr>
                <w:b/>
                <w:bCs/>
                <w:color w:val="FFFFFF"/>
              </w:rPr>
              <w:t>Max grant amount [EUR]</w:t>
            </w:r>
          </w:p>
        </w:tc>
        <w:tc>
          <w:tcPr>
            <w:tcW w:w="2126" w:type="dxa"/>
            <w:shd w:val="clear" w:color="auto" w:fill="92D400"/>
          </w:tcPr>
          <w:p w:rsidR="00065632" w:rsidRPr="00693AAF" w:rsidRDefault="00065632" w:rsidP="00693AAF">
            <w:pPr>
              <w:spacing w:after="0"/>
              <w:rPr>
                <w:b/>
                <w:bCs/>
                <w:color w:val="FFFFFF"/>
              </w:rPr>
            </w:pPr>
            <w:r w:rsidRPr="00693AAF">
              <w:rPr>
                <w:b/>
                <w:bCs/>
                <w:color w:val="FFFFFF"/>
              </w:rPr>
              <w:t>Max grant amount [%]</w:t>
            </w:r>
          </w:p>
        </w:tc>
      </w:tr>
      <w:tr w:rsidR="00065632" w:rsidRPr="00EF526D">
        <w:tc>
          <w:tcPr>
            <w:tcW w:w="2880" w:type="dxa"/>
            <w:shd w:val="clear" w:color="auto" w:fill="FFFFFF"/>
          </w:tcPr>
          <w:p w:rsidR="00065632" w:rsidRPr="00693AAF" w:rsidRDefault="00065632" w:rsidP="00693AAF">
            <w:pPr>
              <w:spacing w:after="0"/>
            </w:pPr>
            <w:proofErr w:type="spellStart"/>
            <w:r>
              <w:t>KfW</w:t>
            </w:r>
            <w:proofErr w:type="spellEnd"/>
            <w:r>
              <w:t xml:space="preserve"> Efficient House 55</w:t>
            </w:r>
          </w:p>
        </w:tc>
        <w:tc>
          <w:tcPr>
            <w:tcW w:w="796" w:type="dxa"/>
            <w:shd w:val="clear" w:color="auto" w:fill="FFFFFF"/>
          </w:tcPr>
          <w:p w:rsidR="00065632" w:rsidRPr="00693AAF" w:rsidRDefault="00065632" w:rsidP="00693AAF">
            <w:pPr>
              <w:spacing w:after="0"/>
            </w:pPr>
          </w:p>
        </w:tc>
        <w:tc>
          <w:tcPr>
            <w:tcW w:w="2306" w:type="dxa"/>
            <w:shd w:val="clear" w:color="auto" w:fill="FFFFFF"/>
          </w:tcPr>
          <w:p w:rsidR="00065632" w:rsidRPr="00693AAF" w:rsidRDefault="00065632" w:rsidP="00693AAF">
            <w:pPr>
              <w:spacing w:after="0"/>
            </w:pPr>
            <w:r w:rsidRPr="00693AAF">
              <w:t>18750</w:t>
            </w:r>
          </w:p>
        </w:tc>
        <w:tc>
          <w:tcPr>
            <w:tcW w:w="2126" w:type="dxa"/>
            <w:shd w:val="clear" w:color="auto" w:fill="FFFFFF"/>
          </w:tcPr>
          <w:p w:rsidR="00065632" w:rsidRPr="00693AAF" w:rsidRDefault="00065632" w:rsidP="00693AAF">
            <w:pPr>
              <w:spacing w:after="0"/>
            </w:pPr>
            <w:r w:rsidRPr="00693AAF">
              <w:t>25</w:t>
            </w:r>
          </w:p>
        </w:tc>
      </w:tr>
      <w:tr w:rsidR="00065632" w:rsidRPr="00EF526D">
        <w:tc>
          <w:tcPr>
            <w:tcW w:w="2880" w:type="dxa"/>
            <w:shd w:val="clear" w:color="auto" w:fill="FFFFFF"/>
          </w:tcPr>
          <w:p w:rsidR="00065632" w:rsidRPr="00693AAF" w:rsidRDefault="00065632" w:rsidP="00693AAF">
            <w:pPr>
              <w:spacing w:after="0"/>
            </w:pPr>
            <w:proofErr w:type="spellStart"/>
            <w:r>
              <w:t>KfW</w:t>
            </w:r>
            <w:proofErr w:type="spellEnd"/>
            <w:r>
              <w:t xml:space="preserve"> Efficient House 70</w:t>
            </w:r>
          </w:p>
        </w:tc>
        <w:tc>
          <w:tcPr>
            <w:tcW w:w="796" w:type="dxa"/>
            <w:shd w:val="clear" w:color="auto" w:fill="FFFFFF"/>
          </w:tcPr>
          <w:p w:rsidR="00065632" w:rsidRPr="00693AAF" w:rsidRDefault="00065632" w:rsidP="00693AAF">
            <w:pPr>
              <w:spacing w:after="0"/>
            </w:pPr>
          </w:p>
        </w:tc>
        <w:tc>
          <w:tcPr>
            <w:tcW w:w="2306" w:type="dxa"/>
            <w:shd w:val="clear" w:color="auto" w:fill="FFFFFF"/>
          </w:tcPr>
          <w:p w:rsidR="00065632" w:rsidRPr="00693AAF" w:rsidRDefault="00065632" w:rsidP="00693AAF">
            <w:pPr>
              <w:spacing w:after="0"/>
            </w:pPr>
            <w:r w:rsidRPr="00693AAF">
              <w:t>15000</w:t>
            </w:r>
          </w:p>
        </w:tc>
        <w:tc>
          <w:tcPr>
            <w:tcW w:w="2126" w:type="dxa"/>
            <w:shd w:val="clear" w:color="auto" w:fill="FFFFFF"/>
          </w:tcPr>
          <w:p w:rsidR="00065632" w:rsidRPr="00693AAF" w:rsidRDefault="00065632" w:rsidP="00693AAF">
            <w:pPr>
              <w:spacing w:after="0"/>
            </w:pPr>
            <w:r w:rsidRPr="00693AAF">
              <w:t>20</w:t>
            </w:r>
          </w:p>
        </w:tc>
      </w:tr>
      <w:tr w:rsidR="00065632" w:rsidRPr="00EF526D">
        <w:tc>
          <w:tcPr>
            <w:tcW w:w="2880" w:type="dxa"/>
            <w:shd w:val="clear" w:color="auto" w:fill="FFFFFF"/>
          </w:tcPr>
          <w:p w:rsidR="00065632" w:rsidRPr="00693AAF" w:rsidRDefault="00065632" w:rsidP="00693AAF">
            <w:pPr>
              <w:spacing w:after="0"/>
            </w:pPr>
            <w:proofErr w:type="spellStart"/>
            <w:r>
              <w:t>KfW</w:t>
            </w:r>
            <w:proofErr w:type="spellEnd"/>
            <w:r>
              <w:t xml:space="preserve"> Efficient House 85</w:t>
            </w:r>
          </w:p>
        </w:tc>
        <w:tc>
          <w:tcPr>
            <w:tcW w:w="796" w:type="dxa"/>
            <w:shd w:val="clear" w:color="auto" w:fill="FFFFFF"/>
          </w:tcPr>
          <w:p w:rsidR="00065632" w:rsidRPr="00693AAF" w:rsidRDefault="00065632" w:rsidP="00693AAF">
            <w:pPr>
              <w:spacing w:after="0"/>
            </w:pPr>
          </w:p>
        </w:tc>
        <w:tc>
          <w:tcPr>
            <w:tcW w:w="2306" w:type="dxa"/>
            <w:shd w:val="clear" w:color="auto" w:fill="FFFFFF"/>
          </w:tcPr>
          <w:p w:rsidR="00065632" w:rsidRPr="00693AAF" w:rsidRDefault="00065632" w:rsidP="00693AAF">
            <w:pPr>
              <w:spacing w:after="0"/>
            </w:pPr>
            <w:r w:rsidRPr="00693AAF">
              <w:t>11250</w:t>
            </w:r>
          </w:p>
        </w:tc>
        <w:tc>
          <w:tcPr>
            <w:tcW w:w="2126" w:type="dxa"/>
            <w:shd w:val="clear" w:color="auto" w:fill="FFFFFF"/>
          </w:tcPr>
          <w:p w:rsidR="00065632" w:rsidRPr="00693AAF" w:rsidRDefault="00065632" w:rsidP="00693AAF">
            <w:pPr>
              <w:spacing w:after="0"/>
            </w:pPr>
            <w:r w:rsidRPr="00693AAF">
              <w:t>15</w:t>
            </w:r>
          </w:p>
        </w:tc>
      </w:tr>
      <w:tr w:rsidR="00065632" w:rsidRPr="00EF526D">
        <w:tc>
          <w:tcPr>
            <w:tcW w:w="2880" w:type="dxa"/>
            <w:shd w:val="clear" w:color="auto" w:fill="FFFFFF"/>
          </w:tcPr>
          <w:p w:rsidR="00065632" w:rsidRPr="00693AAF" w:rsidRDefault="00065632" w:rsidP="00693AAF">
            <w:pPr>
              <w:spacing w:after="0"/>
            </w:pPr>
            <w:proofErr w:type="spellStart"/>
            <w:r>
              <w:t>KfW</w:t>
            </w:r>
            <w:proofErr w:type="spellEnd"/>
            <w:r>
              <w:t xml:space="preserve"> Efficient House 100</w:t>
            </w:r>
          </w:p>
        </w:tc>
        <w:tc>
          <w:tcPr>
            <w:tcW w:w="796" w:type="dxa"/>
            <w:shd w:val="clear" w:color="auto" w:fill="FFFFFF"/>
          </w:tcPr>
          <w:p w:rsidR="00065632" w:rsidRPr="00693AAF" w:rsidRDefault="00065632" w:rsidP="00693AAF">
            <w:pPr>
              <w:spacing w:after="0"/>
            </w:pPr>
          </w:p>
        </w:tc>
        <w:tc>
          <w:tcPr>
            <w:tcW w:w="2306" w:type="dxa"/>
            <w:shd w:val="clear" w:color="auto" w:fill="FFFFFF"/>
          </w:tcPr>
          <w:p w:rsidR="00065632" w:rsidRPr="00693AAF" w:rsidRDefault="00065632" w:rsidP="00693AAF">
            <w:pPr>
              <w:spacing w:after="0"/>
            </w:pPr>
            <w:r w:rsidRPr="00693AAF">
              <w:t>9375</w:t>
            </w:r>
          </w:p>
        </w:tc>
        <w:tc>
          <w:tcPr>
            <w:tcW w:w="2126" w:type="dxa"/>
            <w:shd w:val="clear" w:color="auto" w:fill="FFFFFF"/>
          </w:tcPr>
          <w:p w:rsidR="00065632" w:rsidRPr="00693AAF" w:rsidRDefault="00065632" w:rsidP="00693AAF">
            <w:pPr>
              <w:spacing w:after="0"/>
            </w:pPr>
            <w:r w:rsidRPr="00693AAF">
              <w:t>12.5</w:t>
            </w:r>
          </w:p>
        </w:tc>
      </w:tr>
      <w:tr w:rsidR="00065632" w:rsidRPr="00EF526D">
        <w:tc>
          <w:tcPr>
            <w:tcW w:w="2880" w:type="dxa"/>
            <w:shd w:val="clear" w:color="auto" w:fill="FFFFFF"/>
          </w:tcPr>
          <w:p w:rsidR="00065632" w:rsidRPr="00693AAF" w:rsidRDefault="00065632" w:rsidP="00693AAF">
            <w:pPr>
              <w:spacing w:after="0"/>
            </w:pPr>
            <w:proofErr w:type="spellStart"/>
            <w:r>
              <w:t>KfW</w:t>
            </w:r>
            <w:proofErr w:type="spellEnd"/>
            <w:r>
              <w:t xml:space="preserve"> Efficient House 115</w:t>
            </w:r>
          </w:p>
        </w:tc>
        <w:tc>
          <w:tcPr>
            <w:tcW w:w="796" w:type="dxa"/>
            <w:shd w:val="clear" w:color="auto" w:fill="FFFFFF"/>
          </w:tcPr>
          <w:p w:rsidR="00065632" w:rsidRPr="00693AAF" w:rsidRDefault="00065632" w:rsidP="00693AAF">
            <w:pPr>
              <w:spacing w:after="0"/>
            </w:pPr>
          </w:p>
        </w:tc>
        <w:tc>
          <w:tcPr>
            <w:tcW w:w="2306" w:type="dxa"/>
            <w:shd w:val="clear" w:color="auto" w:fill="FFFFFF"/>
          </w:tcPr>
          <w:p w:rsidR="00065632" w:rsidRPr="00693AAF" w:rsidRDefault="00065632" w:rsidP="00693AAF">
            <w:pPr>
              <w:spacing w:after="0"/>
            </w:pPr>
            <w:r w:rsidRPr="00693AAF">
              <w:t>7500</w:t>
            </w:r>
          </w:p>
        </w:tc>
        <w:tc>
          <w:tcPr>
            <w:tcW w:w="2126" w:type="dxa"/>
            <w:shd w:val="clear" w:color="auto" w:fill="FFFFFF"/>
          </w:tcPr>
          <w:p w:rsidR="00065632" w:rsidRPr="00693AAF" w:rsidRDefault="00065632" w:rsidP="00693AAF">
            <w:pPr>
              <w:spacing w:after="0"/>
            </w:pPr>
            <w:r w:rsidRPr="00693AAF">
              <w:t>10</w:t>
            </w:r>
          </w:p>
        </w:tc>
      </w:tr>
      <w:tr w:rsidR="00065632" w:rsidRPr="00EF526D">
        <w:tc>
          <w:tcPr>
            <w:tcW w:w="2880" w:type="dxa"/>
            <w:shd w:val="clear" w:color="auto" w:fill="FFFFFF"/>
          </w:tcPr>
          <w:p w:rsidR="00065632" w:rsidRPr="00693AAF" w:rsidRDefault="00065632" w:rsidP="00693AAF">
            <w:pPr>
              <w:spacing w:after="0"/>
            </w:pPr>
            <w:proofErr w:type="spellStart"/>
            <w:r>
              <w:t>KfW</w:t>
            </w:r>
            <w:proofErr w:type="spellEnd"/>
            <w:r>
              <w:t xml:space="preserve"> Efficient historical monument</w:t>
            </w:r>
          </w:p>
        </w:tc>
        <w:tc>
          <w:tcPr>
            <w:tcW w:w="796" w:type="dxa"/>
            <w:shd w:val="clear" w:color="auto" w:fill="FFFFFF"/>
          </w:tcPr>
          <w:p w:rsidR="00065632" w:rsidRPr="00693AAF" w:rsidRDefault="00065632" w:rsidP="00693AAF">
            <w:pPr>
              <w:spacing w:after="0"/>
            </w:pPr>
          </w:p>
        </w:tc>
        <w:tc>
          <w:tcPr>
            <w:tcW w:w="2306" w:type="dxa"/>
            <w:shd w:val="clear" w:color="auto" w:fill="FFFFFF"/>
          </w:tcPr>
          <w:p w:rsidR="00065632" w:rsidRPr="00693AAF" w:rsidRDefault="00065632" w:rsidP="00693AAF">
            <w:pPr>
              <w:spacing w:after="0"/>
            </w:pPr>
            <w:r w:rsidRPr="00693AAF">
              <w:t>7500</w:t>
            </w:r>
          </w:p>
        </w:tc>
        <w:tc>
          <w:tcPr>
            <w:tcW w:w="2126" w:type="dxa"/>
            <w:shd w:val="clear" w:color="auto" w:fill="FFFFFF"/>
          </w:tcPr>
          <w:p w:rsidR="00065632" w:rsidRPr="00693AAF" w:rsidRDefault="00065632" w:rsidP="00693AAF">
            <w:pPr>
              <w:spacing w:after="0"/>
            </w:pPr>
            <w:r w:rsidRPr="00693AAF">
              <w:t>10</w:t>
            </w:r>
          </w:p>
        </w:tc>
      </w:tr>
    </w:tbl>
    <w:p w:rsidR="00065632" w:rsidRPr="00693AAF" w:rsidRDefault="00065632" w:rsidP="00DA4E52">
      <w:pPr>
        <w:pStyle w:val="Titulek"/>
        <w:spacing w:after="240" w:afterAutospacing="0"/>
      </w:pPr>
      <w:bookmarkStart w:id="124" w:name="_Toc402012863"/>
      <w:bookmarkStart w:id="125" w:name="_Toc409795569"/>
      <w:bookmarkStart w:id="126" w:name="_Toc417655506"/>
      <w:bookmarkStart w:id="127" w:name="_Toc426033917"/>
      <w:r>
        <w:t xml:space="preserve">Table </w:t>
      </w:r>
      <w:r>
        <w:fldChar w:fldCharType="begin"/>
      </w:r>
      <w:r>
        <w:instrText xml:space="preserve"> SEQ Tabulka \* ARABIC </w:instrText>
      </w:r>
      <w:r>
        <w:fldChar w:fldCharType="separate"/>
      </w:r>
      <w:r>
        <w:rPr>
          <w:noProof/>
        </w:rPr>
        <w:t>8</w:t>
      </w:r>
      <w:r>
        <w:fldChar w:fldCharType="end"/>
      </w:r>
      <w:r>
        <w:t xml:space="preserve">: Maximal grant amount per one housing unit provided by </w:t>
      </w:r>
      <w:proofErr w:type="spellStart"/>
      <w:r>
        <w:t>KfW</w:t>
      </w:r>
      <w:bookmarkEnd w:id="124"/>
      <w:bookmarkEnd w:id="125"/>
      <w:bookmarkEnd w:id="126"/>
      <w:bookmarkEnd w:id="127"/>
      <w:proofErr w:type="spellEnd"/>
    </w:p>
    <w:p w:rsidR="00065632" w:rsidRPr="00693AAF" w:rsidRDefault="00065632" w:rsidP="00DA4E52">
      <w:r>
        <w:rPr>
          <w:rStyle w:val="hps"/>
          <w:color w:val="222222"/>
        </w:rPr>
        <w:t xml:space="preserve">In the case of loan provision, </w:t>
      </w:r>
      <w:proofErr w:type="spellStart"/>
      <w:r>
        <w:rPr>
          <w:rStyle w:val="hps"/>
          <w:color w:val="222222"/>
        </w:rPr>
        <w:t>KfW</w:t>
      </w:r>
      <w:proofErr w:type="spellEnd"/>
      <w:r>
        <w:rPr>
          <w:rStyle w:val="hps"/>
          <w:color w:val="222222"/>
        </w:rPr>
        <w:t xml:space="preserve"> offers up to EUR 75,000 per housing unit and plus a "bonus" in case of trouble-free repayment and fulfilment of set criteria. The amount of the bonus is calculated based on the levels below:</w:t>
      </w:r>
    </w:p>
    <w:tbl>
      <w:tblPr>
        <w:tblW w:w="0" w:type="auto"/>
        <w:tblInd w:w="-56" w:type="dxa"/>
        <w:tblBorders>
          <w:bottom w:val="single" w:sz="4" w:space="0" w:color="72C7E7"/>
          <w:insideH w:val="single" w:sz="4" w:space="0" w:color="72C7E7"/>
        </w:tblBorders>
        <w:tblCellMar>
          <w:top w:w="28" w:type="dxa"/>
          <w:left w:w="28" w:type="dxa"/>
          <w:bottom w:w="28" w:type="dxa"/>
          <w:right w:w="28" w:type="dxa"/>
        </w:tblCellMar>
        <w:tblLook w:val="00A0" w:firstRow="1" w:lastRow="0" w:firstColumn="1" w:lastColumn="0" w:noHBand="0" w:noVBand="0"/>
      </w:tblPr>
      <w:tblGrid>
        <w:gridCol w:w="2880"/>
        <w:gridCol w:w="2393"/>
      </w:tblGrid>
      <w:tr w:rsidR="00065632" w:rsidRPr="00EF526D">
        <w:tc>
          <w:tcPr>
            <w:tcW w:w="2880" w:type="dxa"/>
            <w:shd w:val="clear" w:color="auto" w:fill="72C7E7"/>
          </w:tcPr>
          <w:p w:rsidR="00065632" w:rsidRPr="00693AAF" w:rsidRDefault="00065632" w:rsidP="00693AAF">
            <w:pPr>
              <w:spacing w:after="0"/>
              <w:rPr>
                <w:b/>
                <w:bCs/>
                <w:color w:val="FFFFFF"/>
              </w:rPr>
            </w:pPr>
            <w:r w:rsidRPr="00693AAF">
              <w:rPr>
                <w:b/>
                <w:bCs/>
                <w:color w:val="FFFFFF"/>
              </w:rPr>
              <w:t>Level of aid</w:t>
            </w:r>
          </w:p>
        </w:tc>
        <w:tc>
          <w:tcPr>
            <w:tcW w:w="2393" w:type="dxa"/>
            <w:shd w:val="clear" w:color="auto" w:fill="72C7E7"/>
          </w:tcPr>
          <w:p w:rsidR="00065632" w:rsidRPr="00693AAF" w:rsidRDefault="00065632" w:rsidP="00693AAF">
            <w:pPr>
              <w:spacing w:after="0"/>
              <w:rPr>
                <w:b/>
                <w:bCs/>
                <w:color w:val="FFFFFF"/>
              </w:rPr>
            </w:pPr>
            <w:r w:rsidRPr="00693AAF">
              <w:rPr>
                <w:b/>
                <w:bCs/>
                <w:color w:val="FFFFFF"/>
              </w:rPr>
              <w:t>Repayment bonus [%]</w:t>
            </w:r>
          </w:p>
        </w:tc>
      </w:tr>
      <w:tr w:rsidR="00065632" w:rsidRPr="00EF526D">
        <w:tc>
          <w:tcPr>
            <w:tcW w:w="2880" w:type="dxa"/>
            <w:shd w:val="clear" w:color="auto" w:fill="FFFFFF"/>
          </w:tcPr>
          <w:p w:rsidR="00065632" w:rsidRPr="00693AAF" w:rsidRDefault="00065632" w:rsidP="00693AAF">
            <w:pPr>
              <w:spacing w:after="0"/>
            </w:pPr>
            <w:proofErr w:type="spellStart"/>
            <w:r>
              <w:t>KfW</w:t>
            </w:r>
            <w:proofErr w:type="spellEnd"/>
            <w:r>
              <w:t xml:space="preserve"> Efficient House 55</w:t>
            </w:r>
          </w:p>
        </w:tc>
        <w:tc>
          <w:tcPr>
            <w:tcW w:w="2393" w:type="dxa"/>
            <w:shd w:val="clear" w:color="auto" w:fill="FFFFFF"/>
          </w:tcPr>
          <w:p w:rsidR="00065632" w:rsidRPr="00693AAF" w:rsidRDefault="00065632" w:rsidP="00693AAF">
            <w:pPr>
              <w:spacing w:after="0"/>
            </w:pPr>
            <w:r w:rsidRPr="00693AAF">
              <w:t>17.5</w:t>
            </w:r>
          </w:p>
        </w:tc>
      </w:tr>
      <w:tr w:rsidR="00065632" w:rsidRPr="00EF526D">
        <w:tc>
          <w:tcPr>
            <w:tcW w:w="2880" w:type="dxa"/>
            <w:shd w:val="clear" w:color="auto" w:fill="FFFFFF"/>
          </w:tcPr>
          <w:p w:rsidR="00065632" w:rsidRPr="00693AAF" w:rsidRDefault="00065632" w:rsidP="00693AAF">
            <w:pPr>
              <w:spacing w:after="0"/>
            </w:pPr>
            <w:proofErr w:type="spellStart"/>
            <w:r>
              <w:t>KfW</w:t>
            </w:r>
            <w:proofErr w:type="spellEnd"/>
            <w:r>
              <w:t xml:space="preserve"> Efficient House 70</w:t>
            </w:r>
          </w:p>
        </w:tc>
        <w:tc>
          <w:tcPr>
            <w:tcW w:w="2393" w:type="dxa"/>
            <w:shd w:val="clear" w:color="auto" w:fill="FFFFFF"/>
          </w:tcPr>
          <w:p w:rsidR="00065632" w:rsidRPr="00693AAF" w:rsidRDefault="00065632" w:rsidP="00693AAF">
            <w:pPr>
              <w:spacing w:after="0"/>
            </w:pPr>
            <w:r w:rsidRPr="00693AAF">
              <w:t>10</w:t>
            </w:r>
          </w:p>
        </w:tc>
      </w:tr>
      <w:tr w:rsidR="00065632" w:rsidRPr="00EF526D">
        <w:tc>
          <w:tcPr>
            <w:tcW w:w="2880" w:type="dxa"/>
            <w:shd w:val="clear" w:color="auto" w:fill="FFFFFF"/>
          </w:tcPr>
          <w:p w:rsidR="00065632" w:rsidRPr="00693AAF" w:rsidRDefault="00065632" w:rsidP="00693AAF">
            <w:pPr>
              <w:spacing w:after="0"/>
            </w:pPr>
            <w:proofErr w:type="spellStart"/>
            <w:r>
              <w:t>KfW</w:t>
            </w:r>
            <w:proofErr w:type="spellEnd"/>
            <w:r>
              <w:t xml:space="preserve"> Efficient House 85</w:t>
            </w:r>
          </w:p>
        </w:tc>
        <w:tc>
          <w:tcPr>
            <w:tcW w:w="2393" w:type="dxa"/>
            <w:shd w:val="clear" w:color="auto" w:fill="FFFFFF"/>
          </w:tcPr>
          <w:p w:rsidR="00065632" w:rsidRPr="00693AAF" w:rsidRDefault="00065632" w:rsidP="00693AAF">
            <w:pPr>
              <w:spacing w:after="0"/>
            </w:pPr>
            <w:r w:rsidRPr="00693AAF">
              <w:t>7.5</w:t>
            </w:r>
          </w:p>
        </w:tc>
      </w:tr>
      <w:tr w:rsidR="00065632" w:rsidRPr="00EF526D">
        <w:tc>
          <w:tcPr>
            <w:tcW w:w="2880" w:type="dxa"/>
            <w:shd w:val="clear" w:color="auto" w:fill="FFFFFF"/>
          </w:tcPr>
          <w:p w:rsidR="00065632" w:rsidRPr="00693AAF" w:rsidRDefault="00065632" w:rsidP="00693AAF">
            <w:pPr>
              <w:spacing w:after="0"/>
            </w:pPr>
            <w:proofErr w:type="spellStart"/>
            <w:r>
              <w:t>KfW</w:t>
            </w:r>
            <w:proofErr w:type="spellEnd"/>
            <w:r>
              <w:t xml:space="preserve"> Efficient House 100</w:t>
            </w:r>
          </w:p>
        </w:tc>
        <w:tc>
          <w:tcPr>
            <w:tcW w:w="2393" w:type="dxa"/>
            <w:shd w:val="clear" w:color="auto" w:fill="FFFFFF"/>
          </w:tcPr>
          <w:p w:rsidR="00065632" w:rsidRPr="00693AAF" w:rsidRDefault="00065632" w:rsidP="00693AAF">
            <w:pPr>
              <w:spacing w:after="0"/>
            </w:pPr>
            <w:r w:rsidRPr="00693AAF">
              <w:t>5</w:t>
            </w:r>
          </w:p>
        </w:tc>
      </w:tr>
      <w:tr w:rsidR="00065632" w:rsidRPr="00EF526D">
        <w:tc>
          <w:tcPr>
            <w:tcW w:w="2880" w:type="dxa"/>
            <w:shd w:val="clear" w:color="auto" w:fill="FFFFFF"/>
          </w:tcPr>
          <w:p w:rsidR="00065632" w:rsidRPr="00693AAF" w:rsidRDefault="00065632" w:rsidP="00693AAF">
            <w:pPr>
              <w:spacing w:after="0"/>
            </w:pPr>
            <w:proofErr w:type="spellStart"/>
            <w:r>
              <w:t>KfW</w:t>
            </w:r>
            <w:proofErr w:type="spellEnd"/>
            <w:r>
              <w:t xml:space="preserve"> Efficient House 115</w:t>
            </w:r>
          </w:p>
        </w:tc>
        <w:tc>
          <w:tcPr>
            <w:tcW w:w="2393" w:type="dxa"/>
            <w:shd w:val="clear" w:color="auto" w:fill="FFFFFF"/>
          </w:tcPr>
          <w:p w:rsidR="00065632" w:rsidRPr="00693AAF" w:rsidRDefault="00065632" w:rsidP="00693AAF">
            <w:pPr>
              <w:spacing w:after="0"/>
            </w:pPr>
            <w:r w:rsidRPr="00693AAF">
              <w:t>2.5</w:t>
            </w:r>
          </w:p>
        </w:tc>
      </w:tr>
      <w:tr w:rsidR="00065632" w:rsidRPr="00EF526D">
        <w:tc>
          <w:tcPr>
            <w:tcW w:w="2880" w:type="dxa"/>
            <w:shd w:val="clear" w:color="auto" w:fill="FFFFFF"/>
          </w:tcPr>
          <w:p w:rsidR="00065632" w:rsidRPr="00693AAF" w:rsidRDefault="00065632" w:rsidP="00693AAF">
            <w:pPr>
              <w:spacing w:after="0"/>
            </w:pPr>
            <w:proofErr w:type="spellStart"/>
            <w:r>
              <w:t>KfW</w:t>
            </w:r>
            <w:proofErr w:type="spellEnd"/>
            <w:r>
              <w:t xml:space="preserve"> Efficient historical monument</w:t>
            </w:r>
          </w:p>
        </w:tc>
        <w:tc>
          <w:tcPr>
            <w:tcW w:w="2393" w:type="dxa"/>
            <w:shd w:val="clear" w:color="auto" w:fill="FFFFFF"/>
          </w:tcPr>
          <w:p w:rsidR="00065632" w:rsidRPr="00693AAF" w:rsidRDefault="00065632" w:rsidP="00693AAF">
            <w:pPr>
              <w:spacing w:after="0"/>
            </w:pPr>
            <w:r w:rsidRPr="00693AAF">
              <w:t>2.5</w:t>
            </w:r>
          </w:p>
        </w:tc>
      </w:tr>
    </w:tbl>
    <w:p w:rsidR="00065632" w:rsidRPr="00693AAF" w:rsidRDefault="00065632" w:rsidP="00DA4E52">
      <w:pPr>
        <w:pStyle w:val="Titulek"/>
        <w:keepNext/>
        <w:spacing w:after="0" w:afterAutospacing="0"/>
      </w:pPr>
      <w:bookmarkStart w:id="128" w:name="_Toc402012864"/>
      <w:bookmarkStart w:id="129" w:name="_Toc409795570"/>
      <w:bookmarkStart w:id="130" w:name="_Toc417655507"/>
      <w:bookmarkStart w:id="131" w:name="_Toc426033918"/>
      <w:r>
        <w:t xml:space="preserve">Table </w:t>
      </w:r>
      <w:r>
        <w:fldChar w:fldCharType="begin"/>
      </w:r>
      <w:r>
        <w:instrText xml:space="preserve"> SEQ Tabulka \* ARABIC </w:instrText>
      </w:r>
      <w:r>
        <w:fldChar w:fldCharType="separate"/>
      </w:r>
      <w:r>
        <w:rPr>
          <w:noProof/>
        </w:rPr>
        <w:t>9</w:t>
      </w:r>
      <w:r>
        <w:fldChar w:fldCharType="end"/>
      </w:r>
      <w:r>
        <w:t xml:space="preserve">: Bonus for repayment of loan provided by </w:t>
      </w:r>
      <w:proofErr w:type="spellStart"/>
      <w:r>
        <w:t>KfW</w:t>
      </w:r>
      <w:bookmarkEnd w:id="128"/>
      <w:bookmarkEnd w:id="129"/>
      <w:bookmarkEnd w:id="130"/>
      <w:bookmarkEnd w:id="131"/>
      <w:proofErr w:type="spellEnd"/>
    </w:p>
    <w:p w:rsidR="00065632" w:rsidRDefault="00065632" w:rsidP="00DA4E52">
      <w:pPr>
        <w:pStyle w:val="CaptionIntroductionparagraph"/>
      </w:pPr>
    </w:p>
    <w:p w:rsidR="00065632" w:rsidRPr="00EF526D" w:rsidRDefault="00065632" w:rsidP="00DA4E52">
      <w:pPr>
        <w:pStyle w:val="CaptionIntroductionparagraph"/>
      </w:pPr>
      <w:r>
        <w:t xml:space="preserve">Slovakia </w:t>
      </w:r>
    </w:p>
    <w:p w:rsidR="00065632" w:rsidRPr="000430F4" w:rsidRDefault="00065632" w:rsidP="00DA4E52">
      <w:pPr>
        <w:pStyle w:val="Highlight3"/>
      </w:pPr>
      <w:r>
        <w:t xml:space="preserve">Environmental Fund </w:t>
      </w:r>
    </w:p>
    <w:p w:rsidR="00065632" w:rsidRDefault="00065632" w:rsidP="00DA4E52">
      <w:r>
        <w:t xml:space="preserve">In most cases, the Slovak “Environmental Fund” provides aid mainly in the form of subsidies. As far as financial instruments are concerned, it provides loans only, under the following conditions: </w:t>
      </w:r>
    </w:p>
    <w:p w:rsidR="00065632" w:rsidRPr="00256C7E" w:rsidRDefault="00065632" w:rsidP="00065632">
      <w:pPr>
        <w:pStyle w:val="Odstavecseseznamem"/>
        <w:numPr>
          <w:ilvl w:val="0"/>
          <w:numId w:val="45"/>
        </w:numPr>
      </w:pPr>
      <w:r>
        <w:t xml:space="preserve">the interest rate of the loan is 1.00% p.a.; </w:t>
      </w:r>
    </w:p>
    <w:p w:rsidR="00065632" w:rsidRPr="00256C7E" w:rsidRDefault="00065632" w:rsidP="00065632">
      <w:pPr>
        <w:pStyle w:val="Odstavecseseznamem"/>
        <w:numPr>
          <w:ilvl w:val="0"/>
          <w:numId w:val="45"/>
        </w:numPr>
      </w:pPr>
      <w:r>
        <w:t>the repayment period of the loan is from 5 to 15 years;</w:t>
      </w:r>
    </w:p>
    <w:p w:rsidR="00065632" w:rsidRPr="00693AAF" w:rsidRDefault="00065632" w:rsidP="00065632">
      <w:pPr>
        <w:pStyle w:val="Odstavecseseznamem"/>
        <w:numPr>
          <w:ilvl w:val="0"/>
          <w:numId w:val="45"/>
        </w:numPr>
        <w:rPr>
          <w:rFonts w:ascii="Times New Roman" w:hAnsi="Times New Roman" w:cs="Times New Roman"/>
          <w:color w:val="000000"/>
        </w:rPr>
      </w:pPr>
      <w:proofErr w:type="gramStart"/>
      <w:r>
        <w:t>collateral</w:t>
      </w:r>
      <w:proofErr w:type="gramEnd"/>
      <w:r>
        <w:t xml:space="preserve"> for the loan is required in the amount of 130% of the loan value. </w:t>
      </w:r>
    </w:p>
    <w:p w:rsidR="00065632" w:rsidRDefault="00065632" w:rsidP="00DA4E52">
      <w:r>
        <w:lastRenderedPageBreak/>
        <w:t xml:space="preserve">The fund enables the provision of aid by a repayment form in all environmental areas. Loan financial instruments were applied only in two out of all of the offered areas. The planned financial allocation for the respective period was circa EUR 33 million. However, the actually drawn allocation of EUR 6.6 million shows insufficient interest in repaid financing. </w:t>
      </w:r>
    </w:p>
    <w:p w:rsidR="00065632" w:rsidRPr="00693AAF" w:rsidRDefault="00065632" w:rsidP="00DA4E52">
      <w:pPr>
        <w:rPr>
          <w:b/>
          <w:bCs/>
          <w:color w:val="00A1DE"/>
          <w:sz w:val="20"/>
          <w:szCs w:val="20"/>
        </w:rPr>
      </w:pPr>
      <w:r w:rsidRPr="00693AAF">
        <w:rPr>
          <w:b/>
          <w:bCs/>
          <w:color w:val="00A1DE"/>
          <w:sz w:val="20"/>
          <w:szCs w:val="20"/>
        </w:rPr>
        <w:t xml:space="preserve">JESSICA – </w:t>
      </w:r>
      <w:proofErr w:type="spellStart"/>
      <w:r w:rsidRPr="00693AAF">
        <w:rPr>
          <w:b/>
          <w:bCs/>
          <w:color w:val="00A1DE"/>
          <w:sz w:val="20"/>
          <w:szCs w:val="20"/>
        </w:rPr>
        <w:t>Štátny</w:t>
      </w:r>
      <w:proofErr w:type="spellEnd"/>
      <w:r w:rsidRPr="00693AAF">
        <w:rPr>
          <w:b/>
          <w:bCs/>
          <w:color w:val="00A1DE"/>
          <w:sz w:val="20"/>
          <w:szCs w:val="20"/>
        </w:rPr>
        <w:t xml:space="preserve"> fond </w:t>
      </w:r>
      <w:proofErr w:type="spellStart"/>
      <w:r w:rsidRPr="00693AAF">
        <w:rPr>
          <w:b/>
          <w:bCs/>
          <w:color w:val="00A1DE"/>
          <w:sz w:val="20"/>
          <w:szCs w:val="20"/>
        </w:rPr>
        <w:t>rozvoja</w:t>
      </w:r>
      <w:proofErr w:type="spellEnd"/>
      <w:r w:rsidRPr="00693AAF">
        <w:rPr>
          <w:b/>
          <w:bCs/>
          <w:color w:val="00A1DE"/>
          <w:sz w:val="20"/>
          <w:szCs w:val="20"/>
        </w:rPr>
        <w:t xml:space="preserve"> </w:t>
      </w:r>
      <w:proofErr w:type="spellStart"/>
      <w:r w:rsidRPr="00693AAF">
        <w:rPr>
          <w:b/>
          <w:bCs/>
          <w:color w:val="00A1DE"/>
          <w:sz w:val="20"/>
          <w:szCs w:val="20"/>
        </w:rPr>
        <w:t>bývania</w:t>
      </w:r>
      <w:proofErr w:type="spellEnd"/>
      <w:r w:rsidRPr="00693AAF">
        <w:rPr>
          <w:b/>
          <w:bCs/>
          <w:color w:val="00A1DE"/>
          <w:sz w:val="20"/>
          <w:szCs w:val="20"/>
        </w:rPr>
        <w:t xml:space="preserve"> (State Fund for Housing Development of the Slovak Republic)</w:t>
      </w:r>
    </w:p>
    <w:p w:rsidR="00065632" w:rsidRDefault="00065632" w:rsidP="00DA4E52">
      <w:r>
        <w:t>Slovak support for the JESSICA financial instrument, provided by the State Fund for Housing Development of the Slovak Republic, provides funds from the Regional Operational Programme and Operational Programme Bratislava Region for investments in the renovation and thermal insulation of residential buildings. Eligible applicants include owners of apartments and non-residential premises or associations of owners of apartments and non-residential premises. Aid is provided in the form of soft loans with the following parameters:</w:t>
      </w:r>
    </w:p>
    <w:p w:rsidR="00065632" w:rsidRDefault="00065632" w:rsidP="00065632">
      <w:pPr>
        <w:pStyle w:val="Odstavecseseznamem"/>
        <w:keepNext/>
        <w:framePr w:hSpace="142" w:wrap="auto" w:vAnchor="text" w:hAnchor="text" w:y="1"/>
        <w:numPr>
          <w:ilvl w:val="0"/>
          <w:numId w:val="49"/>
        </w:numPr>
        <w:spacing w:after="0"/>
        <w:rPr>
          <w:rStyle w:val="hps"/>
        </w:rPr>
      </w:pPr>
      <w:r>
        <w:rPr>
          <w:rStyle w:val="hps"/>
        </w:rPr>
        <w:t>interest rate 1.5% p.a.;</w:t>
      </w:r>
    </w:p>
    <w:p w:rsidR="00065632" w:rsidRDefault="00065632" w:rsidP="00065632">
      <w:pPr>
        <w:pStyle w:val="Odstavecseseznamem"/>
        <w:keepNext/>
        <w:framePr w:hSpace="142" w:wrap="auto" w:vAnchor="text" w:hAnchor="text" w:y="1"/>
        <w:numPr>
          <w:ilvl w:val="0"/>
          <w:numId w:val="49"/>
        </w:numPr>
        <w:spacing w:after="0"/>
        <w:rPr>
          <w:rStyle w:val="hps"/>
        </w:rPr>
      </w:pPr>
      <w:r>
        <w:rPr>
          <w:rStyle w:val="hps"/>
        </w:rPr>
        <w:t>maturity period no longer than 20 years;</w:t>
      </w:r>
    </w:p>
    <w:p w:rsidR="00065632" w:rsidRPr="00522328" w:rsidRDefault="00065632" w:rsidP="00065632">
      <w:pPr>
        <w:pStyle w:val="Odstavecseseznamem"/>
        <w:keepNext/>
        <w:framePr w:hSpace="142" w:wrap="auto" w:vAnchor="text" w:hAnchor="text" w:y="1"/>
        <w:numPr>
          <w:ilvl w:val="0"/>
          <w:numId w:val="49"/>
        </w:numPr>
        <w:spacing w:after="0"/>
        <w:rPr>
          <w:rStyle w:val="hps"/>
        </w:rPr>
      </w:pPr>
      <w:r>
        <w:rPr>
          <w:rStyle w:val="hps"/>
        </w:rPr>
        <w:t>loan amount up to 75% of eligible expenditure;</w:t>
      </w:r>
    </w:p>
    <w:p w:rsidR="00065632" w:rsidRDefault="00065632" w:rsidP="00065632">
      <w:pPr>
        <w:pStyle w:val="Odstavecseseznamem"/>
        <w:numPr>
          <w:ilvl w:val="0"/>
          <w:numId w:val="49"/>
        </w:numPr>
        <w:rPr>
          <w:rStyle w:val="hps"/>
        </w:rPr>
      </w:pPr>
      <w:r>
        <w:rPr>
          <w:rStyle w:val="hps"/>
        </w:rPr>
        <w:t>involvement of own resources of at least 25% of EE;</w:t>
      </w:r>
    </w:p>
    <w:p w:rsidR="00065632" w:rsidRDefault="00065632" w:rsidP="00065632">
      <w:pPr>
        <w:pStyle w:val="Odstavecseseznamem"/>
        <w:numPr>
          <w:ilvl w:val="0"/>
          <w:numId w:val="49"/>
        </w:numPr>
      </w:pPr>
      <w:proofErr w:type="gramStart"/>
      <w:r>
        <w:rPr>
          <w:rStyle w:val="hps"/>
        </w:rPr>
        <w:t>the</w:t>
      </w:r>
      <w:proofErr w:type="gramEnd"/>
      <w:r>
        <w:rPr>
          <w:rStyle w:val="hps"/>
        </w:rPr>
        <w:t xml:space="preserve"> achieved savings on heat at least 35% against the current state.</w:t>
      </w:r>
    </w:p>
    <w:p w:rsidR="00065632" w:rsidRDefault="00065632" w:rsidP="00DA4E52">
      <w:r>
        <w:t>Grant applications may be filed with the SFHD or with the respective municipal councils (measures since February 2014).</w:t>
      </w:r>
    </w:p>
    <w:p w:rsidR="00065632" w:rsidRDefault="00065632" w:rsidP="00276CD5">
      <w:pPr>
        <w:pStyle w:val="CaptionIntroductionparagraph"/>
      </w:pPr>
      <w:r>
        <w:t xml:space="preserve">Czech Republic </w:t>
      </w:r>
    </w:p>
    <w:p w:rsidR="00065632" w:rsidRDefault="00065632" w:rsidP="00276CD5">
      <w:r>
        <w:t xml:space="preserve">In the programming period 2007–2013, the most common example of use of financial instruments was implementation of the JESSICA programme—Joint European Support for Sustainable Investment in City Areas. The most relevant experience can be drawn from the JESSICA programme within the </w:t>
      </w:r>
      <w:r>
        <w:rPr>
          <w:b/>
          <w:bCs/>
        </w:rPr>
        <w:t>Integrated Operational Programme</w:t>
      </w:r>
      <w:r>
        <w:t xml:space="preserve">, where </w:t>
      </w:r>
      <w:r>
        <w:rPr>
          <w:b/>
          <w:bCs/>
        </w:rPr>
        <w:t>a holding fund</w:t>
      </w:r>
      <w:r>
        <w:t xml:space="preserve"> (State Fund for Housing Development) </w:t>
      </w:r>
      <w:r>
        <w:rPr>
          <w:b/>
          <w:bCs/>
        </w:rPr>
        <w:t>provides, using a financial intermediary</w:t>
      </w:r>
      <w:r>
        <w:t xml:space="preserve"> (titled Urban Development Administrator – </w:t>
      </w:r>
      <w:proofErr w:type="spellStart"/>
      <w:r>
        <w:t>Komerční</w:t>
      </w:r>
      <w:proofErr w:type="spellEnd"/>
      <w:r>
        <w:t xml:space="preserve"> </w:t>
      </w:r>
      <w:proofErr w:type="spellStart"/>
      <w:r>
        <w:t>banka</w:t>
      </w:r>
      <w:proofErr w:type="spellEnd"/>
      <w:r>
        <w:t xml:space="preserve">, </w:t>
      </w:r>
      <w:proofErr w:type="spellStart"/>
      <w:r>
        <w:t>a.s</w:t>
      </w:r>
      <w:proofErr w:type="spellEnd"/>
      <w:r>
        <w:t xml:space="preserve">.), </w:t>
      </w:r>
      <w:r>
        <w:rPr>
          <w:b/>
          <w:bCs/>
        </w:rPr>
        <w:t>long-term low-interest loans for revitalisation of the housing fund in deprived zones in towns with IUDP</w:t>
      </w:r>
      <w:r>
        <w:t xml:space="preserve">. </w:t>
      </w:r>
    </w:p>
    <w:p w:rsidR="00065632" w:rsidRPr="00667FE3" w:rsidRDefault="00065632" w:rsidP="00276CD5">
      <w:r>
        <w:t>Loans can be used for reconstructions and modernisations of the external walls and common parts of residential buildings or for the establishment or reconstruction of social housing. Submission of loan applications commenced in January 2014. The total allocation, which is distributed among individual recipients of soft loans, was set as CZK 570 million. Recipients of soft loans are all owners of residential buildings – natural and legal persons, associations of owners, housing cooperatives, municipalities or non-profit organisations.</w:t>
      </w:r>
    </w:p>
    <w:p w:rsidR="00065632" w:rsidRDefault="00065632" w:rsidP="00276CD5">
      <w:r>
        <w:t>As regards the intensity of provided aid, final beneficiaries may draw up to 90% aid through a soft loan for the project's eligible expenditure. Soft loans are provided only from IOP resources (i.e. without involvement of private resources of commercial banks, i.e. without leverage) using three state aid schemes:</w:t>
      </w:r>
    </w:p>
    <w:p w:rsidR="00065632" w:rsidRDefault="00065632" w:rsidP="00276CD5"/>
    <w:p w:rsidR="00065632" w:rsidRDefault="00065632" w:rsidP="00276CD5"/>
    <w:p w:rsidR="00065632" w:rsidRDefault="00065632" w:rsidP="00276CD5"/>
    <w:tbl>
      <w:tblPr>
        <w:tblW w:w="9464" w:type="dxa"/>
        <w:tblInd w:w="-232" w:type="dxa"/>
        <w:tblBorders>
          <w:top w:val="single" w:sz="8" w:space="0" w:color="92D400"/>
          <w:left w:val="single" w:sz="8" w:space="0" w:color="92D400"/>
          <w:bottom w:val="single" w:sz="8" w:space="0" w:color="92D400"/>
          <w:right w:val="single" w:sz="8" w:space="0" w:color="92D400"/>
        </w:tblBorders>
        <w:tblLook w:val="00A0" w:firstRow="1" w:lastRow="0" w:firstColumn="1" w:lastColumn="0" w:noHBand="0" w:noVBand="0"/>
      </w:tblPr>
      <w:tblGrid>
        <w:gridCol w:w="2802"/>
        <w:gridCol w:w="6662"/>
      </w:tblGrid>
      <w:tr w:rsidR="00065632">
        <w:tc>
          <w:tcPr>
            <w:tcW w:w="2802" w:type="dxa"/>
            <w:tcBorders>
              <w:top w:val="single" w:sz="8" w:space="0" w:color="92D400"/>
            </w:tcBorders>
            <w:shd w:val="clear" w:color="auto" w:fill="92D400"/>
          </w:tcPr>
          <w:p w:rsidR="00065632" w:rsidRPr="00693AAF" w:rsidRDefault="00065632" w:rsidP="002C53C4">
            <w:pPr>
              <w:rPr>
                <w:b/>
                <w:bCs/>
                <w:color w:val="FFFFFF"/>
              </w:rPr>
            </w:pPr>
            <w:r w:rsidRPr="00693AAF">
              <w:rPr>
                <w:b/>
                <w:bCs/>
                <w:color w:val="FFFFFF"/>
              </w:rPr>
              <w:t>State aid scheme</w:t>
            </w:r>
          </w:p>
        </w:tc>
        <w:tc>
          <w:tcPr>
            <w:tcW w:w="6662" w:type="dxa"/>
            <w:tcBorders>
              <w:top w:val="single" w:sz="8" w:space="0" w:color="92D400"/>
            </w:tcBorders>
            <w:shd w:val="clear" w:color="auto" w:fill="92D400"/>
          </w:tcPr>
          <w:p w:rsidR="00065632" w:rsidRPr="00693AAF" w:rsidRDefault="00065632" w:rsidP="002C53C4">
            <w:pPr>
              <w:rPr>
                <w:b/>
                <w:bCs/>
                <w:color w:val="FFFFFF"/>
              </w:rPr>
            </w:pPr>
            <w:r w:rsidRPr="00693AAF">
              <w:rPr>
                <w:b/>
                <w:bCs/>
                <w:color w:val="FFFFFF"/>
              </w:rPr>
              <w:t>Specifics of aid provided</w:t>
            </w:r>
          </w:p>
        </w:tc>
      </w:tr>
      <w:tr w:rsidR="00065632">
        <w:tc>
          <w:tcPr>
            <w:tcW w:w="2802" w:type="dxa"/>
            <w:tcBorders>
              <w:top w:val="single" w:sz="8" w:space="0" w:color="92D400"/>
              <w:bottom w:val="single" w:sz="8" w:space="0" w:color="92D400"/>
            </w:tcBorders>
            <w:vAlign w:val="center"/>
          </w:tcPr>
          <w:p w:rsidR="00065632" w:rsidRPr="00693AAF" w:rsidRDefault="00065632" w:rsidP="00693AAF">
            <w:pPr>
              <w:jc w:val="left"/>
              <w:rPr>
                <w:b/>
                <w:bCs/>
              </w:rPr>
            </w:pPr>
            <w:r w:rsidRPr="00693AAF">
              <w:rPr>
                <w:b/>
                <w:bCs/>
              </w:rPr>
              <w:t>De minimis</w:t>
            </w:r>
          </w:p>
        </w:tc>
        <w:tc>
          <w:tcPr>
            <w:tcW w:w="6662" w:type="dxa"/>
            <w:tcBorders>
              <w:top w:val="single" w:sz="8" w:space="0" w:color="92D400"/>
              <w:bottom w:val="single" w:sz="8" w:space="0" w:color="92D400"/>
            </w:tcBorders>
          </w:tcPr>
          <w:p w:rsidR="00065632" w:rsidRPr="00693AAF" w:rsidRDefault="00065632" w:rsidP="002C53C4">
            <w:r w:rsidRPr="00693AAF">
              <w:t>Interest rate fixation for the entire repayment period, maturity up to 30 years, the loan amount does not exceed 90% of eligible expenditure</w:t>
            </w:r>
          </w:p>
        </w:tc>
      </w:tr>
      <w:tr w:rsidR="00065632">
        <w:tc>
          <w:tcPr>
            <w:tcW w:w="2802" w:type="dxa"/>
            <w:vAlign w:val="center"/>
          </w:tcPr>
          <w:p w:rsidR="00065632" w:rsidRPr="00693AAF" w:rsidRDefault="00065632" w:rsidP="00693AAF">
            <w:pPr>
              <w:jc w:val="left"/>
              <w:rPr>
                <w:b/>
                <w:bCs/>
              </w:rPr>
            </w:pPr>
            <w:r w:rsidRPr="00693AAF">
              <w:rPr>
                <w:b/>
                <w:bCs/>
              </w:rPr>
              <w:t>Notifications</w:t>
            </w:r>
          </w:p>
        </w:tc>
        <w:tc>
          <w:tcPr>
            <w:tcW w:w="6662" w:type="dxa"/>
          </w:tcPr>
          <w:p w:rsidR="00065632" w:rsidRPr="00693AAF" w:rsidRDefault="00065632" w:rsidP="002C53C4">
            <w:r w:rsidRPr="00693AAF">
              <w:t>Interest rate fixation for the entire repayment period, maturity up to 30 years, the loan amount does not exceed 75 % of eligible expenditure</w:t>
            </w:r>
          </w:p>
        </w:tc>
      </w:tr>
      <w:tr w:rsidR="00065632">
        <w:tc>
          <w:tcPr>
            <w:tcW w:w="2802" w:type="dxa"/>
            <w:tcBorders>
              <w:top w:val="single" w:sz="8" w:space="0" w:color="92D400"/>
              <w:bottom w:val="single" w:sz="8" w:space="0" w:color="92D400"/>
            </w:tcBorders>
            <w:vAlign w:val="center"/>
          </w:tcPr>
          <w:p w:rsidR="00065632" w:rsidRPr="00693AAF" w:rsidRDefault="00065632" w:rsidP="00693AAF">
            <w:pPr>
              <w:jc w:val="left"/>
              <w:rPr>
                <w:b/>
                <w:bCs/>
              </w:rPr>
            </w:pPr>
            <w:r w:rsidRPr="00693AAF">
              <w:rPr>
                <w:b/>
                <w:bCs/>
              </w:rPr>
              <w:t>Outside the state aid scheme</w:t>
            </w:r>
          </w:p>
        </w:tc>
        <w:tc>
          <w:tcPr>
            <w:tcW w:w="6662" w:type="dxa"/>
            <w:tcBorders>
              <w:top w:val="single" w:sz="8" w:space="0" w:color="92D400"/>
              <w:bottom w:val="single" w:sz="8" w:space="0" w:color="92D400"/>
            </w:tcBorders>
          </w:tcPr>
          <w:p w:rsidR="00065632" w:rsidRPr="00693AAF" w:rsidRDefault="00065632" w:rsidP="002C53C4">
            <w:r w:rsidRPr="00693AAF">
              <w:t>Interest rate fixation for the entire repayment period, maturity up to 30 years, the loan amount does not exceed 90% of eligible expenditure</w:t>
            </w:r>
          </w:p>
        </w:tc>
      </w:tr>
    </w:tbl>
    <w:p w:rsidR="00065632" w:rsidRDefault="00065632" w:rsidP="00276CD5"/>
    <w:p w:rsidR="00065632" w:rsidRDefault="00065632" w:rsidP="00276CD5">
      <w:r>
        <w:t>As regards the provided bargain on the loan interest rate, it differs based on the agreed length of duration of the loan relationship based on the below matrix.</w:t>
      </w:r>
    </w:p>
    <w:tbl>
      <w:tblPr>
        <w:tblW w:w="9464" w:type="dxa"/>
        <w:tblInd w:w="-232" w:type="dxa"/>
        <w:tblBorders>
          <w:top w:val="single" w:sz="8" w:space="0" w:color="92D400"/>
          <w:left w:val="single" w:sz="8" w:space="0" w:color="92D400"/>
          <w:bottom w:val="single" w:sz="8" w:space="0" w:color="92D400"/>
          <w:right w:val="single" w:sz="8" w:space="0" w:color="92D400"/>
        </w:tblBorders>
        <w:tblLook w:val="00A0" w:firstRow="1" w:lastRow="0" w:firstColumn="1" w:lastColumn="0" w:noHBand="0" w:noVBand="0"/>
      </w:tblPr>
      <w:tblGrid>
        <w:gridCol w:w="2802"/>
        <w:gridCol w:w="6662"/>
      </w:tblGrid>
      <w:tr w:rsidR="00065632">
        <w:tc>
          <w:tcPr>
            <w:tcW w:w="2802" w:type="dxa"/>
            <w:tcBorders>
              <w:top w:val="single" w:sz="8" w:space="0" w:color="92D400"/>
            </w:tcBorders>
            <w:shd w:val="clear" w:color="auto" w:fill="92D400"/>
          </w:tcPr>
          <w:p w:rsidR="00065632" w:rsidRPr="00693AAF" w:rsidRDefault="00065632" w:rsidP="002C53C4">
            <w:pPr>
              <w:rPr>
                <w:b/>
                <w:bCs/>
                <w:color w:val="FFFFFF"/>
              </w:rPr>
            </w:pPr>
            <w:r w:rsidRPr="00693AAF">
              <w:rPr>
                <w:b/>
                <w:bCs/>
                <w:color w:val="FFFFFF"/>
              </w:rPr>
              <w:t>Loan maturity period</w:t>
            </w:r>
          </w:p>
        </w:tc>
        <w:tc>
          <w:tcPr>
            <w:tcW w:w="6662" w:type="dxa"/>
            <w:tcBorders>
              <w:top w:val="single" w:sz="8" w:space="0" w:color="92D400"/>
            </w:tcBorders>
            <w:shd w:val="clear" w:color="auto" w:fill="92D400"/>
          </w:tcPr>
          <w:p w:rsidR="00065632" w:rsidRPr="00693AAF" w:rsidRDefault="00065632" w:rsidP="002C53C4">
            <w:pPr>
              <w:rPr>
                <w:b/>
                <w:bCs/>
                <w:color w:val="FFFFFF"/>
              </w:rPr>
            </w:pPr>
            <w:r w:rsidRPr="00693AAF">
              <w:rPr>
                <w:b/>
                <w:bCs/>
                <w:color w:val="FFFFFF"/>
              </w:rPr>
              <w:t>Interest rate for the final beneficiary (fixation for the entire period)</w:t>
            </w:r>
          </w:p>
        </w:tc>
      </w:tr>
      <w:tr w:rsidR="00065632">
        <w:tc>
          <w:tcPr>
            <w:tcW w:w="2802" w:type="dxa"/>
            <w:tcBorders>
              <w:top w:val="single" w:sz="8" w:space="0" w:color="92D400"/>
              <w:bottom w:val="single" w:sz="8" w:space="0" w:color="92D400"/>
            </w:tcBorders>
          </w:tcPr>
          <w:p w:rsidR="00065632" w:rsidRPr="00693AAF" w:rsidRDefault="00065632" w:rsidP="002C53C4">
            <w:pPr>
              <w:rPr>
                <w:b/>
                <w:bCs/>
              </w:rPr>
            </w:pPr>
            <w:r w:rsidRPr="00693AAF">
              <w:rPr>
                <w:b/>
                <w:bCs/>
              </w:rPr>
              <w:lastRenderedPageBreak/>
              <w:t>up to 10 years</w:t>
            </w:r>
          </w:p>
        </w:tc>
        <w:tc>
          <w:tcPr>
            <w:tcW w:w="6662" w:type="dxa"/>
            <w:tcBorders>
              <w:top w:val="single" w:sz="8" w:space="0" w:color="92D400"/>
              <w:bottom w:val="single" w:sz="8" w:space="0" w:color="92D400"/>
            </w:tcBorders>
          </w:tcPr>
          <w:p w:rsidR="00065632" w:rsidRPr="00693AAF" w:rsidRDefault="00065632" w:rsidP="002C53C4">
            <w:r w:rsidRPr="00693AAF">
              <w:t>EU reference rate (currently 0.52% p.a.)</w:t>
            </w:r>
          </w:p>
        </w:tc>
      </w:tr>
      <w:tr w:rsidR="00065632">
        <w:tc>
          <w:tcPr>
            <w:tcW w:w="2802" w:type="dxa"/>
          </w:tcPr>
          <w:p w:rsidR="00065632" w:rsidRPr="00693AAF" w:rsidRDefault="00065632" w:rsidP="002C53C4">
            <w:pPr>
              <w:rPr>
                <w:b/>
                <w:bCs/>
              </w:rPr>
            </w:pPr>
            <w:r w:rsidRPr="00693AAF">
              <w:rPr>
                <w:b/>
                <w:bCs/>
              </w:rPr>
              <w:t>10–20 years</w:t>
            </w:r>
          </w:p>
        </w:tc>
        <w:tc>
          <w:tcPr>
            <w:tcW w:w="6662" w:type="dxa"/>
          </w:tcPr>
          <w:p w:rsidR="00065632" w:rsidRPr="00693AAF" w:rsidRDefault="00065632" w:rsidP="002C53C4">
            <w:r w:rsidRPr="00693AAF">
              <w:t>EU reference rate (currently 0.52% p.a.) + 1% p.a.</w:t>
            </w:r>
          </w:p>
        </w:tc>
      </w:tr>
      <w:tr w:rsidR="00065632">
        <w:tc>
          <w:tcPr>
            <w:tcW w:w="2802" w:type="dxa"/>
            <w:tcBorders>
              <w:top w:val="single" w:sz="8" w:space="0" w:color="92D400"/>
              <w:bottom w:val="single" w:sz="8" w:space="0" w:color="92D400"/>
            </w:tcBorders>
          </w:tcPr>
          <w:p w:rsidR="00065632" w:rsidRPr="00693AAF" w:rsidRDefault="00065632" w:rsidP="002C53C4">
            <w:pPr>
              <w:rPr>
                <w:b/>
                <w:bCs/>
              </w:rPr>
            </w:pPr>
            <w:r w:rsidRPr="00693AAF">
              <w:rPr>
                <w:b/>
                <w:bCs/>
              </w:rPr>
              <w:t>20–30 years</w:t>
            </w:r>
          </w:p>
        </w:tc>
        <w:tc>
          <w:tcPr>
            <w:tcW w:w="6662" w:type="dxa"/>
            <w:tcBorders>
              <w:top w:val="single" w:sz="8" w:space="0" w:color="92D400"/>
              <w:bottom w:val="single" w:sz="8" w:space="0" w:color="92D400"/>
            </w:tcBorders>
          </w:tcPr>
          <w:p w:rsidR="00065632" w:rsidRPr="00693AAF" w:rsidRDefault="00065632" w:rsidP="002C53C4">
            <w:r w:rsidRPr="00693AAF">
              <w:t>EU reference rate (currently 0.52% p.a.) + 2% p.a.</w:t>
            </w:r>
          </w:p>
        </w:tc>
      </w:tr>
    </w:tbl>
    <w:p w:rsidR="00065632" w:rsidRDefault="00065632" w:rsidP="00276CD5">
      <w:pPr>
        <w:rPr>
          <w:b/>
          <w:bCs/>
        </w:rPr>
      </w:pPr>
    </w:p>
    <w:p w:rsidR="00065632" w:rsidRDefault="00065632" w:rsidP="00276CD5">
      <w:pPr>
        <w:rPr>
          <w:b/>
          <w:bCs/>
        </w:rPr>
      </w:pPr>
      <w:r>
        <w:rPr>
          <w:b/>
          <w:bCs/>
        </w:rPr>
        <w:t>According to the current results, the most frequent beneficiaries are associations of owners, which in most cases use aid in the de minimis scheme.</w:t>
      </w:r>
    </w:p>
    <w:p w:rsidR="00065632" w:rsidRDefault="00065632" w:rsidP="00276CD5">
      <w:r>
        <w:t>The pilot implementation of the JESSICA FI within IOP may be considered successful; principles of set-up were tested which may be the basis for setting up the instrument for IROP, and the available allocation was fully implemented. The following areas for improvement may be identified based on the evaluation report conclusions and the Contractor's evaluation.</w:t>
      </w:r>
    </w:p>
    <w:p w:rsidR="00065632" w:rsidRDefault="00065632" w:rsidP="00065632">
      <w:pPr>
        <w:pStyle w:val="Odstavecseseznamem"/>
        <w:numPr>
          <w:ilvl w:val="0"/>
          <w:numId w:val="63"/>
        </w:numPr>
        <w:spacing w:after="0"/>
      </w:pPr>
      <w:r>
        <w:t>Insufficient information campaign, many potential beneficiaries know the Green Savings and PANEL brands but they are less familiar with the JESSICA programme</w:t>
      </w:r>
    </w:p>
    <w:p w:rsidR="00065632" w:rsidRDefault="00065632" w:rsidP="00065632">
      <w:pPr>
        <w:pStyle w:val="Odstavecseseznamem"/>
        <w:numPr>
          <w:ilvl w:val="0"/>
          <w:numId w:val="63"/>
        </w:numPr>
        <w:spacing w:after="0"/>
      </w:pPr>
      <w:r>
        <w:t>Involvement of only one banking house brought about adequate availability of the product in the territory, but involvement of involvement of several banks for better penetration of the territory should be considered</w:t>
      </w:r>
    </w:p>
    <w:p w:rsidR="00065632" w:rsidRDefault="00065632" w:rsidP="00065632">
      <w:pPr>
        <w:pStyle w:val="Odstavecseseznamem"/>
        <w:numPr>
          <w:ilvl w:val="0"/>
          <w:numId w:val="63"/>
        </w:numPr>
        <w:spacing w:after="0"/>
      </w:pPr>
      <w:r>
        <w:t>Absence of coordination with other programmes of similar focus (although with a different target group), leading to worse awareness of final beneficiaries about the possibilities of state aid drawing – the methodological environment should be unified to avoid fragmentation of approach, criteria, requirements, etc.</w:t>
      </w:r>
    </w:p>
    <w:p w:rsidR="00065632" w:rsidRDefault="00065632" w:rsidP="00065632">
      <w:pPr>
        <w:pStyle w:val="Odstavecseseznamem"/>
        <w:numPr>
          <w:ilvl w:val="0"/>
          <w:numId w:val="63"/>
        </w:numPr>
        <w:spacing w:after="0"/>
      </w:pPr>
      <w:r>
        <w:t>The programme does not record projects with repayment problems – on the one hand it is a positive, on the other hand it suggests a conservative set-up of initial rating, which may block implementation of higher-risk but desirable projects</w:t>
      </w:r>
    </w:p>
    <w:p w:rsidR="00065632" w:rsidRDefault="00065632" w:rsidP="00065632">
      <w:pPr>
        <w:pStyle w:val="Odstavecseseznamem"/>
        <w:numPr>
          <w:ilvl w:val="0"/>
          <w:numId w:val="63"/>
        </w:numPr>
        <w:spacing w:after="0"/>
      </w:pPr>
      <w:r>
        <w:t xml:space="preserve">Improvement of mutual communication and cooperation of all involved implementation entities mainly in terms of timely provision of information </w:t>
      </w:r>
    </w:p>
    <w:p w:rsidR="00065632" w:rsidRDefault="00065632" w:rsidP="00065632">
      <w:pPr>
        <w:pStyle w:val="Odstavecseseznamem"/>
        <w:numPr>
          <w:ilvl w:val="0"/>
          <w:numId w:val="63"/>
        </w:numPr>
        <w:spacing w:after="0"/>
      </w:pPr>
      <w:r>
        <w:t>Simplification of administration</w:t>
      </w:r>
    </w:p>
    <w:p w:rsidR="00065632" w:rsidRDefault="00065632" w:rsidP="00276CD5"/>
    <w:p w:rsidR="00065632" w:rsidRDefault="00065632" w:rsidP="00DA4E52"/>
    <w:p w:rsidR="00065632" w:rsidRDefault="00065632" w:rsidP="00046696">
      <w:pPr>
        <w:pStyle w:val="Nadpis1"/>
      </w:pPr>
      <w:bookmarkStart w:id="132" w:name="_Toc418767149"/>
      <w:bookmarkStart w:id="133" w:name="_Toc426033659"/>
      <w:r>
        <w:lastRenderedPageBreak/>
        <w:t>Block B – Management and implementation strategy</w:t>
      </w:r>
      <w:bookmarkEnd w:id="132"/>
      <w:bookmarkEnd w:id="133"/>
    </w:p>
    <w:p w:rsidR="00065632" w:rsidRPr="00693AAF" w:rsidRDefault="00065632" w:rsidP="00F36672">
      <w:pPr>
        <w:pStyle w:val="Nadpis2"/>
      </w:pPr>
      <w:bookmarkStart w:id="134" w:name="_Toc413183919"/>
      <w:bookmarkStart w:id="135" w:name="_Toc418767150"/>
      <w:bookmarkStart w:id="136" w:name="_Toc426033660"/>
      <w:r w:rsidRPr="00693AAF">
        <w:t>Implementation structure characteristics</w:t>
      </w:r>
      <w:bookmarkEnd w:id="134"/>
      <w:bookmarkEnd w:id="135"/>
      <w:bookmarkEnd w:id="136"/>
    </w:p>
    <w:p w:rsidR="00065632" w:rsidRDefault="00065632" w:rsidP="00F36672">
      <w:pPr>
        <w:pStyle w:val="Nadpis3"/>
      </w:pPr>
      <w:bookmarkStart w:id="137" w:name="_Toc418767151"/>
      <w:bookmarkStart w:id="138" w:name="_Toc426033661"/>
      <w:r>
        <w:t>Basic assessment of the options of IFI implementation</w:t>
      </w:r>
      <w:bookmarkEnd w:id="137"/>
      <w:bookmarkEnd w:id="138"/>
      <w:r>
        <w:t xml:space="preserve"> </w:t>
      </w:r>
    </w:p>
    <w:p w:rsidR="00065632" w:rsidRDefault="00065632" w:rsidP="00F36672">
      <w:r>
        <w:t xml:space="preserve">In the following chapter the Contractor assessed the options of implementing measures in the form of IFIs in accordance with Article 38 of the Common Provisions Regulation. The text proceeds in a logical sequence from assessing the options at the highest level to assessment and recommendation of options at lower levels of implementation. </w:t>
      </w:r>
    </w:p>
    <w:p w:rsidR="00065632" w:rsidRDefault="00065632" w:rsidP="00F36672">
      <w:r>
        <w:t xml:space="preserve">Assessment of these options is a prerequisite for the selection of an efficient and suitable implementation structure. The below diagram summarises the general options of IFIs implementation. The references to articles in the following diagram relate to the articles and provisions of the Common Provisions Regulation. </w:t>
      </w:r>
    </w:p>
    <w:p w:rsidR="00065632" w:rsidRPr="004843FD" w:rsidRDefault="00560258" w:rsidP="00F36672">
      <w:pPr>
        <w:jc w:val="center"/>
      </w:pPr>
      <w:r>
        <w:rPr>
          <w:noProof/>
          <w:lang w:val="cs-CZ" w:eastAsia="cs-CZ"/>
        </w:rPr>
        <w:drawing>
          <wp:inline distT="0" distB="0" distL="0" distR="0">
            <wp:extent cx="5286375" cy="3219450"/>
            <wp:effectExtent l="0" t="0" r="9525" b="0"/>
            <wp:docPr id="17"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86375" cy="3219450"/>
                    </a:xfrm>
                    <a:prstGeom prst="rect">
                      <a:avLst/>
                    </a:prstGeom>
                    <a:noFill/>
                    <a:ln>
                      <a:noFill/>
                    </a:ln>
                  </pic:spPr>
                </pic:pic>
              </a:graphicData>
            </a:graphic>
          </wp:inline>
        </w:drawing>
      </w:r>
    </w:p>
    <w:p w:rsidR="00065632" w:rsidRDefault="00065632" w:rsidP="00F36672">
      <w:pPr>
        <w:pStyle w:val="Titulek"/>
        <w:jc w:val="center"/>
      </w:pPr>
      <w:bookmarkStart w:id="139" w:name="_Toc417655524"/>
      <w:bookmarkStart w:id="140" w:name="_Toc426033935"/>
      <w:r>
        <w:t xml:space="preserve">Figure </w:t>
      </w:r>
      <w:r w:rsidRPr="004843FD">
        <w:fldChar w:fldCharType="begin"/>
      </w:r>
      <w:r w:rsidRPr="004843FD">
        <w:instrText xml:space="preserve"> SEQ Obrázek \* ARABIC </w:instrText>
      </w:r>
      <w:r w:rsidRPr="004843FD">
        <w:fldChar w:fldCharType="separate"/>
      </w:r>
      <w:r>
        <w:rPr>
          <w:noProof/>
        </w:rPr>
        <w:t>10</w:t>
      </w:r>
      <w:r w:rsidRPr="004843FD">
        <w:fldChar w:fldCharType="end"/>
      </w:r>
      <w:r>
        <w:t>: Basic options the MA has in IFIs implementation</w:t>
      </w:r>
      <w:bookmarkEnd w:id="139"/>
      <w:bookmarkEnd w:id="140"/>
    </w:p>
    <w:p w:rsidR="00065632" w:rsidRDefault="00065632" w:rsidP="00912E5D"/>
    <w:p w:rsidR="00065632" w:rsidRPr="0057251F" w:rsidRDefault="00065632" w:rsidP="00912E5D"/>
    <w:p w:rsidR="00065632" w:rsidRPr="00912E5D" w:rsidRDefault="00065632" w:rsidP="00912E5D">
      <w:pPr>
        <w:rPr>
          <w:highlight w:val="yellow"/>
        </w:rPr>
      </w:pPr>
      <w:r w:rsidRPr="00912E5D">
        <w:rPr>
          <w:highlight w:val="yellow"/>
        </w:rPr>
        <w:t>Managing authority</w:t>
      </w:r>
    </w:p>
    <w:p w:rsidR="00065632" w:rsidRPr="00912E5D" w:rsidRDefault="00065632" w:rsidP="00912E5D">
      <w:pPr>
        <w:rPr>
          <w:highlight w:val="yellow"/>
        </w:rPr>
      </w:pPr>
    </w:p>
    <w:p w:rsidR="00065632" w:rsidRPr="00912E5D" w:rsidRDefault="00065632" w:rsidP="00912E5D">
      <w:pPr>
        <w:rPr>
          <w:highlight w:val="yellow"/>
        </w:rPr>
      </w:pPr>
      <w:r w:rsidRPr="00912E5D">
        <w:rPr>
          <w:highlight w:val="yellow"/>
        </w:rPr>
        <w:t>IFIs set up at Union level, managed directly or indirectly by the Commission</w:t>
      </w:r>
    </w:p>
    <w:p w:rsidR="00065632" w:rsidRPr="00912E5D" w:rsidRDefault="00065632" w:rsidP="00912E5D">
      <w:pPr>
        <w:rPr>
          <w:highlight w:val="yellow"/>
        </w:rPr>
      </w:pPr>
      <w:r w:rsidRPr="00912E5D">
        <w:rPr>
          <w:highlight w:val="yellow"/>
        </w:rPr>
        <w:t>Art. 38(1</w:t>
      </w:r>
      <w:proofErr w:type="gramStart"/>
      <w:r w:rsidRPr="00912E5D">
        <w:rPr>
          <w:highlight w:val="yellow"/>
        </w:rPr>
        <w:t>)(</w:t>
      </w:r>
      <w:proofErr w:type="gramEnd"/>
      <w:r w:rsidRPr="00912E5D">
        <w:rPr>
          <w:highlight w:val="yellow"/>
        </w:rPr>
        <w:t>a)</w:t>
      </w:r>
    </w:p>
    <w:p w:rsidR="00065632" w:rsidRPr="00912E5D" w:rsidRDefault="00065632" w:rsidP="00912E5D">
      <w:pPr>
        <w:rPr>
          <w:highlight w:val="yellow"/>
        </w:rPr>
      </w:pPr>
    </w:p>
    <w:p w:rsidR="00065632" w:rsidRPr="00912E5D" w:rsidRDefault="00065632" w:rsidP="00912E5D">
      <w:pPr>
        <w:rPr>
          <w:highlight w:val="yellow"/>
        </w:rPr>
      </w:pPr>
      <w:r w:rsidRPr="00912E5D">
        <w:rPr>
          <w:highlight w:val="yellow"/>
        </w:rPr>
        <w:lastRenderedPageBreak/>
        <w:t xml:space="preserve">IFIs set up at national, regional, transnational or cross-border level, managed by or under the responsibility of the managing authority </w:t>
      </w:r>
    </w:p>
    <w:p w:rsidR="00065632" w:rsidRPr="00912E5D" w:rsidRDefault="00065632" w:rsidP="00912E5D">
      <w:pPr>
        <w:rPr>
          <w:highlight w:val="yellow"/>
        </w:rPr>
      </w:pPr>
      <w:r w:rsidRPr="00912E5D">
        <w:rPr>
          <w:highlight w:val="yellow"/>
        </w:rPr>
        <w:t>Art. 38(1</w:t>
      </w:r>
      <w:proofErr w:type="gramStart"/>
      <w:r w:rsidRPr="00912E5D">
        <w:rPr>
          <w:highlight w:val="yellow"/>
        </w:rPr>
        <w:t>)(</w:t>
      </w:r>
      <w:proofErr w:type="gramEnd"/>
      <w:r w:rsidRPr="00912E5D">
        <w:rPr>
          <w:highlight w:val="yellow"/>
        </w:rPr>
        <w:t>2)</w:t>
      </w:r>
    </w:p>
    <w:p w:rsidR="00065632" w:rsidRPr="00912E5D" w:rsidRDefault="00065632" w:rsidP="00912E5D">
      <w:pPr>
        <w:rPr>
          <w:highlight w:val="yellow"/>
        </w:rPr>
      </w:pPr>
    </w:p>
    <w:p w:rsidR="00065632" w:rsidRPr="00912E5D" w:rsidRDefault="00065632" w:rsidP="00912E5D">
      <w:pPr>
        <w:rPr>
          <w:highlight w:val="yellow"/>
        </w:rPr>
      </w:pPr>
      <w:r w:rsidRPr="00912E5D">
        <w:rPr>
          <w:highlight w:val="yellow"/>
        </w:rPr>
        <w:t>Investment in the capital of existing or newly created legal entities which will undertake implementation of IFIs</w:t>
      </w:r>
    </w:p>
    <w:p w:rsidR="00065632" w:rsidRPr="00912E5D" w:rsidRDefault="00065632" w:rsidP="00912E5D">
      <w:pPr>
        <w:rPr>
          <w:highlight w:val="yellow"/>
        </w:rPr>
      </w:pPr>
      <w:r w:rsidRPr="00912E5D">
        <w:rPr>
          <w:highlight w:val="yellow"/>
        </w:rPr>
        <w:t>Art. 38(4</w:t>
      </w:r>
      <w:proofErr w:type="gramStart"/>
      <w:r w:rsidRPr="00912E5D">
        <w:rPr>
          <w:highlight w:val="yellow"/>
        </w:rPr>
        <w:t>)(</w:t>
      </w:r>
      <w:proofErr w:type="gramEnd"/>
      <w:r w:rsidRPr="00912E5D">
        <w:rPr>
          <w:highlight w:val="yellow"/>
        </w:rPr>
        <w:t>a)</w:t>
      </w:r>
    </w:p>
    <w:p w:rsidR="00065632" w:rsidRPr="00912E5D" w:rsidRDefault="00065632" w:rsidP="00912E5D">
      <w:pPr>
        <w:rPr>
          <w:highlight w:val="yellow"/>
        </w:rPr>
      </w:pPr>
    </w:p>
    <w:p w:rsidR="00065632" w:rsidRPr="00912E5D" w:rsidRDefault="00065632" w:rsidP="00912E5D">
      <w:pPr>
        <w:rPr>
          <w:highlight w:val="yellow"/>
        </w:rPr>
      </w:pPr>
      <w:r w:rsidRPr="00912E5D">
        <w:rPr>
          <w:highlight w:val="yellow"/>
        </w:rPr>
        <w:t>Entrusting implementation tasks to another entity</w:t>
      </w:r>
    </w:p>
    <w:p w:rsidR="00065632" w:rsidRPr="00912E5D" w:rsidRDefault="00065632" w:rsidP="00912E5D">
      <w:pPr>
        <w:rPr>
          <w:highlight w:val="yellow"/>
        </w:rPr>
      </w:pPr>
      <w:r w:rsidRPr="00912E5D">
        <w:rPr>
          <w:highlight w:val="yellow"/>
        </w:rPr>
        <w:t>Art. 38(4</w:t>
      </w:r>
      <w:proofErr w:type="gramStart"/>
      <w:r w:rsidRPr="00912E5D">
        <w:rPr>
          <w:highlight w:val="yellow"/>
        </w:rPr>
        <w:t>)(</w:t>
      </w:r>
      <w:proofErr w:type="gramEnd"/>
      <w:r w:rsidRPr="00912E5D">
        <w:rPr>
          <w:highlight w:val="yellow"/>
        </w:rPr>
        <w:t>b)(</w:t>
      </w:r>
      <w:proofErr w:type="spellStart"/>
      <w:r w:rsidRPr="00912E5D">
        <w:rPr>
          <w:highlight w:val="yellow"/>
        </w:rPr>
        <w:t>i</w:t>
      </w:r>
      <w:proofErr w:type="spellEnd"/>
      <w:r w:rsidRPr="00912E5D">
        <w:rPr>
          <w:highlight w:val="yellow"/>
        </w:rPr>
        <w:t>)</w:t>
      </w:r>
    </w:p>
    <w:p w:rsidR="00065632" w:rsidRPr="00912E5D" w:rsidRDefault="00065632" w:rsidP="00912E5D">
      <w:pPr>
        <w:rPr>
          <w:highlight w:val="yellow"/>
        </w:rPr>
      </w:pPr>
      <w:r w:rsidRPr="00912E5D">
        <w:rPr>
          <w:highlight w:val="yellow"/>
        </w:rPr>
        <w:t>- EIB (Art. 38(4</w:t>
      </w:r>
      <w:proofErr w:type="gramStart"/>
      <w:r w:rsidRPr="00912E5D">
        <w:rPr>
          <w:highlight w:val="yellow"/>
        </w:rPr>
        <w:t>)(</w:t>
      </w:r>
      <w:proofErr w:type="gramEnd"/>
      <w:r w:rsidRPr="00912E5D">
        <w:rPr>
          <w:highlight w:val="yellow"/>
        </w:rPr>
        <w:t>b)(</w:t>
      </w:r>
      <w:proofErr w:type="spellStart"/>
      <w:r w:rsidRPr="00912E5D">
        <w:rPr>
          <w:highlight w:val="yellow"/>
        </w:rPr>
        <w:t>i</w:t>
      </w:r>
      <w:proofErr w:type="spellEnd"/>
      <w:r w:rsidRPr="00912E5D">
        <w:rPr>
          <w:highlight w:val="yellow"/>
        </w:rPr>
        <w:t>))</w:t>
      </w:r>
    </w:p>
    <w:p w:rsidR="00065632" w:rsidRPr="00912E5D" w:rsidRDefault="00065632" w:rsidP="00912E5D">
      <w:pPr>
        <w:rPr>
          <w:highlight w:val="yellow"/>
        </w:rPr>
      </w:pPr>
      <w:r w:rsidRPr="00912E5D">
        <w:rPr>
          <w:highlight w:val="yellow"/>
        </w:rPr>
        <w:t>- International financial institutions in which a Member State is a shareholder</w:t>
      </w:r>
    </w:p>
    <w:p w:rsidR="00065632" w:rsidRPr="00912E5D" w:rsidRDefault="00065632" w:rsidP="00912E5D">
      <w:pPr>
        <w:rPr>
          <w:highlight w:val="yellow"/>
        </w:rPr>
      </w:pPr>
      <w:r w:rsidRPr="00912E5D">
        <w:rPr>
          <w:highlight w:val="yellow"/>
        </w:rPr>
        <w:t xml:space="preserve">- Financial institutions based in a Member State aiming at the achievement of public interest under the control of a public authority </w:t>
      </w:r>
    </w:p>
    <w:p w:rsidR="00065632" w:rsidRPr="00912E5D" w:rsidRDefault="00065632" w:rsidP="00912E5D">
      <w:pPr>
        <w:rPr>
          <w:highlight w:val="yellow"/>
        </w:rPr>
      </w:pPr>
      <w:r w:rsidRPr="00912E5D">
        <w:rPr>
          <w:highlight w:val="yellow"/>
        </w:rPr>
        <w:t>Art. 38(4</w:t>
      </w:r>
      <w:proofErr w:type="gramStart"/>
      <w:r w:rsidRPr="00912E5D">
        <w:rPr>
          <w:highlight w:val="yellow"/>
        </w:rPr>
        <w:t>)(</w:t>
      </w:r>
      <w:proofErr w:type="gramEnd"/>
      <w:r w:rsidRPr="00912E5D">
        <w:rPr>
          <w:highlight w:val="yellow"/>
        </w:rPr>
        <w:t>b)(ii)</w:t>
      </w:r>
    </w:p>
    <w:p w:rsidR="00065632" w:rsidRPr="00912E5D" w:rsidRDefault="00065632" w:rsidP="00912E5D">
      <w:pPr>
        <w:rPr>
          <w:highlight w:val="yellow"/>
        </w:rPr>
      </w:pPr>
      <w:r w:rsidRPr="00912E5D">
        <w:rPr>
          <w:highlight w:val="yellow"/>
        </w:rPr>
        <w:t>- A body governed by public or private law</w:t>
      </w:r>
    </w:p>
    <w:p w:rsidR="00065632" w:rsidRPr="00912E5D" w:rsidRDefault="00065632" w:rsidP="00912E5D">
      <w:pPr>
        <w:rPr>
          <w:highlight w:val="yellow"/>
        </w:rPr>
      </w:pPr>
      <w:r w:rsidRPr="00912E5D">
        <w:rPr>
          <w:highlight w:val="yellow"/>
        </w:rPr>
        <w:t>Art. 38(b</w:t>
      </w:r>
      <w:proofErr w:type="gramStart"/>
      <w:r w:rsidRPr="00912E5D">
        <w:rPr>
          <w:highlight w:val="yellow"/>
        </w:rPr>
        <w:t>)(</w:t>
      </w:r>
      <w:proofErr w:type="gramEnd"/>
      <w:r w:rsidRPr="00912E5D">
        <w:rPr>
          <w:highlight w:val="yellow"/>
        </w:rPr>
        <w:t>iii)</w:t>
      </w:r>
    </w:p>
    <w:p w:rsidR="00065632" w:rsidRPr="00912E5D" w:rsidRDefault="00065632" w:rsidP="00912E5D">
      <w:pPr>
        <w:rPr>
          <w:highlight w:val="yellow"/>
        </w:rPr>
      </w:pPr>
    </w:p>
    <w:p w:rsidR="00065632" w:rsidRPr="00912E5D" w:rsidRDefault="00065632" w:rsidP="00912E5D">
      <w:pPr>
        <w:rPr>
          <w:highlight w:val="yellow"/>
        </w:rPr>
      </w:pPr>
    </w:p>
    <w:p w:rsidR="00065632" w:rsidRPr="00912E5D" w:rsidRDefault="00065632" w:rsidP="00912E5D">
      <w:pPr>
        <w:rPr>
          <w:highlight w:val="yellow"/>
        </w:rPr>
      </w:pPr>
      <w:r w:rsidRPr="00912E5D">
        <w:rPr>
          <w:highlight w:val="yellow"/>
        </w:rPr>
        <w:t>Implementation tasks undertaken directly by the MA</w:t>
      </w:r>
    </w:p>
    <w:p w:rsidR="00065632" w:rsidRPr="0057251F" w:rsidRDefault="00065632" w:rsidP="00912E5D">
      <w:r w:rsidRPr="00912E5D">
        <w:rPr>
          <w:highlight w:val="yellow"/>
        </w:rPr>
        <w:t>Art. 38(4</w:t>
      </w:r>
      <w:proofErr w:type="gramStart"/>
      <w:r w:rsidRPr="00912E5D">
        <w:rPr>
          <w:highlight w:val="yellow"/>
        </w:rPr>
        <w:t>)(</w:t>
      </w:r>
      <w:proofErr w:type="gramEnd"/>
      <w:r w:rsidRPr="00912E5D">
        <w:rPr>
          <w:highlight w:val="yellow"/>
        </w:rPr>
        <w:t>c)</w:t>
      </w:r>
    </w:p>
    <w:p w:rsidR="00065632" w:rsidRPr="00912E5D" w:rsidRDefault="00065632" w:rsidP="00912E5D"/>
    <w:p w:rsidR="00065632" w:rsidRPr="004843FD" w:rsidRDefault="00065632" w:rsidP="00F36672">
      <w:pPr>
        <w:pStyle w:val="Nadpis3"/>
      </w:pPr>
      <w:bookmarkStart w:id="141" w:name="_Toc418767152"/>
      <w:bookmarkStart w:id="142" w:name="_Toc426033662"/>
      <w:r>
        <w:t>Assessment of the possibility to use instruments established at the EU level, managed directly or indirectly by the Commission</w:t>
      </w:r>
      <w:bookmarkEnd w:id="141"/>
      <w:bookmarkEnd w:id="142"/>
      <w:r>
        <w:t xml:space="preserve"> </w:t>
      </w:r>
    </w:p>
    <w:p w:rsidR="00065632" w:rsidRPr="004843FD" w:rsidRDefault="00065632" w:rsidP="00F36672">
      <w:r>
        <w:t xml:space="preserve">As clearly shown in the previous figure, </w:t>
      </w:r>
      <w:r>
        <w:rPr>
          <w:b/>
          <w:bCs/>
        </w:rPr>
        <w:t>one of the options the MA has is to allocate funds from operational programmes in financial instruments established at the EU level</w:t>
      </w:r>
      <w:r>
        <w:t xml:space="preserve"> and managed directly or indirectly by the Commission. </w:t>
      </w:r>
    </w:p>
    <w:p w:rsidR="00065632" w:rsidRDefault="00065632" w:rsidP="00F36672">
      <w:r>
        <w:t xml:space="preserve">This </w:t>
      </w:r>
      <w:proofErr w:type="gramStart"/>
      <w:r>
        <w:t>options</w:t>
      </w:r>
      <w:proofErr w:type="gramEnd"/>
      <w:r>
        <w:t xml:space="preserve"> is </w:t>
      </w:r>
      <w:r>
        <w:rPr>
          <w:b/>
          <w:bCs/>
        </w:rPr>
        <w:t>suitable in cases where the administrative capacity, expertise and/or knowledge</w:t>
      </w:r>
      <w:r>
        <w:t xml:space="preserve"> of individual </w:t>
      </w:r>
      <w:r>
        <w:rPr>
          <w:b/>
          <w:bCs/>
        </w:rPr>
        <w:t>MAs are insufficient, and at the same time</w:t>
      </w:r>
      <w:r>
        <w:t xml:space="preserve"> these </w:t>
      </w:r>
      <w:r>
        <w:rPr>
          <w:b/>
          <w:bCs/>
        </w:rPr>
        <w:t>financial instruments</w:t>
      </w:r>
      <w:r>
        <w:t xml:space="preserve"> established at the Union level </w:t>
      </w:r>
      <w:r>
        <w:rPr>
          <w:b/>
          <w:bCs/>
        </w:rPr>
        <w:t>are fully in compliance with the objectives of individual operational programmes and the current situation in the Member State</w:t>
      </w:r>
      <w:r>
        <w:t xml:space="preserve">. </w:t>
      </w:r>
    </w:p>
    <w:p w:rsidR="00065632" w:rsidRDefault="00065632" w:rsidP="00F36672">
      <w:r>
        <w:t xml:space="preserve">Given the nature of the envisaged intervention, the Contractor assessed, at this level, off-the-shell instrument "Renovation Loan". Instruments already pre-defined by the Commission may not be further modified in terms of major modifications of preferential remuneration of intermediaries, involvement of a subsidy component in the financial instrument and the need to use the </w:t>
      </w:r>
      <w:r>
        <w:rPr>
          <w:i/>
          <w:iCs/>
        </w:rPr>
        <w:t>de minimis</w:t>
      </w:r>
      <w:r>
        <w:t xml:space="preserve"> scheme.</w:t>
      </w:r>
      <w:r>
        <w:rPr>
          <w:i/>
          <w:iCs/>
        </w:rPr>
        <w:t xml:space="preserve"> </w:t>
      </w:r>
      <w:r>
        <w:t>These restrictions greatly limit the use of the pre-prepared instrument.</w:t>
      </w:r>
      <w:r>
        <w:rPr>
          <w:i/>
          <w:iCs/>
        </w:rPr>
        <w:t xml:space="preserve"> </w:t>
      </w:r>
    </w:p>
    <w:p w:rsidR="00065632" w:rsidRPr="00BE0A24" w:rsidRDefault="00065632" w:rsidP="00F36672">
      <w:pPr>
        <w:rPr>
          <w:b/>
          <w:bCs/>
        </w:rPr>
      </w:pPr>
      <w:r>
        <w:rPr>
          <w:b/>
          <w:bCs/>
        </w:rPr>
        <w:t xml:space="preserve">Based on the previous experience, results of the questionnaire survey, communication with housing cooperative associations and representatives of the professional public, the Contractor proposes using a specifically designed tailor made financial instrument. The argumentation line for the MA decision making is as follows: </w:t>
      </w:r>
    </w:p>
    <w:p w:rsidR="00065632" w:rsidRDefault="00065632" w:rsidP="00065632">
      <w:pPr>
        <w:pStyle w:val="Odstavecseseznamem"/>
        <w:numPr>
          <w:ilvl w:val="0"/>
          <w:numId w:val="20"/>
        </w:numPr>
      </w:pPr>
      <w:r>
        <w:t xml:space="preserve">the use of the </w:t>
      </w:r>
      <w:r>
        <w:rPr>
          <w:i/>
          <w:iCs/>
        </w:rPr>
        <w:t>de minimis</w:t>
      </w:r>
      <w:r>
        <w:t xml:space="preserve"> scheme is limiting due to the fact that residential buildings have already exhausted the limits for this scheme, or they want to participate in other activities (grants of other MAs), which will take the form of de minimis aid;</w:t>
      </w:r>
    </w:p>
    <w:p w:rsidR="00065632" w:rsidRDefault="00065632" w:rsidP="00065632">
      <w:pPr>
        <w:pStyle w:val="Odstavecseseznamem"/>
        <w:numPr>
          <w:ilvl w:val="0"/>
          <w:numId w:val="20"/>
        </w:numPr>
      </w:pPr>
      <w:r>
        <w:lastRenderedPageBreak/>
        <w:t xml:space="preserve">owners of several residential buildings who exceed the </w:t>
      </w:r>
      <w:r>
        <w:rPr>
          <w:i/>
          <w:iCs/>
        </w:rPr>
        <w:t>de minimis</w:t>
      </w:r>
      <w:r>
        <w:t xml:space="preserve"> limit (after recalculation to GGE) will automatically be excluded from aid / will only receive a proportional part, which will be negatively reflected in the absorption capacity; </w:t>
      </w:r>
    </w:p>
    <w:p w:rsidR="00065632" w:rsidRDefault="00065632" w:rsidP="00065632">
      <w:pPr>
        <w:pStyle w:val="Odstavecseseznamem"/>
        <w:numPr>
          <w:ilvl w:val="0"/>
          <w:numId w:val="20"/>
        </w:numPr>
      </w:pPr>
      <w:r>
        <w:t>The Contractor proposes a combination of a soft loan and a subsidy component dependent on the amount of savings (as a motivation of final beneficiaries to implement measures with a high degree of energy savings and therefore also better fulfilment of the common indicator of reducing household energy savings);</w:t>
      </w:r>
    </w:p>
    <w:p w:rsidR="00065632" w:rsidRDefault="00065632" w:rsidP="00065632">
      <w:pPr>
        <w:pStyle w:val="Odstavecseseznamem"/>
        <w:numPr>
          <w:ilvl w:val="0"/>
          <w:numId w:val="20"/>
        </w:numPr>
      </w:pPr>
      <w:r>
        <w:t xml:space="preserve">The Contractor proposes preferential remuneration of intermediaries (banks), which will provide them, to a certain extent, with compensation for the fact that they will not be receiving a fee for their role in the implementation system. According to the methodology, it is important to attract other financial resources to the FI, and the aforementioned measures have precisely this objective—to adequately motivate intermediaries who will simultaneously co-finance the FI, thus creating leverage. </w:t>
      </w:r>
    </w:p>
    <w:p w:rsidR="00065632" w:rsidRPr="001E76F5" w:rsidRDefault="00065632" w:rsidP="00F36672">
      <w:r>
        <w:rPr>
          <w:b/>
          <w:bCs/>
        </w:rPr>
        <w:t>In the case of MA's decision not to implement the tailor made instrument proposed in the study, implementation of a pure off-the-shelf instrument is also possible, but the MA will be aware of the aforementioned disadvantages.</w:t>
      </w:r>
      <w:r>
        <w:t xml:space="preserve"> </w:t>
      </w:r>
    </w:p>
    <w:p w:rsidR="00065632" w:rsidRPr="004843FD" w:rsidRDefault="00065632" w:rsidP="00F36672">
      <w:pPr>
        <w:pStyle w:val="Nadpis3"/>
      </w:pPr>
      <w:bookmarkStart w:id="143" w:name="_Toc418767153"/>
      <w:bookmarkStart w:id="144" w:name="_Toc426033663"/>
      <w:r>
        <w:t>Assessment of IFIs established at the national, regional, transnational or cross-border level</w:t>
      </w:r>
      <w:bookmarkEnd w:id="143"/>
      <w:bookmarkEnd w:id="144"/>
    </w:p>
    <w:p w:rsidR="00065632" w:rsidRPr="004843FD" w:rsidRDefault="00065632" w:rsidP="00F36672">
      <w:r>
        <w:t>Following the conclusions of the previous chapter, the Contractor pursues the logical line of assessment of options of establishment of an IFI at the national level. In the case of implementation of IFIs established at the national, regional, transnational or cross-border level, the MA essentially has 3 options:</w:t>
      </w:r>
    </w:p>
    <w:p w:rsidR="00065632" w:rsidRPr="004843FD" w:rsidRDefault="00065632" w:rsidP="00065632">
      <w:pPr>
        <w:numPr>
          <w:ilvl w:val="0"/>
          <w:numId w:val="7"/>
        </w:numPr>
        <w:spacing w:before="120"/>
        <w:rPr>
          <w:b/>
          <w:bCs/>
        </w:rPr>
      </w:pPr>
      <w:r>
        <w:rPr>
          <w:b/>
          <w:bCs/>
        </w:rPr>
        <w:t>Ad (a) – invest in the capital of existing or newly created legal entities</w:t>
      </w:r>
      <w:r>
        <w:t xml:space="preserve"> which deal with implementation of financial instruments in accordance with objectives of individual ESI Funds and which will take over the implementation tasks;</w:t>
      </w:r>
    </w:p>
    <w:p w:rsidR="00065632" w:rsidRPr="004843FD" w:rsidRDefault="00065632" w:rsidP="00065632">
      <w:pPr>
        <w:numPr>
          <w:ilvl w:val="0"/>
          <w:numId w:val="7"/>
        </w:numPr>
        <w:spacing w:before="120"/>
        <w:rPr>
          <w:b/>
          <w:bCs/>
        </w:rPr>
      </w:pPr>
      <w:r>
        <w:rPr>
          <w:b/>
          <w:bCs/>
        </w:rPr>
        <w:t>Ad (b) – entrust implementation tasks to;</w:t>
      </w:r>
    </w:p>
    <w:p w:rsidR="00065632" w:rsidRPr="004843FD" w:rsidRDefault="00065632" w:rsidP="00065632">
      <w:pPr>
        <w:numPr>
          <w:ilvl w:val="1"/>
          <w:numId w:val="7"/>
        </w:numPr>
        <w:spacing w:before="120"/>
      </w:pPr>
      <w:r>
        <w:t xml:space="preserve">the </w:t>
      </w:r>
      <w:r>
        <w:rPr>
          <w:b/>
          <w:bCs/>
        </w:rPr>
        <w:t>EIB</w:t>
      </w:r>
      <w:r>
        <w:t xml:space="preserve"> group (EIB, EIF, or another subsidiary of the EIB);</w:t>
      </w:r>
    </w:p>
    <w:p w:rsidR="00065632" w:rsidRPr="004843FD" w:rsidRDefault="00065632" w:rsidP="00065632">
      <w:pPr>
        <w:numPr>
          <w:ilvl w:val="1"/>
          <w:numId w:val="7"/>
        </w:numPr>
        <w:spacing w:before="120"/>
      </w:pPr>
      <w:r>
        <w:rPr>
          <w:b/>
          <w:bCs/>
        </w:rPr>
        <w:t>international financial institutions</w:t>
      </w:r>
      <w:r>
        <w:t xml:space="preserve"> in which a Member State is a shareholder, or </w:t>
      </w:r>
      <w:r>
        <w:rPr>
          <w:b/>
          <w:bCs/>
        </w:rPr>
        <w:t>financial institutions established in a Member State</w:t>
      </w:r>
      <w:r>
        <w:t xml:space="preserve"> aiming at the achievement of public interest under the control of a public authority;</w:t>
      </w:r>
    </w:p>
    <w:p w:rsidR="00065632" w:rsidRPr="004843FD" w:rsidRDefault="00065632" w:rsidP="00065632">
      <w:pPr>
        <w:numPr>
          <w:ilvl w:val="1"/>
          <w:numId w:val="7"/>
        </w:numPr>
        <w:spacing w:before="120"/>
      </w:pPr>
      <w:r>
        <w:rPr>
          <w:b/>
          <w:bCs/>
        </w:rPr>
        <w:t>a body governed by public or private law</w:t>
      </w:r>
      <w:r>
        <w:t>;</w:t>
      </w:r>
    </w:p>
    <w:p w:rsidR="00065632" w:rsidRPr="004843FD" w:rsidRDefault="00065632" w:rsidP="00065632">
      <w:pPr>
        <w:numPr>
          <w:ilvl w:val="0"/>
          <w:numId w:val="7"/>
        </w:numPr>
        <w:spacing w:before="120"/>
        <w:rPr>
          <w:b/>
          <w:bCs/>
        </w:rPr>
      </w:pPr>
      <w:r>
        <w:rPr>
          <w:b/>
          <w:bCs/>
        </w:rPr>
        <w:t>Ad (c) – Undertake implementation tasks directly</w:t>
      </w:r>
      <w:r>
        <w:t xml:space="preserve"> – in the case of financial instruments consisting solely of loans or guarantees.</w:t>
      </w:r>
    </w:p>
    <w:p w:rsidR="00065632" w:rsidRPr="004843FD" w:rsidRDefault="00065632" w:rsidP="00F36672">
      <w:r>
        <w:rPr>
          <w:b/>
          <w:bCs/>
        </w:rPr>
        <w:t>In the case of (a), the MA entrusts another body with IFI implementation based on a financing agreement</w:t>
      </w:r>
      <w:r>
        <w:t>. This entity then implements the investment strategies, carries out reporting, management of entrusted funds and comprehensive governance of the financial instrument. Given the fact that there is no entity solely dedicated to the monitored tasks, and reflecting that, based on meeting with relevant representatives of the professional public, there is no prospective interest in establishing such special entity for this purpose, it not relevant to further analyse and assess this option. It is also important to add that the step of full transfer of public funds of the operational programme to a private-law entity was faced with a very negative public opinion in the programming period 2007–2013. Therefore, the MA or the NCA are not interested in proceeding in this direction in the new period of 2014–2020.</w:t>
      </w:r>
    </w:p>
    <w:p w:rsidR="00065632" w:rsidRDefault="00065632" w:rsidP="00F36672">
      <w:r>
        <w:rPr>
          <w:b/>
          <w:bCs/>
        </w:rPr>
        <w:t>In the case of (c), the MA undertakes the implementation tasks directly</w:t>
      </w:r>
      <w:r>
        <w:t xml:space="preserve">. In this case, a financial agreement is not concluded but IFI implementation is carried out </w:t>
      </w:r>
      <w:r>
        <w:rPr>
          <w:b/>
          <w:bCs/>
        </w:rPr>
        <w:t>based on strategic documents</w:t>
      </w:r>
      <w:r>
        <w:t>, the content of which is defined in Annex 4 to the Common Provisions Regulation. This option is essentially possible, however, it cannot be recommended due to several key reasons:</w:t>
      </w:r>
    </w:p>
    <w:p w:rsidR="00065632" w:rsidRDefault="00065632" w:rsidP="00065632">
      <w:pPr>
        <w:pStyle w:val="Odstavecseseznamem"/>
        <w:numPr>
          <w:ilvl w:val="0"/>
          <w:numId w:val="58"/>
        </w:numPr>
      </w:pPr>
      <w:r>
        <w:t>The managing authority has no previous experience with provision of aid in the form of soft loans, i.e. it is lacking administrative capacities and experience, setting up suitable processes, control mechanisms and principles;</w:t>
      </w:r>
    </w:p>
    <w:p w:rsidR="00065632" w:rsidRDefault="00065632" w:rsidP="00065632">
      <w:pPr>
        <w:pStyle w:val="Odstavecseseznamem"/>
        <w:numPr>
          <w:ilvl w:val="0"/>
          <w:numId w:val="58"/>
        </w:numPr>
      </w:pPr>
      <w:r>
        <w:t xml:space="preserve">The above arrangement does not allow use of other financial instruments than loan and guarantee ones—although this fact is not a limit for the proposal of use of a loan instrument within IROP specific objective 2.5, this implementation model may be limiting in the future. As stated in the </w:t>
      </w:r>
      <w:r>
        <w:lastRenderedPageBreak/>
        <w:t>analytical part of the report, it is possible to consider, in the future, the possibility of involvement of financial instruments in the area of support for social housing, where the suitability of involvement of aid in the form of equity investments cannot be excluded. Also, this form of aid must be considered beyond the horizon of the programming period, when it may be necessary to establish new structures and new know-how as the system of implementation under Art. 38(4</w:t>
      </w:r>
      <w:proofErr w:type="gramStart"/>
      <w:r>
        <w:t>)(</w:t>
      </w:r>
      <w:proofErr w:type="gramEnd"/>
      <w:r>
        <w:t>c) could not be used in such cases.</w:t>
      </w:r>
    </w:p>
    <w:p w:rsidR="00065632" w:rsidRPr="00537614" w:rsidRDefault="00065632" w:rsidP="00065632">
      <w:pPr>
        <w:pStyle w:val="Odstavecseseznamem"/>
        <w:numPr>
          <w:ilvl w:val="0"/>
          <w:numId w:val="58"/>
        </w:numPr>
      </w:pPr>
      <w:r>
        <w:t xml:space="preserve">State organisation units must not provide loans to other entities, therefore the MA would have proceed in accordance with the law on collective investing and establish an independent SICAV, which eliminates the advantage "MA managing alone", or the advantage of utilisation of existing public institutions; </w:t>
      </w:r>
    </w:p>
    <w:p w:rsidR="00065632" w:rsidRPr="00537614" w:rsidRDefault="00065632" w:rsidP="00065632">
      <w:pPr>
        <w:pStyle w:val="Odstavecseseznamem"/>
        <w:numPr>
          <w:ilvl w:val="0"/>
          <w:numId w:val="58"/>
        </w:numPr>
      </w:pPr>
      <w:r>
        <w:t>The Commission requires IFIs to be implemented through standard financial institutions, which SOU are not;</w:t>
      </w:r>
    </w:p>
    <w:p w:rsidR="00065632" w:rsidRPr="00537614" w:rsidRDefault="00065632" w:rsidP="00065632">
      <w:pPr>
        <w:pStyle w:val="Odstavecseseznamem"/>
        <w:numPr>
          <w:ilvl w:val="0"/>
          <w:numId w:val="58"/>
        </w:numPr>
      </w:pPr>
      <w:r>
        <w:t>Moreover, the Commission requires IFIs to be recorded separately and in accordance with all specific requirements for audit, administration and management, i.e. to be managed in accordance with standard procedures of corporate governance. Most SOU do not allow such management and administration;</w:t>
      </w:r>
    </w:p>
    <w:p w:rsidR="00065632" w:rsidRDefault="00065632" w:rsidP="00065632">
      <w:pPr>
        <w:pStyle w:val="Odstavecseseznamem"/>
        <w:numPr>
          <w:ilvl w:val="0"/>
          <w:numId w:val="58"/>
        </w:numPr>
      </w:pPr>
      <w:r>
        <w:t xml:space="preserve">If the principal and interest of provided loans were repaid directly to the managing authority, they would become income of the ministry, i.e. the state budget, this is, </w:t>
      </w:r>
      <w:proofErr w:type="gramStart"/>
      <w:r>
        <w:t>the</w:t>
      </w:r>
      <w:proofErr w:type="gramEnd"/>
      <w:r>
        <w:t xml:space="preserve"> regulation on the use of funds obtained through revolving within the meaning of Article 44 of the Common Provisions Regulation would be violated. This problem could be addressed by earmarking funds into a newly established successor fund, but this procedure would in practice eliminate the advantage of not establishing new structures and setting rights and obligations out of the managing authority, which is otherwise the major asset of MA-managed financial instrument.</w:t>
      </w:r>
    </w:p>
    <w:p w:rsidR="00065632" w:rsidRPr="00E76B62" w:rsidRDefault="00065632" w:rsidP="00065632">
      <w:pPr>
        <w:pStyle w:val="Odstavecseseznamem"/>
        <w:numPr>
          <w:ilvl w:val="0"/>
          <w:numId w:val="58"/>
        </w:numPr>
      </w:pPr>
      <w:r>
        <w:t>The managing authority may use a suitable entity within the respective section (SFHD), which has the necessary know how and experience and may be fully used in the implementation under Art. 38(4</w:t>
      </w:r>
      <w:proofErr w:type="gramStart"/>
      <w:r>
        <w:t>)(</w:t>
      </w:r>
      <w:proofErr w:type="gramEnd"/>
      <w:r>
        <w:t xml:space="preserve">b). </w:t>
      </w:r>
    </w:p>
    <w:p w:rsidR="00065632" w:rsidRDefault="00065632" w:rsidP="00674446">
      <w:pPr>
        <w:rPr>
          <w:u w:val="single"/>
        </w:rPr>
      </w:pPr>
      <w:r>
        <w:rPr>
          <w:u w:val="single"/>
        </w:rPr>
        <w:t>Below is a summary of advantages and disadvantages of use of each option, which were assessed as most suitable for the current conditions of the IROP of the CR – the option of involvement of a selected public entity and the option of financial instrument management by the MA</w:t>
      </w:r>
    </w:p>
    <w:p w:rsidR="00065632" w:rsidRDefault="00065632">
      <w:pPr>
        <w:spacing w:after="0"/>
        <w:jc w:val="left"/>
        <w:rPr>
          <w:u w:val="single"/>
        </w:rPr>
      </w:pPr>
      <w:r>
        <w:br w:type="page"/>
      </w:r>
    </w:p>
    <w:p w:rsidR="00065632" w:rsidRDefault="00065632" w:rsidP="00674446">
      <w:pPr>
        <w:rPr>
          <w:u w:val="single"/>
        </w:rPr>
      </w:pPr>
    </w:p>
    <w:tbl>
      <w:tblPr>
        <w:tblW w:w="9526" w:type="dxa"/>
        <w:tblInd w:w="-56" w:type="dxa"/>
        <w:tblBorders>
          <w:bottom w:val="single" w:sz="4" w:space="0" w:color="92D400"/>
          <w:insideH w:val="single" w:sz="4" w:space="0" w:color="92D400"/>
        </w:tblBorders>
        <w:tblCellMar>
          <w:top w:w="28" w:type="dxa"/>
          <w:left w:w="28" w:type="dxa"/>
          <w:bottom w:w="28" w:type="dxa"/>
          <w:right w:w="28" w:type="dxa"/>
        </w:tblCellMar>
        <w:tblLook w:val="00A0" w:firstRow="1" w:lastRow="0" w:firstColumn="1" w:lastColumn="0" w:noHBand="0" w:noVBand="0"/>
      </w:tblPr>
      <w:tblGrid>
        <w:gridCol w:w="595"/>
        <w:gridCol w:w="4536"/>
        <w:gridCol w:w="4395"/>
      </w:tblGrid>
      <w:tr w:rsidR="00065632" w:rsidRPr="004843FD">
        <w:tc>
          <w:tcPr>
            <w:tcW w:w="595" w:type="dxa"/>
            <w:shd w:val="clear" w:color="auto" w:fill="92D400"/>
          </w:tcPr>
          <w:p w:rsidR="00065632" w:rsidRPr="00693AAF" w:rsidRDefault="00065632" w:rsidP="00693AAF">
            <w:pPr>
              <w:spacing w:after="0"/>
              <w:jc w:val="center"/>
              <w:rPr>
                <w:b/>
                <w:bCs/>
                <w:color w:val="FFFFFF"/>
              </w:rPr>
            </w:pPr>
          </w:p>
        </w:tc>
        <w:tc>
          <w:tcPr>
            <w:tcW w:w="4536" w:type="dxa"/>
            <w:shd w:val="clear" w:color="auto" w:fill="92D400"/>
          </w:tcPr>
          <w:p w:rsidR="00065632" w:rsidRPr="00693AAF" w:rsidRDefault="00065632" w:rsidP="00693AAF">
            <w:pPr>
              <w:spacing w:after="0"/>
              <w:jc w:val="center"/>
              <w:rPr>
                <w:b/>
                <w:bCs/>
                <w:color w:val="FFFFFF"/>
              </w:rPr>
            </w:pPr>
            <w:r w:rsidRPr="00693AAF">
              <w:rPr>
                <w:b/>
                <w:bCs/>
                <w:color w:val="FFFFFF"/>
              </w:rPr>
              <w:t>Option 1 Involvement of a public entity</w:t>
            </w:r>
          </w:p>
          <w:p w:rsidR="00065632" w:rsidRPr="00693AAF" w:rsidRDefault="00065632" w:rsidP="00693AAF">
            <w:pPr>
              <w:spacing w:after="0"/>
              <w:jc w:val="center"/>
              <w:rPr>
                <w:b/>
                <w:bCs/>
                <w:color w:val="FFFFFF"/>
              </w:rPr>
            </w:pPr>
            <w:r w:rsidRPr="00693AAF">
              <w:rPr>
                <w:b/>
                <w:bCs/>
                <w:color w:val="FFFFFF"/>
              </w:rPr>
              <w:t>(CMZRB, SEF or SFHD)</w:t>
            </w:r>
          </w:p>
        </w:tc>
        <w:tc>
          <w:tcPr>
            <w:tcW w:w="4395" w:type="dxa"/>
            <w:shd w:val="clear" w:color="auto" w:fill="92D400"/>
          </w:tcPr>
          <w:p w:rsidR="00065632" w:rsidRPr="00693AAF" w:rsidRDefault="00065632" w:rsidP="00693AAF">
            <w:pPr>
              <w:spacing w:after="0"/>
              <w:jc w:val="center"/>
              <w:rPr>
                <w:b/>
                <w:bCs/>
                <w:color w:val="FFFFFF"/>
              </w:rPr>
            </w:pPr>
            <w:r w:rsidRPr="00693AAF">
              <w:rPr>
                <w:b/>
                <w:bCs/>
                <w:color w:val="FFFFFF"/>
              </w:rPr>
              <w:t>Option 2 – Implementation by the managing authority</w:t>
            </w:r>
          </w:p>
        </w:tc>
      </w:tr>
      <w:tr w:rsidR="00065632" w:rsidRPr="004843FD">
        <w:trPr>
          <w:cantSplit/>
          <w:trHeight w:val="1134"/>
        </w:trPr>
        <w:tc>
          <w:tcPr>
            <w:tcW w:w="595" w:type="dxa"/>
            <w:shd w:val="clear" w:color="auto" w:fill="D9FF87"/>
            <w:textDirection w:val="btLr"/>
            <w:vAlign w:val="center"/>
          </w:tcPr>
          <w:p w:rsidR="00065632" w:rsidRPr="00693AAF" w:rsidRDefault="00065632" w:rsidP="00693AAF">
            <w:pPr>
              <w:ind w:left="37" w:right="113"/>
              <w:jc w:val="center"/>
              <w:rPr>
                <w:b/>
                <w:bCs/>
              </w:rPr>
            </w:pPr>
            <w:r w:rsidRPr="00693AAF">
              <w:rPr>
                <w:b/>
                <w:bCs/>
              </w:rPr>
              <w:t>ADVANTAGES</w:t>
            </w:r>
          </w:p>
        </w:tc>
        <w:tc>
          <w:tcPr>
            <w:tcW w:w="4536" w:type="dxa"/>
            <w:shd w:val="clear" w:color="auto" w:fill="FFFFFF"/>
          </w:tcPr>
          <w:p w:rsidR="00065632" w:rsidRPr="00693AAF" w:rsidRDefault="00065632" w:rsidP="00065632">
            <w:pPr>
              <w:numPr>
                <w:ilvl w:val="0"/>
                <w:numId w:val="62"/>
              </w:numPr>
              <w:tabs>
                <w:tab w:val="clear" w:pos="720"/>
              </w:tabs>
              <w:ind w:left="397"/>
              <w:jc w:val="left"/>
            </w:pPr>
            <w:r>
              <w:t>Experience with the banking sector, more natural partner for the preparation of the instrument set-up and for its management</w:t>
            </w:r>
          </w:p>
          <w:p w:rsidR="00065632" w:rsidRPr="00693AAF" w:rsidRDefault="00065632" w:rsidP="00065632">
            <w:pPr>
              <w:numPr>
                <w:ilvl w:val="0"/>
                <w:numId w:val="62"/>
              </w:numPr>
              <w:tabs>
                <w:tab w:val="clear" w:pos="720"/>
              </w:tabs>
              <w:ind w:left="397"/>
              <w:jc w:val="left"/>
            </w:pPr>
            <w:r>
              <w:t>Better actual availability in the territory, possibility to use (new) branches in the CR regions</w:t>
            </w:r>
          </w:p>
          <w:p w:rsidR="00065632" w:rsidRPr="00693AAF" w:rsidRDefault="00065632" w:rsidP="00065632">
            <w:pPr>
              <w:numPr>
                <w:ilvl w:val="0"/>
                <w:numId w:val="62"/>
              </w:numPr>
              <w:tabs>
                <w:tab w:val="clear" w:pos="720"/>
              </w:tabs>
              <w:ind w:left="397"/>
              <w:jc w:val="left"/>
            </w:pPr>
            <w:r>
              <w:t>Hands-on experience in the current period (CMZRB and PROGRES, SEF and national loans, SFHD and JESSICA), possibility of partial re-use of existing process set-up</w:t>
            </w:r>
          </w:p>
          <w:p w:rsidR="00065632" w:rsidRPr="00693AAF" w:rsidRDefault="00065632" w:rsidP="00065632">
            <w:pPr>
              <w:numPr>
                <w:ilvl w:val="0"/>
                <w:numId w:val="62"/>
              </w:numPr>
              <w:tabs>
                <w:tab w:val="clear" w:pos="720"/>
              </w:tabs>
              <w:ind w:left="397"/>
              <w:jc w:val="left"/>
            </w:pPr>
            <w:r>
              <w:t xml:space="preserve">Potential for a more rapid readiness for commencement of drawing, less preparations </w:t>
            </w:r>
          </w:p>
          <w:p w:rsidR="00065632" w:rsidRPr="00693AAF" w:rsidRDefault="00065632" w:rsidP="00065632">
            <w:pPr>
              <w:numPr>
                <w:ilvl w:val="0"/>
                <w:numId w:val="62"/>
              </w:numPr>
              <w:tabs>
                <w:tab w:val="clear" w:pos="720"/>
              </w:tabs>
              <w:ind w:left="397"/>
              <w:jc w:val="left"/>
            </w:pPr>
            <w:r>
              <w:t>Potential to use a co-financing entity (a bank or several banks), minimisation of potential crowding-out effect, possibility to use leverage</w:t>
            </w:r>
          </w:p>
          <w:p w:rsidR="00065632" w:rsidRPr="00693AAF" w:rsidRDefault="00065632" w:rsidP="00065632">
            <w:pPr>
              <w:numPr>
                <w:ilvl w:val="0"/>
                <w:numId w:val="62"/>
              </w:numPr>
              <w:tabs>
                <w:tab w:val="clear" w:pos="720"/>
              </w:tabs>
              <w:ind w:left="397"/>
              <w:jc w:val="left"/>
            </w:pPr>
            <w:r>
              <w:t>A more suitable option in case of limited pilot testing of interest in the financial instrument, use of existing structures and capacities</w:t>
            </w:r>
          </w:p>
          <w:p w:rsidR="00065632" w:rsidRPr="00693AAF" w:rsidRDefault="00065632" w:rsidP="00065632">
            <w:pPr>
              <w:numPr>
                <w:ilvl w:val="0"/>
                <w:numId w:val="62"/>
              </w:numPr>
              <w:tabs>
                <w:tab w:val="clear" w:pos="720"/>
              </w:tabs>
              <w:ind w:left="397"/>
              <w:jc w:val="left"/>
            </w:pPr>
            <w:r>
              <w:t>Potential for fast drawing, the beneficiaries may draw on previous experience, the effect of fear of new and untried does not apply</w:t>
            </w:r>
          </w:p>
          <w:p w:rsidR="00065632" w:rsidRPr="00693AAF" w:rsidRDefault="00065632" w:rsidP="00065632">
            <w:pPr>
              <w:numPr>
                <w:ilvl w:val="0"/>
                <w:numId w:val="62"/>
              </w:numPr>
              <w:tabs>
                <w:tab w:val="clear" w:pos="720"/>
              </w:tabs>
              <w:ind w:left="397"/>
              <w:jc w:val="left"/>
            </w:pPr>
            <w:r>
              <w:t>Transparency and clarity in relation to operational programmes which plan to use (if the implement the IFI) this procedure</w:t>
            </w:r>
          </w:p>
          <w:p w:rsidR="00065632" w:rsidRPr="00693AAF" w:rsidRDefault="00065632" w:rsidP="00065632">
            <w:pPr>
              <w:numPr>
                <w:ilvl w:val="0"/>
                <w:numId w:val="62"/>
              </w:numPr>
              <w:tabs>
                <w:tab w:val="clear" w:pos="720"/>
              </w:tabs>
              <w:ind w:left="397"/>
              <w:jc w:val="left"/>
            </w:pPr>
            <w:r>
              <w:t>Effective reduction in the risk in case of irregularities or inability of the involved entity to fulfil its role – experience from the previous period</w:t>
            </w:r>
          </w:p>
          <w:p w:rsidR="00065632" w:rsidRPr="00693AAF" w:rsidRDefault="00065632" w:rsidP="00065632">
            <w:pPr>
              <w:numPr>
                <w:ilvl w:val="0"/>
                <w:numId w:val="62"/>
              </w:numPr>
              <w:tabs>
                <w:tab w:val="clear" w:pos="720"/>
              </w:tabs>
              <w:ind w:left="397"/>
              <w:jc w:val="left"/>
            </w:pPr>
            <w:r>
              <w:t>Lower demands on establishing administrative capacities, possibility to use existing staff (retraining, reallocation)</w:t>
            </w:r>
          </w:p>
          <w:p w:rsidR="00065632" w:rsidRPr="00693AAF" w:rsidRDefault="00065632" w:rsidP="00065632">
            <w:pPr>
              <w:numPr>
                <w:ilvl w:val="0"/>
                <w:numId w:val="62"/>
              </w:numPr>
              <w:tabs>
                <w:tab w:val="clear" w:pos="720"/>
              </w:tabs>
              <w:ind w:left="397"/>
              <w:jc w:val="left"/>
            </w:pPr>
            <w:r>
              <w:t>Advantage of using a functional and standardised solution of the loan process based on the private sector know-how</w:t>
            </w:r>
          </w:p>
        </w:tc>
        <w:tc>
          <w:tcPr>
            <w:tcW w:w="4395" w:type="dxa"/>
            <w:shd w:val="clear" w:color="auto" w:fill="FFFFFF"/>
          </w:tcPr>
          <w:p w:rsidR="00065632" w:rsidRPr="00693AAF" w:rsidRDefault="00065632" w:rsidP="00065632">
            <w:pPr>
              <w:numPr>
                <w:ilvl w:val="0"/>
                <w:numId w:val="62"/>
              </w:numPr>
              <w:tabs>
                <w:tab w:val="clear" w:pos="720"/>
              </w:tabs>
              <w:ind w:left="397"/>
              <w:jc w:val="left"/>
            </w:pPr>
            <w:r>
              <w:t xml:space="preserve">Assumption of a simpler method of carrying out monitoring, reporting and controls due to aggregation of all roles in an entity established by the </w:t>
            </w:r>
            <w:proofErr w:type="spellStart"/>
            <w:r>
              <w:t>MoRD</w:t>
            </w:r>
            <w:proofErr w:type="spellEnd"/>
          </w:p>
          <w:p w:rsidR="00065632" w:rsidRPr="00693AAF" w:rsidRDefault="00065632" w:rsidP="00065632">
            <w:pPr>
              <w:numPr>
                <w:ilvl w:val="0"/>
                <w:numId w:val="62"/>
              </w:numPr>
              <w:tabs>
                <w:tab w:val="clear" w:pos="720"/>
              </w:tabs>
              <w:ind w:left="397"/>
              <w:jc w:val="left"/>
            </w:pPr>
            <w:r>
              <w:t>Possibility to set-up a very simple and user-friendly solution of the instrument ("start from scratch"), e.g. in the case of carrying out rating, setting requirements for guarantees, use of A4 single-page forms, etc.</w:t>
            </w:r>
          </w:p>
          <w:p w:rsidR="00065632" w:rsidRPr="00693AAF" w:rsidRDefault="00065632" w:rsidP="00065632">
            <w:pPr>
              <w:numPr>
                <w:ilvl w:val="0"/>
                <w:numId w:val="62"/>
              </w:numPr>
              <w:tabs>
                <w:tab w:val="clear" w:pos="720"/>
              </w:tabs>
              <w:ind w:left="397"/>
              <w:jc w:val="left"/>
            </w:pPr>
            <w:r>
              <w:t>Potential savings on the management and success fees – the activities are carried out by a single entity</w:t>
            </w:r>
          </w:p>
        </w:tc>
      </w:tr>
    </w:tbl>
    <w:p w:rsidR="00065632" w:rsidRDefault="00065632" w:rsidP="00674446">
      <w:pPr>
        <w:rPr>
          <w:u w:val="single"/>
        </w:rPr>
      </w:pPr>
    </w:p>
    <w:p w:rsidR="00065632" w:rsidRDefault="00065632">
      <w:pPr>
        <w:spacing w:after="0"/>
        <w:jc w:val="left"/>
        <w:rPr>
          <w:u w:val="single"/>
        </w:rPr>
      </w:pPr>
      <w:r>
        <w:br w:type="page"/>
      </w:r>
    </w:p>
    <w:tbl>
      <w:tblPr>
        <w:tblW w:w="0" w:type="auto"/>
        <w:tblInd w:w="-56" w:type="dxa"/>
        <w:tblBorders>
          <w:bottom w:val="single" w:sz="4" w:space="0" w:color="92D400"/>
          <w:insideH w:val="single" w:sz="4" w:space="0" w:color="92D400"/>
        </w:tblBorders>
        <w:tblCellMar>
          <w:top w:w="28" w:type="dxa"/>
          <w:left w:w="28" w:type="dxa"/>
          <w:bottom w:w="28" w:type="dxa"/>
          <w:right w:w="28" w:type="dxa"/>
        </w:tblCellMar>
        <w:tblLook w:val="00A0" w:firstRow="1" w:lastRow="0" w:firstColumn="1" w:lastColumn="0" w:noHBand="0" w:noVBand="0"/>
      </w:tblPr>
      <w:tblGrid>
        <w:gridCol w:w="454"/>
        <w:gridCol w:w="4336"/>
        <w:gridCol w:w="4336"/>
      </w:tblGrid>
      <w:tr w:rsidR="00065632" w:rsidRPr="004843FD">
        <w:tc>
          <w:tcPr>
            <w:tcW w:w="454" w:type="dxa"/>
            <w:shd w:val="clear" w:color="auto" w:fill="92D400"/>
          </w:tcPr>
          <w:p w:rsidR="00065632" w:rsidRPr="00693AAF" w:rsidRDefault="00065632" w:rsidP="00693AAF">
            <w:pPr>
              <w:spacing w:after="0"/>
              <w:rPr>
                <w:b/>
                <w:bCs/>
                <w:color w:val="FFFFFF"/>
              </w:rPr>
            </w:pPr>
          </w:p>
        </w:tc>
        <w:tc>
          <w:tcPr>
            <w:tcW w:w="4336" w:type="dxa"/>
            <w:shd w:val="clear" w:color="auto" w:fill="92D400"/>
          </w:tcPr>
          <w:p w:rsidR="00065632" w:rsidRPr="00693AAF" w:rsidRDefault="00065632" w:rsidP="00693AAF">
            <w:pPr>
              <w:spacing w:after="0"/>
              <w:jc w:val="center"/>
              <w:rPr>
                <w:b/>
                <w:bCs/>
                <w:color w:val="FFFFFF"/>
              </w:rPr>
            </w:pPr>
            <w:r w:rsidRPr="00693AAF">
              <w:rPr>
                <w:b/>
                <w:bCs/>
                <w:color w:val="FFFFFF"/>
              </w:rPr>
              <w:t>Option 1 Involvement of a public entity</w:t>
            </w:r>
          </w:p>
          <w:p w:rsidR="00065632" w:rsidRPr="00693AAF" w:rsidRDefault="00065632" w:rsidP="00693AAF">
            <w:pPr>
              <w:spacing w:after="0"/>
              <w:jc w:val="center"/>
              <w:rPr>
                <w:b/>
                <w:bCs/>
                <w:color w:val="FFFFFF"/>
              </w:rPr>
            </w:pPr>
            <w:r w:rsidRPr="00693AAF">
              <w:rPr>
                <w:b/>
                <w:bCs/>
                <w:color w:val="FFFFFF"/>
              </w:rPr>
              <w:t>(CMZRB, SEF or SFHD)</w:t>
            </w:r>
          </w:p>
        </w:tc>
        <w:tc>
          <w:tcPr>
            <w:tcW w:w="4336" w:type="dxa"/>
            <w:shd w:val="clear" w:color="auto" w:fill="92D400"/>
          </w:tcPr>
          <w:p w:rsidR="00065632" w:rsidRPr="00693AAF" w:rsidRDefault="00065632" w:rsidP="00693AAF">
            <w:pPr>
              <w:spacing w:after="0"/>
              <w:jc w:val="center"/>
              <w:rPr>
                <w:b/>
                <w:bCs/>
                <w:color w:val="FFFFFF"/>
              </w:rPr>
            </w:pPr>
            <w:r w:rsidRPr="00693AAF">
              <w:rPr>
                <w:b/>
                <w:bCs/>
                <w:color w:val="FFFFFF"/>
              </w:rPr>
              <w:t>Option 2 – Implementation by the managing authority</w:t>
            </w:r>
          </w:p>
        </w:tc>
      </w:tr>
      <w:tr w:rsidR="00065632" w:rsidRPr="004843FD">
        <w:trPr>
          <w:cantSplit/>
          <w:trHeight w:val="1134"/>
        </w:trPr>
        <w:tc>
          <w:tcPr>
            <w:tcW w:w="454" w:type="dxa"/>
            <w:shd w:val="clear" w:color="auto" w:fill="D9FF87"/>
            <w:textDirection w:val="btLr"/>
            <w:vAlign w:val="center"/>
          </w:tcPr>
          <w:p w:rsidR="00065632" w:rsidRPr="00693AAF" w:rsidRDefault="00065632" w:rsidP="00693AAF">
            <w:pPr>
              <w:ind w:left="113" w:right="113"/>
              <w:jc w:val="center"/>
              <w:rPr>
                <w:b/>
                <w:bCs/>
              </w:rPr>
            </w:pPr>
            <w:r w:rsidRPr="00693AAF">
              <w:rPr>
                <w:b/>
                <w:bCs/>
              </w:rPr>
              <w:t>DISADVANTAGES</w:t>
            </w:r>
          </w:p>
        </w:tc>
        <w:tc>
          <w:tcPr>
            <w:tcW w:w="4336" w:type="dxa"/>
            <w:shd w:val="clear" w:color="auto" w:fill="FFFFFF"/>
          </w:tcPr>
          <w:p w:rsidR="00065632" w:rsidRPr="00693AAF" w:rsidRDefault="00065632" w:rsidP="00065632">
            <w:pPr>
              <w:numPr>
                <w:ilvl w:val="0"/>
                <w:numId w:val="62"/>
              </w:numPr>
              <w:tabs>
                <w:tab w:val="clear" w:pos="720"/>
              </w:tabs>
              <w:ind w:left="397"/>
              <w:jc w:val="left"/>
            </w:pPr>
            <w:r>
              <w:t>Relatively more difficult to coordinate and carry out reporting and controls; necessity to set-up channels of cooperation with the MA</w:t>
            </w:r>
          </w:p>
          <w:p w:rsidR="00065632" w:rsidRPr="00693AAF" w:rsidRDefault="00065632" w:rsidP="00065632">
            <w:pPr>
              <w:numPr>
                <w:ilvl w:val="0"/>
                <w:numId w:val="62"/>
              </w:numPr>
              <w:tabs>
                <w:tab w:val="clear" w:pos="720"/>
              </w:tabs>
              <w:ind w:left="397"/>
              <w:jc w:val="left"/>
            </w:pPr>
            <w:r>
              <w:t>The burden of the previous experience may be a limiting factor in the proposal of new, innovative instruments</w:t>
            </w:r>
          </w:p>
          <w:p w:rsidR="00065632" w:rsidRPr="00693AAF" w:rsidRDefault="00065632" w:rsidP="00065632">
            <w:pPr>
              <w:numPr>
                <w:ilvl w:val="0"/>
                <w:numId w:val="62"/>
              </w:numPr>
              <w:tabs>
                <w:tab w:val="clear" w:pos="720"/>
              </w:tabs>
              <w:ind w:left="397"/>
              <w:jc w:val="left"/>
            </w:pPr>
            <w:r>
              <w:t>Higher costs in terms of payment of the management fee and success fee (MA share and the authorised manager of the established fund or a bank)</w:t>
            </w:r>
          </w:p>
        </w:tc>
        <w:tc>
          <w:tcPr>
            <w:tcW w:w="4336" w:type="dxa"/>
            <w:shd w:val="clear" w:color="auto" w:fill="FFFFFF"/>
          </w:tcPr>
          <w:p w:rsidR="00065632" w:rsidRPr="00693AAF" w:rsidRDefault="00065632" w:rsidP="00065632">
            <w:pPr>
              <w:numPr>
                <w:ilvl w:val="0"/>
                <w:numId w:val="62"/>
              </w:numPr>
              <w:tabs>
                <w:tab w:val="clear" w:pos="720"/>
              </w:tabs>
              <w:ind w:left="397"/>
              <w:jc w:val="left"/>
            </w:pPr>
            <w:r>
              <w:t>Legislative barrier – instalments of provided loans would become income of the ministry, i.e. the state budget, this is, the regulation on the use of funds obtained through revolving within the meaning of Article 44 of the Common Provisions Regulation would be violated</w:t>
            </w:r>
          </w:p>
          <w:p w:rsidR="00065632" w:rsidRPr="00693AAF" w:rsidRDefault="00065632" w:rsidP="00065632">
            <w:pPr>
              <w:numPr>
                <w:ilvl w:val="0"/>
                <w:numId w:val="62"/>
              </w:numPr>
              <w:tabs>
                <w:tab w:val="clear" w:pos="720"/>
              </w:tabs>
              <w:ind w:left="397"/>
              <w:jc w:val="left"/>
            </w:pPr>
            <w:r>
              <w:t>Experience – the MA does not have previous experience with implementation of similar instruments and it does not have adequate financial, economic, organisational, technical or administrative background</w:t>
            </w:r>
          </w:p>
          <w:p w:rsidR="00065632" w:rsidRPr="00693AAF" w:rsidRDefault="00065632" w:rsidP="00065632">
            <w:pPr>
              <w:numPr>
                <w:ilvl w:val="0"/>
                <w:numId w:val="62"/>
              </w:numPr>
              <w:tabs>
                <w:tab w:val="clear" w:pos="720"/>
              </w:tabs>
              <w:ind w:left="397"/>
              <w:jc w:val="left"/>
            </w:pPr>
            <w:r>
              <w:t xml:space="preserve">A standard financial institution – the EU legislation lays down a requirement for the use of standard financial institutions, i.e. entities with a banking license, companies and alternative investment funds. The </w:t>
            </w:r>
            <w:proofErr w:type="spellStart"/>
            <w:r>
              <w:t>MoRD</w:t>
            </w:r>
            <w:proofErr w:type="spellEnd"/>
            <w:r>
              <w:t xml:space="preserve"> or any entity established by it are not a standard financial institution</w:t>
            </w:r>
          </w:p>
          <w:p w:rsidR="00065632" w:rsidRPr="00693AAF" w:rsidRDefault="00065632" w:rsidP="00065632">
            <w:pPr>
              <w:numPr>
                <w:ilvl w:val="0"/>
                <w:numId w:val="62"/>
              </w:numPr>
              <w:tabs>
                <w:tab w:val="clear" w:pos="720"/>
              </w:tabs>
              <w:ind w:left="397"/>
              <w:jc w:val="left"/>
            </w:pPr>
            <w:r>
              <w:t xml:space="preserve">Interest of final beneficiaries – a new entity directly controlled by the ministry may evoke fear of the unknown and lack of interest of beneficiaries </w:t>
            </w:r>
          </w:p>
          <w:p w:rsidR="00065632" w:rsidRPr="00693AAF" w:rsidRDefault="00065632" w:rsidP="00065632">
            <w:pPr>
              <w:numPr>
                <w:ilvl w:val="0"/>
                <w:numId w:val="62"/>
              </w:numPr>
              <w:tabs>
                <w:tab w:val="clear" w:pos="720"/>
              </w:tabs>
              <w:ind w:left="397"/>
              <w:jc w:val="left"/>
            </w:pPr>
            <w:r>
              <w:t xml:space="preserve">Lack of territorial availability; projects would have to be dealt with only directly at the entity established by the </w:t>
            </w:r>
            <w:proofErr w:type="spellStart"/>
            <w:r>
              <w:t>MoRD</w:t>
            </w:r>
            <w:proofErr w:type="spellEnd"/>
          </w:p>
          <w:p w:rsidR="00065632" w:rsidRPr="00693AAF" w:rsidRDefault="00065632" w:rsidP="00065632">
            <w:pPr>
              <w:numPr>
                <w:ilvl w:val="0"/>
                <w:numId w:val="62"/>
              </w:numPr>
              <w:tabs>
                <w:tab w:val="clear" w:pos="720"/>
              </w:tabs>
              <w:ind w:left="397"/>
              <w:jc w:val="left"/>
            </w:pPr>
            <w:r>
              <w:t>A less suitable option in case of limited pilot testing of interest in the financial instrument, necessity to build new capacities</w:t>
            </w:r>
          </w:p>
          <w:p w:rsidR="00065632" w:rsidRPr="00693AAF" w:rsidRDefault="00065632" w:rsidP="00065632">
            <w:pPr>
              <w:numPr>
                <w:ilvl w:val="0"/>
                <w:numId w:val="62"/>
              </w:numPr>
              <w:tabs>
                <w:tab w:val="clear" w:pos="720"/>
              </w:tabs>
              <w:ind w:left="397"/>
              <w:jc w:val="left"/>
            </w:pPr>
            <w:r>
              <w:t>Untested solution, need to clear a number of technical and procedural points, need to set a standardized solution of the loan process</w:t>
            </w:r>
          </w:p>
          <w:p w:rsidR="00065632" w:rsidRPr="00693AAF" w:rsidRDefault="00065632" w:rsidP="00065632">
            <w:pPr>
              <w:numPr>
                <w:ilvl w:val="0"/>
                <w:numId w:val="62"/>
              </w:numPr>
              <w:tabs>
                <w:tab w:val="clear" w:pos="720"/>
              </w:tabs>
              <w:ind w:left="397"/>
              <w:jc w:val="left"/>
            </w:pPr>
            <w:r>
              <w:t xml:space="preserve">Problematic public opinion in case the </w:t>
            </w:r>
            <w:proofErr w:type="spellStart"/>
            <w:r>
              <w:t>MoRD</w:t>
            </w:r>
            <w:proofErr w:type="spellEnd"/>
            <w:r>
              <w:t xml:space="preserve"> (or an entity established by it) recovers unpaid claims of final beneficiaries</w:t>
            </w:r>
          </w:p>
          <w:p w:rsidR="00065632" w:rsidRPr="00693AAF" w:rsidRDefault="00065632" w:rsidP="00065632">
            <w:pPr>
              <w:numPr>
                <w:ilvl w:val="0"/>
                <w:numId w:val="62"/>
              </w:numPr>
              <w:tabs>
                <w:tab w:val="clear" w:pos="720"/>
              </w:tabs>
              <w:ind w:left="397"/>
              <w:jc w:val="left"/>
            </w:pPr>
            <w:r>
              <w:t>Impossibility to provide future assistance in the form of equity investments (the relevant article of the GR only allows loans and guarantees)</w:t>
            </w:r>
          </w:p>
        </w:tc>
      </w:tr>
    </w:tbl>
    <w:p w:rsidR="00065632" w:rsidRDefault="00065632" w:rsidP="00674446">
      <w:pPr>
        <w:pStyle w:val="Titulek"/>
      </w:pPr>
      <w:bookmarkStart w:id="145" w:name="_Toc417655508"/>
      <w:bookmarkStart w:id="146" w:name="_Toc426033919"/>
      <w:r>
        <w:t xml:space="preserve">Table </w:t>
      </w:r>
      <w:r>
        <w:fldChar w:fldCharType="begin"/>
      </w:r>
      <w:r>
        <w:instrText xml:space="preserve"> SEQ Tabulka \* ARABIC </w:instrText>
      </w:r>
      <w:r>
        <w:fldChar w:fldCharType="separate"/>
      </w:r>
      <w:r>
        <w:rPr>
          <w:noProof/>
        </w:rPr>
        <w:t>10</w:t>
      </w:r>
      <w:r>
        <w:fldChar w:fldCharType="end"/>
      </w:r>
      <w:r>
        <w:t>: A summary of advantages and disadvantages of each variant of implementation arrangement</w:t>
      </w:r>
      <w:bookmarkEnd w:id="145"/>
      <w:bookmarkEnd w:id="146"/>
    </w:p>
    <w:p w:rsidR="00065632" w:rsidRPr="00BE0A24" w:rsidRDefault="00065632" w:rsidP="00F36672">
      <w:r>
        <w:rPr>
          <w:b/>
          <w:bCs/>
        </w:rPr>
        <w:t>With regard to the above, the best suited form of implementation arrangement is application of Art. 38(4</w:t>
      </w:r>
      <w:proofErr w:type="gramStart"/>
      <w:r>
        <w:rPr>
          <w:b/>
          <w:bCs/>
        </w:rPr>
        <w:t>)(</w:t>
      </w:r>
      <w:proofErr w:type="gramEnd"/>
      <w:r>
        <w:rPr>
          <w:b/>
          <w:bCs/>
        </w:rPr>
        <w:t xml:space="preserve">b) of the Common Provisions Regulation. </w:t>
      </w:r>
      <w:r>
        <w:t>Further assessment of suitability and proposals for the implementation arrangement are elaborated in the following chapters in accordance with this logical line.</w:t>
      </w:r>
    </w:p>
    <w:p w:rsidR="00065632" w:rsidRDefault="00065632" w:rsidP="00F36672">
      <w:pPr>
        <w:pStyle w:val="Nadpis3"/>
      </w:pPr>
      <w:bookmarkStart w:id="147" w:name="_Toc418767154"/>
      <w:bookmarkStart w:id="148" w:name="_Toc426033664"/>
      <w:proofErr w:type="gramStart"/>
      <w:r>
        <w:t>Assessment of suitability of involvement of entities under Art.</w:t>
      </w:r>
      <w:proofErr w:type="gramEnd"/>
      <w:r>
        <w:t xml:space="preserve"> 38(4</w:t>
      </w:r>
      <w:proofErr w:type="gramStart"/>
      <w:r>
        <w:t>)(</w:t>
      </w:r>
      <w:proofErr w:type="gramEnd"/>
      <w:r>
        <w:t>b) of the Common Provisions Regulation</w:t>
      </w:r>
      <w:bookmarkEnd w:id="147"/>
      <w:bookmarkEnd w:id="148"/>
    </w:p>
    <w:p w:rsidR="00065632" w:rsidRPr="00A90A7A" w:rsidRDefault="00065632" w:rsidP="00F36672">
      <w:pPr>
        <w:pStyle w:val="BodyText1"/>
        <w:spacing w:after="120"/>
        <w:jc w:val="both"/>
      </w:pPr>
      <w:r>
        <w:t xml:space="preserve">Entities implementing financial instruments can be international financial institutions and financial institutions established in a member state, the EIB Group, public and private entities. The Common Provisions Regulation also defines a requirement for "compliance with the principles of sound financial </w:t>
      </w:r>
      <w:r>
        <w:lastRenderedPageBreak/>
        <w:t xml:space="preserve">management" which can be interpreted as the implementation of financial instruments in line with market practices and standards. </w:t>
      </w:r>
    </w:p>
    <w:p w:rsidR="00065632" w:rsidRPr="00A90A7A" w:rsidRDefault="00065632" w:rsidP="00F36672">
      <w:r>
        <w:t xml:space="preserve">Individual Commission regulations do not specifically define requirements for legal personality of entities implementing financial instruments. However, it is required that the financial instruments are set up either as independent legal entities managed by shareholders or on the basis of co-financing agreements, or as separate financial and accounting entities within financial institutions. In addition, the structure chosen must be consistent with the Public Procurement Act, state aid and other related EU and national legislation. </w:t>
      </w:r>
    </w:p>
    <w:p w:rsidR="00065632" w:rsidRDefault="00065632" w:rsidP="00F36672">
      <w:r>
        <w:t xml:space="preserve">Innovative financial instruments (IFIs) can be implemented through a two-stage (considering involvement of a Fund of Funds) or single-stage structure (only the financial instrument level is considered), degree of centralisation can range from a completely centralised system, under which each MA uses the same implementation structure, to completely decentralised system, where each MA implements a financial instrument separately. </w:t>
      </w:r>
    </w:p>
    <w:p w:rsidR="00065632" w:rsidRDefault="00065632" w:rsidP="00F36672">
      <w:pPr>
        <w:spacing w:before="120"/>
      </w:pPr>
      <w:r>
        <w:rPr>
          <w:b/>
          <w:bCs/>
        </w:rPr>
        <w:t>Selection of entities</w:t>
      </w:r>
      <w:r>
        <w:t xml:space="preserve"> must </w:t>
      </w:r>
      <w:proofErr w:type="gramStart"/>
      <w:r>
        <w:t>proceed</w:t>
      </w:r>
      <w:proofErr w:type="gramEnd"/>
      <w:r>
        <w:t xml:space="preserve"> in accordance with the national and EU legislation, in particular the PCA and similar laws.</w:t>
      </w:r>
    </w:p>
    <w:p w:rsidR="00065632" w:rsidRPr="004843FD" w:rsidRDefault="00065632" w:rsidP="00F36672">
      <w:pPr>
        <w:spacing w:before="120"/>
      </w:pPr>
      <w:proofErr w:type="gramStart"/>
      <w:r>
        <w:rPr>
          <w:b/>
          <w:bCs/>
        </w:rPr>
        <w:t>Before choosing an entity to implement the financial instruments</w:t>
      </w:r>
      <w:r>
        <w:t xml:space="preserve"> pursuant to Art.</w:t>
      </w:r>
      <w:proofErr w:type="gramEnd"/>
      <w:r>
        <w:t xml:space="preserve"> 38(4</w:t>
      </w:r>
      <w:proofErr w:type="gramStart"/>
      <w:r>
        <w:t>)(</w:t>
      </w:r>
      <w:proofErr w:type="gramEnd"/>
      <w:r>
        <w:t>a)</w:t>
      </w:r>
      <w:r>
        <w:br/>
        <w:t>and Art. 38(4</w:t>
      </w:r>
      <w:proofErr w:type="gramStart"/>
      <w:r>
        <w:t>)(</w:t>
      </w:r>
      <w:proofErr w:type="gramEnd"/>
      <w:r>
        <w:t xml:space="preserve">b), </w:t>
      </w:r>
      <w:r>
        <w:rPr>
          <w:b/>
          <w:bCs/>
        </w:rPr>
        <w:t>the MA must make sure that these entities fulfil the following requirements:</w:t>
      </w:r>
    </w:p>
    <w:p w:rsidR="00065632" w:rsidRPr="004843FD" w:rsidRDefault="00065632" w:rsidP="00065632">
      <w:pPr>
        <w:pStyle w:val="Odstavecseseznamem"/>
        <w:numPr>
          <w:ilvl w:val="0"/>
          <w:numId w:val="8"/>
        </w:numPr>
        <w:ind w:left="714" w:hanging="357"/>
      </w:pPr>
      <w:r>
        <w:t>Authorization to implement financial instruments in accordance with national and EU legislation;</w:t>
      </w:r>
    </w:p>
    <w:p w:rsidR="00065632" w:rsidRPr="004843FD" w:rsidRDefault="00065632" w:rsidP="00065632">
      <w:pPr>
        <w:pStyle w:val="Odstavecseseznamem"/>
        <w:numPr>
          <w:ilvl w:val="0"/>
          <w:numId w:val="8"/>
        </w:numPr>
        <w:ind w:left="714" w:hanging="357"/>
      </w:pPr>
      <w:r>
        <w:t>Financial and economic viability;</w:t>
      </w:r>
    </w:p>
    <w:p w:rsidR="00065632" w:rsidRPr="004843FD" w:rsidRDefault="00065632" w:rsidP="00065632">
      <w:pPr>
        <w:pStyle w:val="Odstavecseseznamem"/>
        <w:numPr>
          <w:ilvl w:val="0"/>
          <w:numId w:val="8"/>
        </w:numPr>
        <w:ind w:left="714" w:hanging="357"/>
      </w:pPr>
      <w:r>
        <w:t>Adequate capacity for the implementation of the financial instrument including the organisational structure and system of management and governance;</w:t>
      </w:r>
    </w:p>
    <w:p w:rsidR="00065632" w:rsidRPr="004843FD" w:rsidRDefault="00065632" w:rsidP="00065632">
      <w:pPr>
        <w:pStyle w:val="Odstavecseseznamem"/>
        <w:numPr>
          <w:ilvl w:val="0"/>
          <w:numId w:val="8"/>
        </w:numPr>
        <w:ind w:left="714" w:hanging="357"/>
      </w:pPr>
      <w:r>
        <w:t>Existence of an effective internal control system;</w:t>
      </w:r>
    </w:p>
    <w:p w:rsidR="00065632" w:rsidRPr="004843FD" w:rsidRDefault="00065632" w:rsidP="00065632">
      <w:pPr>
        <w:pStyle w:val="Odstavecseseznamem"/>
        <w:numPr>
          <w:ilvl w:val="0"/>
          <w:numId w:val="8"/>
        </w:numPr>
        <w:ind w:left="714" w:hanging="357"/>
      </w:pPr>
      <w:r>
        <w:t>Use of an accounting system providing accurate, complete, and precise information;</w:t>
      </w:r>
    </w:p>
    <w:p w:rsidR="00065632" w:rsidRPr="004843FD" w:rsidRDefault="00065632" w:rsidP="00065632">
      <w:pPr>
        <w:pStyle w:val="Odstavecseseznamem"/>
        <w:numPr>
          <w:ilvl w:val="0"/>
          <w:numId w:val="8"/>
        </w:numPr>
        <w:ind w:left="714" w:hanging="357"/>
      </w:pPr>
      <w:r>
        <w:t>Consent to audit by audit authorities of the member state, the Commission and the European Court of Auditors.</w:t>
      </w:r>
    </w:p>
    <w:p w:rsidR="00065632" w:rsidRPr="004843FD" w:rsidRDefault="00065632" w:rsidP="00F36672">
      <w:pPr>
        <w:spacing w:before="120"/>
      </w:pPr>
      <w:r>
        <w:rPr>
          <w:b/>
          <w:bCs/>
        </w:rPr>
        <w:t>When choosing an entity that implements the financial instruments, the MA must respect the character of the financial instrument, the experience of that entity</w:t>
      </w:r>
      <w:r>
        <w:t xml:space="preserve"> with </w:t>
      </w:r>
      <w:r>
        <w:rPr>
          <w:b/>
          <w:bCs/>
        </w:rPr>
        <w:t>the implementation of similar financial instruments</w:t>
      </w:r>
      <w:r>
        <w:t xml:space="preserve">, knowledge and experience of the proposed expert team and the operational and financial capacities of the entity. </w:t>
      </w:r>
      <w:r>
        <w:rPr>
          <w:b/>
          <w:bCs/>
        </w:rPr>
        <w:t>Selection of the entity must be open and transparent</w:t>
      </w:r>
      <w:r>
        <w:t xml:space="preserve"> and it must not give rise to any doubts about the legitimacy and appropriateness of the selection. At least </w:t>
      </w:r>
      <w:r>
        <w:rPr>
          <w:b/>
          <w:bCs/>
        </w:rPr>
        <w:t>the following criteria should be used to select an entity:</w:t>
      </w:r>
    </w:p>
    <w:p w:rsidR="00065632" w:rsidRPr="004843FD" w:rsidRDefault="00065632" w:rsidP="00065632">
      <w:pPr>
        <w:pStyle w:val="Odstavecseseznamem"/>
        <w:numPr>
          <w:ilvl w:val="0"/>
          <w:numId w:val="9"/>
        </w:numPr>
      </w:pPr>
      <w:r>
        <w:t>Robustness, suitability and feasibility of the methodology for the selection of financial intermediaries/final beneficiaries;</w:t>
      </w:r>
    </w:p>
    <w:p w:rsidR="00065632" w:rsidRPr="004843FD" w:rsidRDefault="00065632" w:rsidP="00065632">
      <w:pPr>
        <w:pStyle w:val="Odstavecseseznamem"/>
        <w:numPr>
          <w:ilvl w:val="0"/>
          <w:numId w:val="9"/>
        </w:numPr>
      </w:pPr>
      <w:r>
        <w:t>Management fees, their feasibility and legitimacy;</w:t>
      </w:r>
    </w:p>
    <w:p w:rsidR="00065632" w:rsidRPr="004843FD" w:rsidRDefault="00065632" w:rsidP="00065632">
      <w:pPr>
        <w:pStyle w:val="Odstavecseseznamem"/>
        <w:numPr>
          <w:ilvl w:val="0"/>
          <w:numId w:val="9"/>
        </w:numPr>
      </w:pPr>
      <w:r>
        <w:t>Conditions and rules for the provision of assistance to final beneficiaries;</w:t>
      </w:r>
    </w:p>
    <w:p w:rsidR="00065632" w:rsidRPr="004843FD" w:rsidRDefault="00065632" w:rsidP="00065632">
      <w:pPr>
        <w:pStyle w:val="Odstavecseseznamem"/>
        <w:numPr>
          <w:ilvl w:val="0"/>
          <w:numId w:val="9"/>
        </w:numPr>
      </w:pPr>
      <w:r>
        <w:t>Ability to provide additional funds (co-financing) beyond the contribution of the operational programmes;</w:t>
      </w:r>
    </w:p>
    <w:p w:rsidR="00065632" w:rsidRPr="004843FD" w:rsidRDefault="00065632" w:rsidP="00065632">
      <w:pPr>
        <w:pStyle w:val="Odstavecseseznamem"/>
        <w:numPr>
          <w:ilvl w:val="0"/>
          <w:numId w:val="9"/>
        </w:numPr>
      </w:pPr>
      <w:r>
        <w:t>Ability to provide an additional activity (in terms of the amount of investments and loans), compared with the current situation;</w:t>
      </w:r>
    </w:p>
    <w:p w:rsidR="00065632" w:rsidRPr="004843FD" w:rsidRDefault="00065632" w:rsidP="00065632">
      <w:pPr>
        <w:pStyle w:val="Odstavecseseznamem"/>
        <w:numPr>
          <w:ilvl w:val="0"/>
          <w:numId w:val="9"/>
        </w:numPr>
      </w:pPr>
      <w:r>
        <w:t>If the entity which implements the financial instruments intends to co-finance specific projects by its own means, or will share their risks, it must demonstrate the measures taken to eliminate the conflict of interest.</w:t>
      </w:r>
    </w:p>
    <w:p w:rsidR="00065632" w:rsidRDefault="00065632" w:rsidP="00F36672">
      <w:pPr>
        <w:spacing w:before="120"/>
      </w:pPr>
      <w:r>
        <w:t xml:space="preserve">Based on the above requirements laid down by the Common Provisions Regulation and related methodologies, the Contractor assessed the following selected relevant entities: </w:t>
      </w:r>
    </w:p>
    <w:p w:rsidR="00065632" w:rsidRDefault="00065632" w:rsidP="00065632">
      <w:pPr>
        <w:pStyle w:val="Odstavecseseznamem"/>
        <w:numPr>
          <w:ilvl w:val="0"/>
          <w:numId w:val="51"/>
        </w:numPr>
        <w:rPr>
          <w:b/>
          <w:bCs/>
        </w:rPr>
      </w:pPr>
      <w:r>
        <w:rPr>
          <w:b/>
          <w:bCs/>
        </w:rPr>
        <w:t>European Investment Bank (meant as the EIB group, i.e. including the EIF);</w:t>
      </w:r>
    </w:p>
    <w:p w:rsidR="00065632" w:rsidRPr="004F4E5E" w:rsidRDefault="00065632" w:rsidP="00065632">
      <w:pPr>
        <w:pStyle w:val="Odstavecseseznamem"/>
        <w:numPr>
          <w:ilvl w:val="0"/>
          <w:numId w:val="51"/>
        </w:numPr>
        <w:rPr>
          <w:b/>
          <w:bCs/>
        </w:rPr>
      </w:pPr>
      <w:r>
        <w:rPr>
          <w:b/>
          <w:bCs/>
        </w:rPr>
        <w:t>Czech–Moravian Guarantee and Development Bank;</w:t>
      </w:r>
    </w:p>
    <w:p w:rsidR="00065632" w:rsidRPr="004F4E5E" w:rsidRDefault="00065632" w:rsidP="00065632">
      <w:pPr>
        <w:pStyle w:val="Odstavecseseznamem"/>
        <w:numPr>
          <w:ilvl w:val="0"/>
          <w:numId w:val="51"/>
        </w:numPr>
        <w:rPr>
          <w:b/>
          <w:bCs/>
        </w:rPr>
      </w:pPr>
      <w:r>
        <w:rPr>
          <w:b/>
          <w:bCs/>
        </w:rPr>
        <w:t>State Environmental Fund;</w:t>
      </w:r>
    </w:p>
    <w:p w:rsidR="00065632" w:rsidRPr="004F4E5E" w:rsidRDefault="00065632" w:rsidP="00065632">
      <w:pPr>
        <w:pStyle w:val="Odstavecseseznamem"/>
        <w:numPr>
          <w:ilvl w:val="0"/>
          <w:numId w:val="51"/>
        </w:numPr>
        <w:rPr>
          <w:b/>
          <w:bCs/>
        </w:rPr>
      </w:pPr>
      <w:r>
        <w:rPr>
          <w:b/>
          <w:bCs/>
        </w:rPr>
        <w:t>State Fund for Housing Development.</w:t>
      </w:r>
    </w:p>
    <w:p w:rsidR="00065632" w:rsidRPr="004843FD" w:rsidRDefault="00065632" w:rsidP="00F36672">
      <w:r>
        <w:lastRenderedPageBreak/>
        <w:t xml:space="preserve">The Contractor is not aware of any other alternatives among public bodies (contributory organisations, other state organisation units, etc.) than lose listed which would meet the qualifications criteria as defined in the introduction to this chapter. Since the IROP proposes the use of a loan instrument manageable by any of the above public institutions without major restrictions, </w:t>
      </w:r>
      <w:r>
        <w:rPr>
          <w:b/>
          <w:bCs/>
        </w:rPr>
        <w:t>the Contractor does not see it as necessary or desirable to consider use of newly established public bodies</w:t>
      </w:r>
      <w:r>
        <w:t xml:space="preserve">. For the sake of completeness, it should be stated that involvement of new entities in comparison with use of existing entities would lead to greater time and administrative complexity of the FI implementation. </w:t>
      </w:r>
    </w:p>
    <w:p w:rsidR="00065632" w:rsidRDefault="00065632" w:rsidP="00F36672">
      <w:pPr>
        <w:pStyle w:val="Nadpis4"/>
      </w:pPr>
      <w:r>
        <w:t>Assessment of the possibility of involvement of the EIB</w:t>
      </w:r>
    </w:p>
    <w:p w:rsidR="00065632" w:rsidRDefault="00065632" w:rsidP="00F36672">
      <w:r>
        <w:rPr>
          <w:b/>
          <w:bCs/>
        </w:rPr>
        <w:t>The European Investment Bank does not usually act at the level of financial instruments, i.e. typically in the role of the manager of a financial instrument</w:t>
      </w:r>
      <w:r>
        <w:t xml:space="preserve"> (Fund); however, this option is actually available. This fact is problematic mainly because the EIB has recently been charged with priority tasks by the European Commission associated with solution of the </w:t>
      </w:r>
      <w:proofErr w:type="spellStart"/>
      <w:r>
        <w:t>Juncker's</w:t>
      </w:r>
      <w:proofErr w:type="spellEnd"/>
      <w:r>
        <w:t xml:space="preserve"> package and with addressing the management of structures of the Fund of Funds for financial instruments in individual states. Although the involvement of the AIB at the level of financial instruments (specifically individual operational programmes) can be considered, such procedure is limited by the capacities and priorities of the bank itself. However, it should be noted that it is a very complicated and cumbersome solution of calculation with a system where Fund of Funds structures are established at the national "roof" level using local institutions (probably CMZRB), which subsequently communicate with the European Investment Bank at the operational programme level as the manager of a particular financial instrument. Again – this option is technically feasible but it is essentially very complicated and problematic, mainly in relation to applying various legal regulations (Czech ones at the Fund of Funds level, European ones at the level of the IROP fund manager), etc.</w:t>
      </w:r>
    </w:p>
    <w:p w:rsidR="00065632" w:rsidRDefault="00065632" w:rsidP="00F36672">
      <w:r>
        <w:t xml:space="preserve">An advantage of EIB involvement </w:t>
      </w:r>
      <w:r>
        <w:rPr>
          <w:b/>
          <w:bCs/>
        </w:rPr>
        <w:t>could therefore be faster commencement of drawing of financial instruments</w:t>
      </w:r>
      <w:r>
        <w:t xml:space="preserve"> (proceeding in accordance with standardised procedures, previously tested; possibility of direct award of EIB contract, i.e. this selection is not subject to rules and requirements of a public tender procedure), achieving </w:t>
      </w:r>
      <w:r>
        <w:rPr>
          <w:b/>
          <w:bCs/>
        </w:rPr>
        <w:t>greater credibility of the entire system</w:t>
      </w:r>
      <w:r>
        <w:t xml:space="preserve"> (the EIB should be a guarantee of quality of solution, mainly in comparison with issues of set-up of drawing through domestic structures in the 2007–2013 period), </w:t>
      </w:r>
      <w:r>
        <w:rPr>
          <w:b/>
          <w:bCs/>
        </w:rPr>
        <w:t>use of the potential for transfer of unique know-how</w:t>
      </w:r>
      <w:r>
        <w:t xml:space="preserve"> and, ultimately, </w:t>
      </w:r>
      <w:r>
        <w:rPr>
          <w:b/>
          <w:bCs/>
        </w:rPr>
        <w:t>a possibility to set up simple administrative procedures</w:t>
      </w:r>
      <w:r>
        <w:t xml:space="preserve">. </w:t>
      </w:r>
    </w:p>
    <w:p w:rsidR="00065632" w:rsidRDefault="00065632" w:rsidP="00F36672">
      <w:r>
        <w:t xml:space="preserve">On the other hand, the main disadvantages and risks include the fact that the design with EIB involvement ultimately </w:t>
      </w:r>
      <w:r>
        <w:rPr>
          <w:b/>
          <w:bCs/>
        </w:rPr>
        <w:t>means a more complicated and more expensive solution for the managing authority</w:t>
      </w:r>
      <w:r>
        <w:t xml:space="preserve"> (than use of entities of local character). Selection of the EIB is a disadvantage for the MA as it implies a </w:t>
      </w:r>
      <w:r>
        <w:rPr>
          <w:b/>
          <w:bCs/>
        </w:rPr>
        <w:t>duty to take over standardised conditions of cooperation from the EIB</w:t>
      </w:r>
      <w:r>
        <w:t xml:space="preserve">, a risk of </w:t>
      </w:r>
      <w:r>
        <w:rPr>
          <w:b/>
          <w:bCs/>
        </w:rPr>
        <w:t>insufficient capacities of the EIB to engage in the management of the IROP fund</w:t>
      </w:r>
      <w:r>
        <w:t xml:space="preserve"> with regard to other obligations of the bank (according to available information, the EIB is to recruit up to 700 new employees, i.e. the bank is already lacking administrative capacities), </w:t>
      </w:r>
      <w:r>
        <w:rPr>
          <w:b/>
          <w:bCs/>
        </w:rPr>
        <w:t>problematic character of addressing a combined solution of European-national structures</w:t>
      </w:r>
      <w:r>
        <w:t xml:space="preserve"> (the Fund of Funds is national, the fund at the operational programme level is European); finally, </w:t>
      </w:r>
      <w:r>
        <w:rPr>
          <w:b/>
          <w:bCs/>
        </w:rPr>
        <w:t>another disadvantage is higher financial intensity</w:t>
      </w:r>
      <w:r>
        <w:t xml:space="preserve"> (the EIB usually requires the maximum management fee for its services).</w:t>
      </w:r>
    </w:p>
    <w:p w:rsidR="00065632" w:rsidRDefault="00065632" w:rsidP="00F36672">
      <w:pPr>
        <w:rPr>
          <w:b/>
          <w:bCs/>
        </w:rPr>
      </w:pPr>
      <w:r>
        <w:rPr>
          <w:b/>
          <w:bCs/>
        </w:rPr>
        <w:t xml:space="preserve">With regard to preparation of implementation structures of IROP at the financial instrument level, the Contractor notes that involvement of EIB/EIF is not suitable. </w:t>
      </w:r>
    </w:p>
    <w:p w:rsidR="00065632" w:rsidRDefault="00065632" w:rsidP="00F36672">
      <w:pPr>
        <w:pStyle w:val="Nadpis4"/>
      </w:pPr>
      <w:r>
        <w:t>Assessment of possible involvement of public authorities in the CR</w:t>
      </w:r>
    </w:p>
    <w:p w:rsidR="00065632" w:rsidRDefault="00065632" w:rsidP="00F36672">
      <w:pPr>
        <w:pStyle w:val="CaptionIntroductionparagraph"/>
      </w:pPr>
      <w:r>
        <w:t>Possible involvement of the CMZRB</w:t>
      </w:r>
    </w:p>
    <w:p w:rsidR="00065632" w:rsidRDefault="00065632" w:rsidP="00F36672">
      <w:r>
        <w:t xml:space="preserve">Material by the Ministry of Finance's working group envisaging involvement of the Czech-Moravian Guarantee and Development Bank in the role of the Fund of Funds was well received in the Government Resolution No. 85/2015. The material provides only generally that the mentioned national Fund of Funds should be the CMZRB; however, this fact can be considered, based on the previous development of inter-ministerial negotiations, very probable. </w:t>
      </w:r>
      <w:r>
        <w:rPr>
          <w:b/>
          <w:bCs/>
        </w:rPr>
        <w:t>If the option of the Bank as the Fund of Funds is supported, involvement of the CMZRB also at the level of individual financial instruments will not be suitable</w:t>
      </w:r>
      <w:r>
        <w:t xml:space="preserve">. If the CMZRB is not the Fund of Funds, its involvement in the role of the manager of the upcoming IROP financial instrument can be taken into consideration. </w:t>
      </w:r>
    </w:p>
    <w:p w:rsidR="00065632" w:rsidRDefault="00065632" w:rsidP="00F36672">
      <w:r>
        <w:t xml:space="preserve">The advantage of use of the CMZRB in IROP consists in the possibility to apply experience—the bank had previously acted in the position of a manager of an instrument in relation to debt and guarantee instruments </w:t>
      </w:r>
      <w:r>
        <w:lastRenderedPageBreak/>
        <w:t xml:space="preserve">(e.g. JESSICA, OP EI) and it has vast experience with their implementation. </w:t>
      </w:r>
      <w:r>
        <w:rPr>
          <w:b/>
          <w:bCs/>
        </w:rPr>
        <w:t>However, CMZRB's involvement is complicated with regard to the fact that shareholders are the Ministry of Finance, the Ministry of Regional Development and the Ministry of Industry and Trade simultaneously</w:t>
      </w:r>
      <w:r>
        <w:t xml:space="preserve"> – agreement on the use of funds, set-up of the investment strategy or decision on the use of returned funds, etc., would be a complicated compromise of the aforementioned shareholders.</w:t>
      </w:r>
    </w:p>
    <w:p w:rsidR="00065632" w:rsidRDefault="00065632" w:rsidP="00F36672">
      <w:r>
        <w:t xml:space="preserve">Another important fact is that the MIT is planning a broad involvement of the CMZRB in the management of financial instruments which will probably be created within the OP EIC. On the one hand, this fact is a limitation because this set of tasks may bring about utilisation of available capacities of the bank's </w:t>
      </w:r>
      <w:proofErr w:type="gramStart"/>
      <w:r>
        <w:t>experts,</w:t>
      </w:r>
      <w:proofErr w:type="gramEnd"/>
      <w:r>
        <w:t xml:space="preserve"> on the other hand it is an advantage of "multiplication" of experience and a possibility to use greater expertise in the area. </w:t>
      </w:r>
    </w:p>
    <w:p w:rsidR="00065632" w:rsidRDefault="00065632" w:rsidP="00F36672">
      <w:r>
        <w:t>One of the major limitations in considering the CMZRB as a suitable institution managing IROP funds for financial instruments is the fact that under the current legislative definition the CMZRB may assist only small and medium-sized enterprises, which is not in accordance with the definition of the eligible final beneficiaries within the IROP. Moreover, one cannot anticipate whether there will be a future extension of involvement of financial instruments also within other specific objectives (e.g. the already analysed area of social housing), which would further pose a problem in terms of final beneficiaries.</w:t>
      </w:r>
    </w:p>
    <w:p w:rsidR="00065632" w:rsidRDefault="00065632" w:rsidP="00F36672">
      <w:r>
        <w:t xml:space="preserve">Finally, it is very problematic to decide in favour of using the CMZRB due to the fact that under the current wording of Act No. 47/2002 Sb., on the support of small and medium-sized enterprises, does not allow provision of loan products together with subsidies. The CMZRB may only provide financial contributions, guarantees and loans. </w:t>
      </w:r>
    </w:p>
    <w:p w:rsidR="00065632" w:rsidRDefault="00065632" w:rsidP="00F36672">
      <w:pPr>
        <w:pStyle w:val="CaptionIntroductionparagraph"/>
      </w:pPr>
      <w:r>
        <w:t>Possible involvement of the SEF</w:t>
      </w:r>
    </w:p>
    <w:p w:rsidR="00065632" w:rsidRDefault="00065632" w:rsidP="00F36672">
      <w:r>
        <w:t xml:space="preserve">In the field of energy savings, where the IROP plans to set-up its financial instrument, it is clearly desirable to consider the potential use of the State Environmental Fund as a possible manager of the financial instrument. This fund has experience with provision of loans from national resources and will probably be somehow involved in creation of structures for financial instruments within OP E 2014–2020. </w:t>
      </w:r>
      <w:r>
        <w:rPr>
          <w:b/>
          <w:bCs/>
        </w:rPr>
        <w:t>Involvement of the SEF offers a potential of desirable synergic advantages of combination of provision of aid to energy-related projects of two operational programmes, economies of scale, savings on a single information campaign, and more efficient use of capacities</w:t>
      </w:r>
      <w:r>
        <w:t xml:space="preserve">. </w:t>
      </w:r>
    </w:p>
    <w:p w:rsidR="00065632" w:rsidRDefault="00065632" w:rsidP="00F36672">
      <w:r>
        <w:t>In considering the SEF role, it must be taken into account whether there is a possibility of problem with availability of professional capacities as was noted in the case of the CMZRB. To the Contractor's knowledge, the state fund is ready for involvement in the management of a debt instrument; however, the current capacities would have to be retrained from employees who currently deal with the subsidy agenda. If this is to involve management of two areas of intervention of energy savings with an aggregate allocation of up to CZK 30 billion, it is probable that a regular time of preparation of human and procedural rules would be necessary before drawing is possible. This important aspect in the managing authority consideration also reminds that agreement on setting the investment strategy or decision on the use of returned funds would be a complicated compromise with a fund which belongs under the responsibility of another ministry.</w:t>
      </w:r>
    </w:p>
    <w:p w:rsidR="00065632" w:rsidRDefault="00065632" w:rsidP="00F36672">
      <w:r>
        <w:t>Under applicable legislation, the SEF may not provide capital injections, and it does not have any previous experience with their provision. To implement capital instruments, there would have to be changes to legislation, mainly allowing ownership of property. The SEF may not carry out securitization.</w:t>
      </w:r>
    </w:p>
    <w:p w:rsidR="00065632" w:rsidRDefault="00065632" w:rsidP="00F36672">
      <w:r>
        <w:rPr>
          <w:b/>
          <w:bCs/>
        </w:rPr>
        <w:t>Although the Contractor recommends shared structures in thematically similar focuses of operational programmes, it is necessary to bear in mind also the risks resulting from this step</w:t>
      </w:r>
      <w:r>
        <w:t xml:space="preserve"> – the two most important ones should be listed at this moment:</w:t>
      </w:r>
    </w:p>
    <w:p w:rsidR="00065632" w:rsidRDefault="00065632" w:rsidP="00065632">
      <w:pPr>
        <w:pStyle w:val="Odstavecseseznamem"/>
        <w:numPr>
          <w:ilvl w:val="0"/>
          <w:numId w:val="52"/>
        </w:numPr>
      </w:pPr>
      <w:r>
        <w:t>Accumulation of the management role for several financial instruments in one entity is undesirable with regard to diversification of risks in terms of potential future irregularities. Potential problems with the European Commission may simultaneously paralyse two operational programmes.</w:t>
      </w:r>
    </w:p>
    <w:p w:rsidR="00065632" w:rsidRDefault="00065632" w:rsidP="00065632">
      <w:pPr>
        <w:pStyle w:val="Odstavecseseznamem"/>
        <w:numPr>
          <w:ilvl w:val="0"/>
          <w:numId w:val="52"/>
        </w:numPr>
      </w:pPr>
      <w:r>
        <w:t xml:space="preserve">Preparation for the set-up of the entire implementation is more demanding in this </w:t>
      </w:r>
      <w:proofErr w:type="gramStart"/>
      <w:r>
        <w:t>case,</w:t>
      </w:r>
      <w:proofErr w:type="gramEnd"/>
      <w:r>
        <w:t xml:space="preserve"> both in terms of time and finances (savings and advantages are associated only with the implementation phase).</w:t>
      </w:r>
    </w:p>
    <w:p w:rsidR="00065632" w:rsidRDefault="00065632" w:rsidP="00F36672">
      <w:r>
        <w:rPr>
          <w:b/>
          <w:bCs/>
        </w:rPr>
        <w:t>The Contractor considers the option of SEF involvement viable and worth further analysis; however</w:t>
      </w:r>
      <w:r>
        <w:t xml:space="preserve">, with regard to the above substantial risks and with regard to the limitation of the overlap of the draft set-up of the form of aid in both programmes (IROP: provision of aid through banking co-financing entities, OP E: envisaged involvement of banks in a subordinate role toward the manager of the fund itself), </w:t>
      </w:r>
      <w:r>
        <w:rPr>
          <w:b/>
          <w:bCs/>
        </w:rPr>
        <w:t>it seems more suitable to consider other alternative possible management of the IROP financial instrument</w:t>
      </w:r>
      <w:r>
        <w:t>.</w:t>
      </w:r>
    </w:p>
    <w:p w:rsidR="00065632" w:rsidRDefault="00065632" w:rsidP="00F36672">
      <w:pPr>
        <w:pStyle w:val="CaptionIntroductionparagraph"/>
      </w:pPr>
      <w:r>
        <w:lastRenderedPageBreak/>
        <w:t>Possible involvement of the SFHD</w:t>
      </w:r>
    </w:p>
    <w:p w:rsidR="00065632" w:rsidRDefault="00065632" w:rsidP="00F36672">
      <w:r>
        <w:t xml:space="preserve">The State Fund for Housing Development currently manages several programmes which aid investment activities in the area of energy savings—the best known ones include the JESSICA programme and the PANEL+ programme. These programmes operate as support through a debt financial instrument, i.e. a soft loan, and both monitored programmes enjoy interest of applicants, which may be documented by exhausted allocations of both programmes. In the monitored area, the SFHD actively acts not only in the context of investment support but also in terms of awareness raising and information campaigns, i.e. it has vast experience with the monitored area of intervention. </w:t>
      </w:r>
      <w:r>
        <w:rPr>
          <w:b/>
          <w:bCs/>
        </w:rPr>
        <w:t>The SFHD has very good qualifications for the role of manager of the financial instrument as it currently plays the role of the holding fund in the JESSICA programme</w:t>
      </w:r>
      <w:r>
        <w:t>. Another advantage to be mentioned is also the possibility of bond financing, which could be, in the long term, involved in case of a functional financial instrument. Equally significant advantage of the SFHD is knowledge of the issue of social housing (e.g. offer of its own programme of aid for this area, again in the form of a financial instrument), i.e. potential readiness to manage a financial instrument of this focus in case it is sufficiently removed, by the managing authority, from the subsidy scheme and managed using a financial instrument.</w:t>
      </w:r>
    </w:p>
    <w:p w:rsidR="00065632" w:rsidRPr="00CD69FC" w:rsidRDefault="00065632" w:rsidP="00F36672">
      <w:r>
        <w:rPr>
          <w:b/>
          <w:bCs/>
        </w:rPr>
        <w:t xml:space="preserve">In the Contractor's view, the possibility of SFHD involvement seems to be the most suitable option as it has considerable amount of experience with management of a similar instrument in the programming period 2007–2013, in practice it meets the characteristics of a standard financial institution, there are no legislative limitations, and the fund is under the responsibility of the </w:t>
      </w:r>
      <w:proofErr w:type="spellStart"/>
      <w:r>
        <w:rPr>
          <w:b/>
          <w:bCs/>
        </w:rPr>
        <w:t>MoRD</w:t>
      </w:r>
      <w:proofErr w:type="spellEnd"/>
      <w:r>
        <w:t xml:space="preserve">. However, it will definitely be necessary to redefine the competencies and scope of work carries out by the SFHD so as to better reflect the new programming period and the role of the manager. </w:t>
      </w:r>
    </w:p>
    <w:p w:rsidR="00065632" w:rsidRDefault="00065632" w:rsidP="00C71A3C">
      <w:pPr>
        <w:pStyle w:val="Nadpis4"/>
      </w:pPr>
      <w:r>
        <w:t>Assessment of possible involvement of private entities</w:t>
      </w:r>
    </w:p>
    <w:p w:rsidR="00065632" w:rsidRPr="004843FD" w:rsidRDefault="00065632" w:rsidP="00F36672">
      <w:r>
        <w:rPr>
          <w:b/>
          <w:bCs/>
        </w:rPr>
        <w:t>An analysis of potential use of public bodies</w:t>
      </w:r>
      <w:r>
        <w:t xml:space="preserve"> demonstrated a possibility of using the </w:t>
      </w:r>
      <w:r>
        <w:rPr>
          <w:b/>
          <w:bCs/>
        </w:rPr>
        <w:t>CMZRB</w:t>
      </w:r>
      <w:r>
        <w:t xml:space="preserve"> (both guarantee and loan instruments), </w:t>
      </w:r>
      <w:r>
        <w:rPr>
          <w:b/>
          <w:bCs/>
        </w:rPr>
        <w:t>SFHD</w:t>
      </w:r>
      <w:r>
        <w:t xml:space="preserve"> (both guarantee and loan instruments) and the </w:t>
      </w:r>
      <w:r>
        <w:rPr>
          <w:b/>
          <w:bCs/>
        </w:rPr>
        <w:t>SEF</w:t>
      </w:r>
      <w:r>
        <w:t xml:space="preserve"> (only debt instruments). </w:t>
      </w:r>
      <w:proofErr w:type="gramStart"/>
      <w:r>
        <w:t>Since these entities have prior experience with the instruments and simultaneously, in order to maximise capacity utilisation, it is advisable to engage these entities in the implementation of guarantee and debt instruments.</w:t>
      </w:r>
      <w:proofErr w:type="gramEnd"/>
      <w:r>
        <w:t xml:space="preserve"> </w:t>
      </w:r>
      <w:r>
        <w:rPr>
          <w:b/>
          <w:bCs/>
        </w:rPr>
        <w:t>Involvement of private entities</w:t>
      </w:r>
      <w:r>
        <w:t xml:space="preserve"> (mainly banks) </w:t>
      </w:r>
      <w:r>
        <w:rPr>
          <w:b/>
          <w:bCs/>
        </w:rPr>
        <w:t>in debt and guarantee instruments is</w:t>
      </w:r>
      <w:r>
        <w:t xml:space="preserve"> therefore </w:t>
      </w:r>
      <w:r>
        <w:rPr>
          <w:b/>
          <w:bCs/>
        </w:rPr>
        <w:t>limited in some way</w:t>
      </w:r>
      <w:r>
        <w:t xml:space="preserve">, but certainly not ruled out. </w:t>
      </w:r>
    </w:p>
    <w:p w:rsidR="00065632" w:rsidRPr="004843FD" w:rsidRDefault="00065632" w:rsidP="00F36672">
      <w:r>
        <w:rPr>
          <w:b/>
          <w:bCs/>
        </w:rPr>
        <w:t>Private entities</w:t>
      </w:r>
      <w:r>
        <w:t xml:space="preserve"> (banks) </w:t>
      </w:r>
      <w:r>
        <w:rPr>
          <w:b/>
          <w:bCs/>
        </w:rPr>
        <w:t>can bring a lot of benefits in the implementation of debt and guarantee instruments</w:t>
      </w:r>
      <w:r>
        <w:t xml:space="preserve">, ranging from broad coverage in the regions of the Czech Republic, through their offices (which allows the use of IFI for a wide range of beneficiaries), to the specific know-how of private entities. </w:t>
      </w:r>
      <w:r>
        <w:rPr>
          <w:b/>
          <w:bCs/>
        </w:rPr>
        <w:t xml:space="preserve">Use of private entities is suitable in the role of co-financing </w:t>
      </w:r>
      <w:proofErr w:type="gramStart"/>
      <w:r>
        <w:rPr>
          <w:b/>
          <w:bCs/>
        </w:rPr>
        <w:t>entities,</w:t>
      </w:r>
      <w:proofErr w:type="gramEnd"/>
      <w:r>
        <w:rPr>
          <w:b/>
          <w:bCs/>
        </w:rPr>
        <w:t xml:space="preserve"> it is not desirable at the level of financial instrument managers since public institutions are available for the State which can assume this role.</w:t>
      </w:r>
      <w:r>
        <w:t xml:space="preserve"> Use of private entities in the role of fund manager should be considered in case capital funds are established or in case of introduction of a shared structure, where a private entity should be considered for the role of manager of the environmental Fund of Funds.</w:t>
      </w:r>
    </w:p>
    <w:p w:rsidR="00065632" w:rsidRDefault="00065632" w:rsidP="00F36672">
      <w:pPr>
        <w:pStyle w:val="Nadpis3"/>
      </w:pPr>
      <w:bookmarkStart w:id="149" w:name="_Toc413183921"/>
      <w:bookmarkStart w:id="150" w:name="_Toc418767155"/>
      <w:bookmarkStart w:id="151" w:name="_Toc426033665"/>
      <w:r>
        <w:t>Framework scheme of the proposed FI</w:t>
      </w:r>
      <w:bookmarkEnd w:id="149"/>
      <w:r>
        <w:t xml:space="preserve"> and assessment of its integration in the national holding fund</w:t>
      </w:r>
      <w:bookmarkEnd w:id="150"/>
      <w:bookmarkEnd w:id="151"/>
      <w:r>
        <w:t xml:space="preserve"> </w:t>
      </w:r>
    </w:p>
    <w:p w:rsidR="00065632" w:rsidRDefault="00065632" w:rsidP="00F774DA">
      <w:r>
        <w:t xml:space="preserve">The national holding fond, i.e. "Fund of Funds" is one of crucial entities of IFI implementation structure and will be responsible, among other things, for the establishment of/investment in each fund. Although Government Resolution No. 85/2015 acknowledged the material by the Ministry of Finance describing the advantages of the Fund of Funds, a great amount of information is still missing as to how the roof structure will be built and interconnected with individual operational programmes. </w:t>
      </w:r>
    </w:p>
    <w:p w:rsidR="00065632" w:rsidRDefault="00065632" w:rsidP="00F774DA">
      <w:r>
        <w:t xml:space="preserve">If the </w:t>
      </w:r>
      <w:r>
        <w:rPr>
          <w:b/>
          <w:bCs/>
        </w:rPr>
        <w:t>Fund of Funds</w:t>
      </w:r>
      <w:r>
        <w:t xml:space="preserve">, proposed by the material, is established, it will </w:t>
      </w:r>
      <w:r>
        <w:rPr>
          <w:b/>
          <w:bCs/>
        </w:rPr>
        <w:t xml:space="preserve">administer and control the resources of the </w:t>
      </w:r>
      <w:proofErr w:type="spellStart"/>
      <w:r>
        <w:rPr>
          <w:b/>
          <w:bCs/>
        </w:rPr>
        <w:t>MoRD</w:t>
      </w:r>
      <w:proofErr w:type="spellEnd"/>
      <w:r>
        <w:t xml:space="preserve">, or of other MAs, </w:t>
      </w:r>
      <w:r>
        <w:rPr>
          <w:b/>
          <w:bCs/>
        </w:rPr>
        <w:t>to be allocated to individual financial instruments</w:t>
      </w:r>
      <w:r>
        <w:t xml:space="preserve">. </w:t>
      </w:r>
      <w:r>
        <w:rPr>
          <w:b/>
          <w:bCs/>
        </w:rPr>
        <w:t>The amount of these funds</w:t>
      </w:r>
      <w:r>
        <w:t xml:space="preserve"> will be, depending on the level of utilisation of IFI and the involvement of other MAs, </w:t>
      </w:r>
      <w:r>
        <w:rPr>
          <w:b/>
          <w:bCs/>
        </w:rPr>
        <w:t>anywhere from a few billion to tens of billions of CZK</w:t>
      </w:r>
      <w:r>
        <w:t xml:space="preserve">. </w:t>
      </w:r>
    </w:p>
    <w:p w:rsidR="00065632" w:rsidRPr="004843FD" w:rsidRDefault="00065632" w:rsidP="00F774DA">
      <w:r>
        <w:rPr>
          <w:b/>
          <w:bCs/>
        </w:rPr>
        <w:t>In political terms</w:t>
      </w:r>
      <w:r>
        <w:t xml:space="preserve">, it is therefore </w:t>
      </w:r>
      <w:r>
        <w:rPr>
          <w:b/>
          <w:bCs/>
        </w:rPr>
        <w:t>appropriate</w:t>
      </w:r>
      <w:r>
        <w:t xml:space="preserve"> that both the </w:t>
      </w:r>
      <w:r>
        <w:rPr>
          <w:b/>
          <w:bCs/>
        </w:rPr>
        <w:t>Fund of Funds</w:t>
      </w:r>
      <w:r>
        <w:t xml:space="preserve"> (implementation entity) and </w:t>
      </w:r>
      <w:r>
        <w:rPr>
          <w:b/>
          <w:bCs/>
        </w:rPr>
        <w:t>the manager</w:t>
      </w:r>
      <w:r>
        <w:t xml:space="preserve"> (the entity providing management and governance of the fund) should be </w:t>
      </w:r>
      <w:r>
        <w:rPr>
          <w:b/>
          <w:bCs/>
        </w:rPr>
        <w:t>public companies</w:t>
      </w:r>
      <w:r>
        <w:t xml:space="preserve"> under public administration, ownership and governance. </w:t>
      </w:r>
      <w:r>
        <w:rPr>
          <w:b/>
          <w:bCs/>
        </w:rPr>
        <w:t>Private involvement in the CR at the level of the Fund of Funds</w:t>
      </w:r>
      <w:r>
        <w:t xml:space="preserve"> is therefore, in our opinion, </w:t>
      </w:r>
      <w:r>
        <w:rPr>
          <w:b/>
          <w:bCs/>
        </w:rPr>
        <w:t>basically out of the question</w:t>
      </w:r>
      <w:r>
        <w:t xml:space="preserve">. </w:t>
      </w:r>
    </w:p>
    <w:p w:rsidR="00065632" w:rsidRDefault="00065632" w:rsidP="00CD69FC">
      <w:pPr>
        <w:pStyle w:val="Textpoznpodarou"/>
        <w:rPr>
          <w:sz w:val="19"/>
          <w:szCs w:val="19"/>
        </w:rPr>
      </w:pPr>
      <w:r>
        <w:rPr>
          <w:sz w:val="19"/>
          <w:szCs w:val="19"/>
        </w:rPr>
        <w:lastRenderedPageBreak/>
        <w:t xml:space="preserve">Since the current direction of considerations at the national level envisages involvement of the Fund of Funds, the proposed implementation structure therefore expects involvement of a FI in such structure. The proposed design of the financial instrument, however, need not wait for its implementation until the end of preparatory work at the national level. In this context, (a possible delay in the implementation of the Fund of Funds at the national level, especially if there is a need for legislative changes), there is an alternative to proceed as follows: the MA creates the implementation structure at the level of the financial instrument (in the diagrams below the level of financial instruments) before the actual establishment of the Fund of Funds, and after its establishment these will subsequently be linked to the Fund of Funds. Such a sequence of steps would lead to the elimination of the risk of delay in commencing the implementation of financial instruments (managing authorities are able to implement IFIs and announce the calls before the establishment of the Fund of Funds), but it may be associated with a number of risks of procedural nature. Therefore, the feasibility of this solution has to be confirmed by the European Commission. </w:t>
      </w:r>
    </w:p>
    <w:p w:rsidR="00065632" w:rsidRDefault="00065632" w:rsidP="00CD69FC">
      <w:pPr>
        <w:keepNext/>
        <w:spacing w:before="120"/>
      </w:pPr>
      <w:r>
        <w:t xml:space="preserve">Essentially, the launch of drawing without the Fund of Funds and subsequent joining of the established IROP fund to the top structures is possible, or rather is not expressly forbidden in any of the regulations. The Contractor has consulted this issue with the EIF and foreign colleagues, informally also at DG REGIO. A preliminary conclusion is that this procedure is possible.  </w:t>
      </w:r>
    </w:p>
    <w:p w:rsidR="00065632" w:rsidRPr="004843FD" w:rsidRDefault="00065632" w:rsidP="00CD69FC">
      <w:pPr>
        <w:keepNext/>
        <w:spacing w:before="120"/>
      </w:pPr>
      <w:r>
        <w:rPr>
          <w:b/>
          <w:bCs/>
        </w:rPr>
        <w:t>Alternatively, the role of the Fund of Fund manager</w:t>
      </w:r>
      <w:r>
        <w:t xml:space="preserve">, or its founder (along with ČMZRB or separately) at national level can be </w:t>
      </w:r>
      <w:r>
        <w:rPr>
          <w:b/>
          <w:bCs/>
        </w:rPr>
        <w:t>assumed by the EIB</w:t>
      </w:r>
      <w:r>
        <w:t xml:space="preserve">. A suitable alternative seems to be a so called transitional model where the implementation is initially carried out using EIB and after a certain time it is transferred to the national structures. This solution eliminates the risk of delay associated with the setting of implementation structures at the national level without previous experience and brings the know-how necessary for the correct and proper management and implementation of IFIs from the EIB to national structures.  </w:t>
      </w:r>
    </w:p>
    <w:p w:rsidR="00065632" w:rsidRPr="00CD69FC" w:rsidRDefault="00065632" w:rsidP="00CD69FC">
      <w:pPr>
        <w:pStyle w:val="Textpoznpodarou"/>
        <w:rPr>
          <w:sz w:val="19"/>
          <w:szCs w:val="19"/>
        </w:rPr>
      </w:pPr>
      <w:r>
        <w:rPr>
          <w:sz w:val="19"/>
          <w:szCs w:val="19"/>
        </w:rPr>
        <w:t xml:space="preserve">An example of the transitional model is the use of the JEREMIE financial instrument in Slovakia through the SZRF fund established as a holding fund whose shareholders are the SZRB and EIF. Another example of a transitional model is the JESSICA financial instrument within the ROP Moravia-Silesia. </w:t>
      </w:r>
    </w:p>
    <w:p w:rsidR="00065632" w:rsidRDefault="00065632" w:rsidP="00F774DA">
      <w:pPr>
        <w:pStyle w:val="BodyText1"/>
        <w:jc w:val="both"/>
      </w:pPr>
      <w:r>
        <w:t xml:space="preserve">Elaborated according to the level of coordination and linkage of IFIs implemented by individual managing authorities that implement financial instruments, further 2 options of IFI implementation are elaborated. </w:t>
      </w:r>
    </w:p>
    <w:p w:rsidR="00065632" w:rsidRDefault="00065632" w:rsidP="00F774DA">
      <w:pPr>
        <w:pStyle w:val="BodyText1"/>
        <w:jc w:val="both"/>
        <w:rPr>
          <w:b/>
          <w:bCs/>
          <w:color w:val="00A1DE"/>
          <w:sz w:val="24"/>
          <w:szCs w:val="24"/>
        </w:rPr>
      </w:pPr>
    </w:p>
    <w:p w:rsidR="00065632" w:rsidRDefault="00065632" w:rsidP="00F36672">
      <w:pPr>
        <w:pStyle w:val="CaptionIntroductionparagraph"/>
      </w:pPr>
      <w:r>
        <w:t>Option No. 1: Merging factually related areas of intervention within one fund/</w:t>
      </w:r>
      <w:proofErr w:type="spellStart"/>
      <w:r>
        <w:t>subfund</w:t>
      </w:r>
      <w:proofErr w:type="spellEnd"/>
    </w:p>
    <w:p w:rsidR="00065632" w:rsidRDefault="00065632" w:rsidP="00F36672">
      <w:pPr>
        <w:spacing w:before="120"/>
      </w:pPr>
      <w:r>
        <w:t xml:space="preserve">Merging thematically related measures in one sub-fund will result in 2 funds: Environmental Fund and Fund to Promote Entrepreneurship. Within the Environmental Fund, there will be 4 </w:t>
      </w:r>
      <w:proofErr w:type="spellStart"/>
      <w:r>
        <w:t>subfunds</w:t>
      </w:r>
      <w:proofErr w:type="spellEnd"/>
      <w:r>
        <w:t xml:space="preserve"> based on their factual focus: Water </w:t>
      </w:r>
      <w:proofErr w:type="spellStart"/>
      <w:r>
        <w:t>subfund</w:t>
      </w:r>
      <w:proofErr w:type="spellEnd"/>
      <w:r>
        <w:t xml:space="preserve">, Air </w:t>
      </w:r>
      <w:proofErr w:type="spellStart"/>
      <w:r>
        <w:t>subfund</w:t>
      </w:r>
      <w:proofErr w:type="spellEnd"/>
      <w:r>
        <w:t xml:space="preserve">, Waste </w:t>
      </w:r>
      <w:proofErr w:type="spellStart"/>
      <w:r>
        <w:t>subfund</w:t>
      </w:r>
      <w:proofErr w:type="spellEnd"/>
      <w:r>
        <w:t xml:space="preserve"> and Energy savings </w:t>
      </w:r>
      <w:proofErr w:type="spellStart"/>
      <w:r>
        <w:t>subfund</w:t>
      </w:r>
      <w:proofErr w:type="spellEnd"/>
      <w:r>
        <w:t xml:space="preserve">. The general implementation structure is shown in the following diagram. </w:t>
      </w:r>
    </w:p>
    <w:p w:rsidR="00065632" w:rsidRDefault="00065632" w:rsidP="00F36672">
      <w:pPr>
        <w:pStyle w:val="BodyText1"/>
        <w:keepNext/>
        <w:jc w:val="center"/>
      </w:pPr>
    </w:p>
    <w:p w:rsidR="00065632" w:rsidRDefault="00560258" w:rsidP="00F36672">
      <w:pPr>
        <w:pStyle w:val="BodyText1"/>
        <w:keepNext/>
        <w:jc w:val="center"/>
      </w:pPr>
      <w:r>
        <w:rPr>
          <w:noProof/>
          <w:lang w:val="cs-CZ" w:eastAsia="cs-CZ"/>
        </w:rPr>
        <w:drawing>
          <wp:inline distT="0" distB="0" distL="0" distR="0">
            <wp:extent cx="5695950" cy="3924300"/>
            <wp:effectExtent l="0" t="0" r="0" b="0"/>
            <wp:docPr id="18" name="Picture 7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695950" cy="3924300"/>
                    </a:xfrm>
                    <a:prstGeom prst="rect">
                      <a:avLst/>
                    </a:prstGeom>
                    <a:noFill/>
                    <a:ln>
                      <a:noFill/>
                    </a:ln>
                  </pic:spPr>
                </pic:pic>
              </a:graphicData>
            </a:graphic>
          </wp:inline>
        </w:drawing>
      </w:r>
    </w:p>
    <w:p w:rsidR="00065632" w:rsidRDefault="00065632" w:rsidP="00F36672">
      <w:pPr>
        <w:pStyle w:val="Titulek"/>
        <w:jc w:val="left"/>
      </w:pPr>
      <w:bookmarkStart w:id="152" w:name="_Toc417655525"/>
      <w:bookmarkStart w:id="153" w:name="_Toc426033936"/>
      <w:r>
        <w:t xml:space="preserve">Figure </w:t>
      </w:r>
      <w:r>
        <w:fldChar w:fldCharType="begin"/>
      </w:r>
      <w:r>
        <w:instrText xml:space="preserve"> SEQ Obrázek \* ARABIC </w:instrText>
      </w:r>
      <w:r>
        <w:fldChar w:fldCharType="separate"/>
      </w:r>
      <w:r>
        <w:rPr>
          <w:noProof/>
        </w:rPr>
        <w:t>11</w:t>
      </w:r>
      <w:r>
        <w:fldChar w:fldCharType="end"/>
      </w:r>
      <w:r>
        <w:t>: Framework diagram of IFI implementation - option 1: Merging factually related measures within one fund/</w:t>
      </w:r>
      <w:proofErr w:type="spellStart"/>
      <w:r>
        <w:t>subfund</w:t>
      </w:r>
      <w:bookmarkEnd w:id="152"/>
      <w:bookmarkEnd w:id="153"/>
      <w:proofErr w:type="spellEnd"/>
    </w:p>
    <w:p w:rsidR="00065632" w:rsidRPr="00912E5D" w:rsidRDefault="00065632" w:rsidP="00912E5D">
      <w:pPr>
        <w:rPr>
          <w:highlight w:val="yellow"/>
        </w:rPr>
      </w:pPr>
      <w:r w:rsidRPr="00912E5D">
        <w:rPr>
          <w:highlight w:val="yellow"/>
        </w:rPr>
        <w:t>Fund of Funds level</w:t>
      </w:r>
    </w:p>
    <w:p w:rsidR="00065632" w:rsidRPr="00912E5D" w:rsidRDefault="00065632" w:rsidP="00912E5D">
      <w:pPr>
        <w:rPr>
          <w:highlight w:val="yellow"/>
        </w:rPr>
      </w:pPr>
    </w:p>
    <w:p w:rsidR="00065632" w:rsidRPr="00912E5D" w:rsidRDefault="00065632" w:rsidP="00912E5D">
      <w:pPr>
        <w:rPr>
          <w:highlight w:val="yellow"/>
        </w:rPr>
      </w:pPr>
      <w:r w:rsidRPr="00912E5D">
        <w:rPr>
          <w:highlight w:val="yellow"/>
        </w:rPr>
        <w:t xml:space="preserve">Fund of </w:t>
      </w:r>
      <w:proofErr w:type="gramStart"/>
      <w:r w:rsidRPr="00912E5D">
        <w:rPr>
          <w:highlight w:val="yellow"/>
        </w:rPr>
        <w:t>Funds  -</w:t>
      </w:r>
      <w:proofErr w:type="gramEnd"/>
      <w:r w:rsidRPr="00912E5D">
        <w:rPr>
          <w:highlight w:val="yellow"/>
        </w:rPr>
        <w:t xml:space="preserve">   Manager of the Fund of Funds</w:t>
      </w:r>
    </w:p>
    <w:p w:rsidR="00065632" w:rsidRPr="00912E5D" w:rsidRDefault="00065632" w:rsidP="00912E5D">
      <w:pPr>
        <w:rPr>
          <w:highlight w:val="yellow"/>
        </w:rPr>
      </w:pPr>
      <w:proofErr w:type="gramStart"/>
      <w:r w:rsidRPr="00912E5D">
        <w:rPr>
          <w:highlight w:val="yellow"/>
        </w:rPr>
        <w:t xml:space="preserve">Account of </w:t>
      </w:r>
      <w:proofErr w:type="spellStart"/>
      <w:r w:rsidRPr="00912E5D">
        <w:rPr>
          <w:highlight w:val="yellow"/>
        </w:rPr>
        <w:t>Env</w:t>
      </w:r>
      <w:proofErr w:type="spellEnd"/>
      <w:r w:rsidRPr="00912E5D">
        <w:rPr>
          <w:highlight w:val="yellow"/>
        </w:rPr>
        <w:t>.</w:t>
      </w:r>
      <w:proofErr w:type="gramEnd"/>
      <w:r w:rsidRPr="00912E5D">
        <w:rPr>
          <w:highlight w:val="yellow"/>
        </w:rPr>
        <w:t xml:space="preserve"> </w:t>
      </w:r>
      <w:proofErr w:type="gramStart"/>
      <w:r w:rsidRPr="00912E5D">
        <w:rPr>
          <w:highlight w:val="yellow"/>
        </w:rPr>
        <w:t>Fund  -</w:t>
      </w:r>
      <w:proofErr w:type="gramEnd"/>
      <w:r w:rsidRPr="00912E5D">
        <w:rPr>
          <w:highlight w:val="yellow"/>
        </w:rPr>
        <w:t xml:space="preserve"> Account of Fund to Promote </w:t>
      </w:r>
      <w:proofErr w:type="spellStart"/>
      <w:r w:rsidRPr="00912E5D">
        <w:rPr>
          <w:highlight w:val="yellow"/>
        </w:rPr>
        <w:t>Enterpr</w:t>
      </w:r>
      <w:proofErr w:type="spellEnd"/>
      <w:r w:rsidRPr="00912E5D">
        <w:rPr>
          <w:highlight w:val="yellow"/>
        </w:rPr>
        <w:t>.</w:t>
      </w:r>
    </w:p>
    <w:p w:rsidR="00065632" w:rsidRPr="00912E5D" w:rsidRDefault="00065632" w:rsidP="00912E5D">
      <w:pPr>
        <w:rPr>
          <w:highlight w:val="yellow"/>
        </w:rPr>
      </w:pPr>
    </w:p>
    <w:p w:rsidR="00065632" w:rsidRPr="00912E5D" w:rsidRDefault="00065632" w:rsidP="00912E5D">
      <w:pPr>
        <w:rPr>
          <w:highlight w:val="yellow"/>
        </w:rPr>
      </w:pPr>
      <w:r w:rsidRPr="00912E5D">
        <w:rPr>
          <w:highlight w:val="yellow"/>
        </w:rPr>
        <w:tab/>
      </w:r>
      <w:r w:rsidRPr="00912E5D">
        <w:rPr>
          <w:highlight w:val="yellow"/>
        </w:rPr>
        <w:tab/>
      </w:r>
      <w:r w:rsidRPr="00912E5D">
        <w:rPr>
          <w:highlight w:val="yellow"/>
        </w:rPr>
        <w:tab/>
      </w:r>
      <w:r w:rsidRPr="00912E5D">
        <w:rPr>
          <w:highlight w:val="yellow"/>
        </w:rPr>
        <w:tab/>
        <w:t>Grant decision</w:t>
      </w:r>
    </w:p>
    <w:p w:rsidR="00065632" w:rsidRPr="00912E5D" w:rsidRDefault="00065632" w:rsidP="00912E5D">
      <w:pPr>
        <w:rPr>
          <w:highlight w:val="yellow"/>
        </w:rPr>
      </w:pPr>
      <w:r w:rsidRPr="00912E5D">
        <w:rPr>
          <w:highlight w:val="yellow"/>
        </w:rPr>
        <w:tab/>
      </w:r>
      <w:r w:rsidRPr="00912E5D">
        <w:rPr>
          <w:highlight w:val="yellow"/>
        </w:rPr>
        <w:tab/>
      </w:r>
      <w:r w:rsidRPr="00912E5D">
        <w:rPr>
          <w:highlight w:val="yellow"/>
        </w:rPr>
        <w:tab/>
      </w:r>
      <w:r w:rsidRPr="00912E5D">
        <w:rPr>
          <w:highlight w:val="yellow"/>
        </w:rPr>
        <w:tab/>
        <w:t>Contract on the provision of collective investment services</w:t>
      </w:r>
    </w:p>
    <w:p w:rsidR="00065632" w:rsidRPr="00912E5D" w:rsidRDefault="00065632" w:rsidP="00912E5D">
      <w:pPr>
        <w:rPr>
          <w:highlight w:val="yellow"/>
        </w:rPr>
      </w:pPr>
    </w:p>
    <w:p w:rsidR="00065632" w:rsidRPr="00912E5D" w:rsidRDefault="00065632" w:rsidP="00912E5D">
      <w:pPr>
        <w:rPr>
          <w:highlight w:val="yellow"/>
        </w:rPr>
      </w:pPr>
    </w:p>
    <w:p w:rsidR="00065632" w:rsidRPr="00912E5D" w:rsidRDefault="00065632" w:rsidP="00065632">
      <w:pPr>
        <w:numPr>
          <w:ilvl w:val="0"/>
          <w:numId w:val="68"/>
        </w:numPr>
        <w:spacing w:after="0"/>
        <w:jc w:val="left"/>
        <w:rPr>
          <w:highlight w:val="yellow"/>
        </w:rPr>
      </w:pPr>
      <w:r w:rsidRPr="00912E5D">
        <w:rPr>
          <w:highlight w:val="yellow"/>
        </w:rPr>
        <w:t xml:space="preserve">- - - - - - - - </w:t>
      </w:r>
    </w:p>
    <w:p w:rsidR="00065632" w:rsidRPr="00912E5D" w:rsidRDefault="00065632" w:rsidP="00912E5D">
      <w:pPr>
        <w:rPr>
          <w:highlight w:val="yellow"/>
        </w:rPr>
      </w:pPr>
    </w:p>
    <w:p w:rsidR="00065632" w:rsidRPr="00912E5D" w:rsidRDefault="00065632" w:rsidP="00912E5D">
      <w:pPr>
        <w:rPr>
          <w:highlight w:val="yellow"/>
        </w:rPr>
      </w:pPr>
      <w:r w:rsidRPr="00912E5D">
        <w:rPr>
          <w:highlight w:val="yellow"/>
        </w:rPr>
        <w:t>Financial instruments level</w:t>
      </w:r>
    </w:p>
    <w:p w:rsidR="00065632" w:rsidRPr="00912E5D" w:rsidRDefault="00065632" w:rsidP="00912E5D">
      <w:pPr>
        <w:rPr>
          <w:highlight w:val="yellow"/>
        </w:rPr>
      </w:pPr>
    </w:p>
    <w:p w:rsidR="00065632" w:rsidRPr="00912E5D" w:rsidRDefault="00065632" w:rsidP="00912E5D">
      <w:pPr>
        <w:rPr>
          <w:highlight w:val="yellow"/>
        </w:rPr>
      </w:pPr>
      <w:r w:rsidRPr="00912E5D">
        <w:rPr>
          <w:highlight w:val="yellow"/>
        </w:rPr>
        <w:t>Fund (SICAV)</w:t>
      </w:r>
    </w:p>
    <w:p w:rsidR="00065632" w:rsidRPr="00912E5D" w:rsidRDefault="00065632" w:rsidP="00912E5D">
      <w:pPr>
        <w:rPr>
          <w:highlight w:val="yellow"/>
        </w:rPr>
      </w:pPr>
    </w:p>
    <w:p w:rsidR="00065632" w:rsidRPr="00912E5D" w:rsidRDefault="00065632" w:rsidP="00912E5D">
      <w:pPr>
        <w:rPr>
          <w:highlight w:val="yellow"/>
        </w:rPr>
      </w:pPr>
      <w:r w:rsidRPr="00912E5D">
        <w:rPr>
          <w:highlight w:val="yellow"/>
        </w:rPr>
        <w:t>FI administrator (SFHD) ---------- MA (</w:t>
      </w:r>
      <w:proofErr w:type="spellStart"/>
      <w:r w:rsidRPr="00912E5D">
        <w:rPr>
          <w:highlight w:val="yellow"/>
        </w:rPr>
        <w:t>MoRD</w:t>
      </w:r>
      <w:proofErr w:type="spellEnd"/>
      <w:r w:rsidRPr="00912E5D">
        <w:rPr>
          <w:highlight w:val="yellow"/>
        </w:rPr>
        <w:t>) - Environmental Fund - Fund manager</w:t>
      </w:r>
    </w:p>
    <w:p w:rsidR="00065632" w:rsidRPr="00912E5D" w:rsidRDefault="00065632" w:rsidP="00912E5D">
      <w:pPr>
        <w:rPr>
          <w:highlight w:val="yellow"/>
        </w:rPr>
      </w:pPr>
    </w:p>
    <w:p w:rsidR="00065632" w:rsidRPr="00912E5D" w:rsidRDefault="00065632" w:rsidP="00912E5D">
      <w:pPr>
        <w:rPr>
          <w:highlight w:val="yellow"/>
        </w:rPr>
      </w:pPr>
    </w:p>
    <w:p w:rsidR="00065632" w:rsidRPr="00912E5D" w:rsidRDefault="00065632" w:rsidP="00912E5D">
      <w:pPr>
        <w:rPr>
          <w:highlight w:val="yellow"/>
        </w:rPr>
      </w:pPr>
      <w:r w:rsidRPr="00912E5D">
        <w:rPr>
          <w:highlight w:val="yellow"/>
        </w:rPr>
        <w:t>Fund to Promote Entrepreneurship</w:t>
      </w:r>
    </w:p>
    <w:p w:rsidR="00065632" w:rsidRPr="00912E5D" w:rsidRDefault="00065632" w:rsidP="00912E5D">
      <w:pPr>
        <w:rPr>
          <w:highlight w:val="yellow"/>
        </w:rPr>
      </w:pPr>
    </w:p>
    <w:p w:rsidR="00065632" w:rsidRPr="00912E5D" w:rsidRDefault="00065632" w:rsidP="00912E5D">
      <w:pPr>
        <w:rPr>
          <w:highlight w:val="yellow"/>
        </w:rPr>
      </w:pPr>
      <w:r w:rsidRPr="00912E5D">
        <w:rPr>
          <w:highlight w:val="yellow"/>
        </w:rPr>
        <w:t>Performance of activities associated with project assessment, preparation and announcement of calls</w:t>
      </w:r>
    </w:p>
    <w:p w:rsidR="00065632" w:rsidRPr="00912E5D" w:rsidRDefault="00065632" w:rsidP="00912E5D">
      <w:pPr>
        <w:rPr>
          <w:highlight w:val="yellow"/>
        </w:rPr>
      </w:pPr>
    </w:p>
    <w:p w:rsidR="00065632" w:rsidRPr="00912E5D" w:rsidRDefault="00065632" w:rsidP="00912E5D">
      <w:pPr>
        <w:rPr>
          <w:highlight w:val="yellow"/>
        </w:rPr>
      </w:pPr>
      <w:r w:rsidRPr="00912E5D">
        <w:rPr>
          <w:highlight w:val="yellow"/>
        </w:rPr>
        <w:t xml:space="preserve">Water </w:t>
      </w:r>
      <w:proofErr w:type="spellStart"/>
      <w:r w:rsidRPr="00912E5D">
        <w:rPr>
          <w:highlight w:val="yellow"/>
        </w:rPr>
        <w:t>subfund</w:t>
      </w:r>
      <w:proofErr w:type="spellEnd"/>
    </w:p>
    <w:p w:rsidR="00065632" w:rsidRPr="00912E5D" w:rsidRDefault="00065632" w:rsidP="00912E5D">
      <w:pPr>
        <w:rPr>
          <w:highlight w:val="yellow"/>
        </w:rPr>
      </w:pPr>
      <w:r w:rsidRPr="00912E5D">
        <w:rPr>
          <w:highlight w:val="yellow"/>
        </w:rPr>
        <w:t>ESIF funds</w:t>
      </w:r>
    </w:p>
    <w:p w:rsidR="00065632" w:rsidRPr="00912E5D" w:rsidRDefault="00065632" w:rsidP="00912E5D">
      <w:pPr>
        <w:rPr>
          <w:highlight w:val="yellow"/>
        </w:rPr>
      </w:pPr>
      <w:r w:rsidRPr="00912E5D">
        <w:rPr>
          <w:highlight w:val="yellow"/>
        </w:rPr>
        <w:t>Funds of SB/SFE</w:t>
      </w:r>
    </w:p>
    <w:p w:rsidR="00065632" w:rsidRPr="00912E5D" w:rsidRDefault="00065632" w:rsidP="00912E5D">
      <w:pPr>
        <w:rPr>
          <w:highlight w:val="yellow"/>
        </w:rPr>
      </w:pPr>
      <w:r w:rsidRPr="00912E5D">
        <w:rPr>
          <w:highlight w:val="yellow"/>
        </w:rPr>
        <w:t xml:space="preserve">Private invest. </w:t>
      </w:r>
      <w:proofErr w:type="gramStart"/>
      <w:r w:rsidRPr="00912E5D">
        <w:rPr>
          <w:highlight w:val="yellow"/>
        </w:rPr>
        <w:t>if</w:t>
      </w:r>
      <w:proofErr w:type="gramEnd"/>
      <w:r w:rsidRPr="00912E5D">
        <w:rPr>
          <w:highlight w:val="yellow"/>
        </w:rPr>
        <w:t xml:space="preserve"> appl.</w:t>
      </w:r>
    </w:p>
    <w:p w:rsidR="00065632" w:rsidRPr="00912E5D" w:rsidRDefault="00065632" w:rsidP="00912E5D">
      <w:pPr>
        <w:rPr>
          <w:highlight w:val="yellow"/>
        </w:rPr>
      </w:pPr>
    </w:p>
    <w:p w:rsidR="00065632" w:rsidRPr="00912E5D" w:rsidRDefault="00065632" w:rsidP="00912E5D">
      <w:pPr>
        <w:rPr>
          <w:highlight w:val="yellow"/>
        </w:rPr>
      </w:pPr>
      <w:r w:rsidRPr="00912E5D">
        <w:rPr>
          <w:highlight w:val="yellow"/>
        </w:rPr>
        <w:t xml:space="preserve">Air </w:t>
      </w:r>
      <w:proofErr w:type="spellStart"/>
      <w:r w:rsidRPr="00912E5D">
        <w:rPr>
          <w:highlight w:val="yellow"/>
        </w:rPr>
        <w:t>subfund</w:t>
      </w:r>
      <w:proofErr w:type="spellEnd"/>
    </w:p>
    <w:p w:rsidR="00065632" w:rsidRPr="00912E5D" w:rsidRDefault="00065632" w:rsidP="00912E5D">
      <w:pPr>
        <w:rPr>
          <w:highlight w:val="yellow"/>
        </w:rPr>
      </w:pPr>
      <w:r w:rsidRPr="00912E5D">
        <w:rPr>
          <w:highlight w:val="yellow"/>
        </w:rPr>
        <w:t>ESIF funds</w:t>
      </w:r>
    </w:p>
    <w:p w:rsidR="00065632" w:rsidRPr="00912E5D" w:rsidRDefault="00065632" w:rsidP="00912E5D">
      <w:pPr>
        <w:rPr>
          <w:highlight w:val="yellow"/>
        </w:rPr>
      </w:pPr>
      <w:r w:rsidRPr="00912E5D">
        <w:rPr>
          <w:highlight w:val="yellow"/>
        </w:rPr>
        <w:t>Funds of SB/SFE</w:t>
      </w:r>
    </w:p>
    <w:p w:rsidR="00065632" w:rsidRPr="00912E5D" w:rsidRDefault="00065632" w:rsidP="00912E5D">
      <w:pPr>
        <w:rPr>
          <w:highlight w:val="yellow"/>
        </w:rPr>
      </w:pPr>
      <w:r w:rsidRPr="00912E5D">
        <w:rPr>
          <w:highlight w:val="yellow"/>
        </w:rPr>
        <w:t xml:space="preserve">Private invest. </w:t>
      </w:r>
      <w:proofErr w:type="gramStart"/>
      <w:r w:rsidRPr="00912E5D">
        <w:rPr>
          <w:highlight w:val="yellow"/>
        </w:rPr>
        <w:t>if</w:t>
      </w:r>
      <w:proofErr w:type="gramEnd"/>
      <w:r w:rsidRPr="00912E5D">
        <w:rPr>
          <w:highlight w:val="yellow"/>
        </w:rPr>
        <w:t xml:space="preserve"> appl.</w:t>
      </w:r>
    </w:p>
    <w:p w:rsidR="00065632" w:rsidRPr="00912E5D" w:rsidRDefault="00065632" w:rsidP="00912E5D">
      <w:pPr>
        <w:rPr>
          <w:highlight w:val="yellow"/>
        </w:rPr>
      </w:pPr>
      <w:r w:rsidRPr="00912E5D">
        <w:rPr>
          <w:highlight w:val="yellow"/>
        </w:rPr>
        <w:t>-&gt; Financing agreement</w:t>
      </w:r>
    </w:p>
    <w:p w:rsidR="00065632" w:rsidRPr="00912E5D" w:rsidRDefault="00065632" w:rsidP="00912E5D">
      <w:pPr>
        <w:rPr>
          <w:highlight w:val="yellow"/>
        </w:rPr>
      </w:pPr>
      <w:r w:rsidRPr="00912E5D">
        <w:rPr>
          <w:highlight w:val="yellow"/>
        </w:rPr>
        <w:t>Financial intermediary (bank)</w:t>
      </w:r>
    </w:p>
    <w:p w:rsidR="00065632" w:rsidRPr="00912E5D" w:rsidRDefault="00065632" w:rsidP="00912E5D">
      <w:pPr>
        <w:rPr>
          <w:highlight w:val="yellow"/>
        </w:rPr>
      </w:pPr>
    </w:p>
    <w:p w:rsidR="00065632" w:rsidRPr="00912E5D" w:rsidRDefault="00065632" w:rsidP="00912E5D">
      <w:pPr>
        <w:rPr>
          <w:highlight w:val="yellow"/>
        </w:rPr>
      </w:pPr>
    </w:p>
    <w:p w:rsidR="00065632" w:rsidRPr="00912E5D" w:rsidRDefault="00065632" w:rsidP="00912E5D">
      <w:pPr>
        <w:rPr>
          <w:highlight w:val="yellow"/>
        </w:rPr>
      </w:pPr>
      <w:r w:rsidRPr="00912E5D">
        <w:rPr>
          <w:highlight w:val="yellow"/>
        </w:rPr>
        <w:t xml:space="preserve">Waste </w:t>
      </w:r>
      <w:proofErr w:type="spellStart"/>
      <w:r w:rsidRPr="00912E5D">
        <w:rPr>
          <w:highlight w:val="yellow"/>
        </w:rPr>
        <w:t>subfund</w:t>
      </w:r>
      <w:proofErr w:type="spellEnd"/>
    </w:p>
    <w:p w:rsidR="00065632" w:rsidRPr="00912E5D" w:rsidRDefault="00065632" w:rsidP="00912E5D">
      <w:pPr>
        <w:rPr>
          <w:highlight w:val="yellow"/>
        </w:rPr>
      </w:pPr>
      <w:r w:rsidRPr="00912E5D">
        <w:rPr>
          <w:highlight w:val="yellow"/>
        </w:rPr>
        <w:t>ESIF funds</w:t>
      </w:r>
    </w:p>
    <w:p w:rsidR="00065632" w:rsidRPr="00912E5D" w:rsidRDefault="00065632" w:rsidP="00912E5D">
      <w:pPr>
        <w:rPr>
          <w:highlight w:val="yellow"/>
        </w:rPr>
      </w:pPr>
      <w:r w:rsidRPr="00912E5D">
        <w:rPr>
          <w:highlight w:val="yellow"/>
        </w:rPr>
        <w:t>Funds of SB/SFE</w:t>
      </w:r>
    </w:p>
    <w:p w:rsidR="00065632" w:rsidRPr="00912E5D" w:rsidRDefault="00065632" w:rsidP="00912E5D">
      <w:pPr>
        <w:rPr>
          <w:highlight w:val="yellow"/>
        </w:rPr>
      </w:pPr>
      <w:r w:rsidRPr="00912E5D">
        <w:rPr>
          <w:highlight w:val="yellow"/>
        </w:rPr>
        <w:t xml:space="preserve">Private invest. </w:t>
      </w:r>
      <w:proofErr w:type="gramStart"/>
      <w:r w:rsidRPr="00912E5D">
        <w:rPr>
          <w:highlight w:val="yellow"/>
        </w:rPr>
        <w:t>if</w:t>
      </w:r>
      <w:proofErr w:type="gramEnd"/>
      <w:r w:rsidRPr="00912E5D">
        <w:rPr>
          <w:highlight w:val="yellow"/>
        </w:rPr>
        <w:t xml:space="preserve"> appl.</w:t>
      </w:r>
    </w:p>
    <w:p w:rsidR="00065632" w:rsidRPr="00912E5D" w:rsidRDefault="00065632" w:rsidP="00912E5D">
      <w:pPr>
        <w:rPr>
          <w:highlight w:val="yellow"/>
        </w:rPr>
      </w:pPr>
    </w:p>
    <w:p w:rsidR="00065632" w:rsidRPr="00912E5D" w:rsidRDefault="00065632" w:rsidP="00912E5D">
      <w:pPr>
        <w:rPr>
          <w:highlight w:val="yellow"/>
        </w:rPr>
      </w:pPr>
      <w:r w:rsidRPr="00912E5D">
        <w:rPr>
          <w:highlight w:val="yellow"/>
        </w:rPr>
        <w:t xml:space="preserve">Energy savings </w:t>
      </w:r>
      <w:proofErr w:type="spellStart"/>
      <w:r w:rsidRPr="00912E5D">
        <w:rPr>
          <w:highlight w:val="yellow"/>
        </w:rPr>
        <w:t>subfund</w:t>
      </w:r>
      <w:proofErr w:type="spellEnd"/>
    </w:p>
    <w:p w:rsidR="00065632" w:rsidRPr="00912E5D" w:rsidRDefault="00065632" w:rsidP="00912E5D">
      <w:pPr>
        <w:rPr>
          <w:highlight w:val="yellow"/>
        </w:rPr>
      </w:pPr>
      <w:r w:rsidRPr="00912E5D">
        <w:rPr>
          <w:highlight w:val="yellow"/>
        </w:rPr>
        <w:t>ESIF funds (OPE, IROP, OPPGP, OPEIC)</w:t>
      </w:r>
    </w:p>
    <w:p w:rsidR="00065632" w:rsidRPr="00912E5D" w:rsidRDefault="00065632" w:rsidP="00912E5D">
      <w:pPr>
        <w:rPr>
          <w:highlight w:val="yellow"/>
        </w:rPr>
      </w:pPr>
      <w:r w:rsidRPr="00912E5D">
        <w:rPr>
          <w:highlight w:val="yellow"/>
        </w:rPr>
        <w:t>Funds of SB/SFE</w:t>
      </w:r>
    </w:p>
    <w:p w:rsidR="00065632" w:rsidRPr="00912E5D" w:rsidRDefault="00065632" w:rsidP="00912E5D">
      <w:pPr>
        <w:rPr>
          <w:highlight w:val="yellow"/>
        </w:rPr>
      </w:pPr>
      <w:r w:rsidRPr="00912E5D">
        <w:rPr>
          <w:highlight w:val="yellow"/>
        </w:rPr>
        <w:t xml:space="preserve">Private invest. </w:t>
      </w:r>
      <w:proofErr w:type="gramStart"/>
      <w:r w:rsidRPr="00912E5D">
        <w:rPr>
          <w:highlight w:val="yellow"/>
        </w:rPr>
        <w:t>if</w:t>
      </w:r>
      <w:proofErr w:type="gramEnd"/>
      <w:r w:rsidRPr="00912E5D">
        <w:rPr>
          <w:highlight w:val="yellow"/>
        </w:rPr>
        <w:t xml:space="preserve"> appl.</w:t>
      </w:r>
    </w:p>
    <w:p w:rsidR="00065632" w:rsidRPr="00912E5D" w:rsidRDefault="00065632" w:rsidP="00912E5D">
      <w:pPr>
        <w:rPr>
          <w:highlight w:val="yellow"/>
        </w:rPr>
      </w:pPr>
    </w:p>
    <w:p w:rsidR="00065632" w:rsidRPr="00912E5D" w:rsidRDefault="00065632" w:rsidP="00912E5D">
      <w:pPr>
        <w:rPr>
          <w:highlight w:val="yellow"/>
        </w:rPr>
      </w:pPr>
      <w:r w:rsidRPr="00912E5D">
        <w:rPr>
          <w:highlight w:val="yellow"/>
        </w:rPr>
        <w:t>Fund to Promote Entrepreneurship</w:t>
      </w:r>
    </w:p>
    <w:p w:rsidR="00065632" w:rsidRPr="00912E5D" w:rsidRDefault="00065632" w:rsidP="00912E5D">
      <w:pPr>
        <w:rPr>
          <w:highlight w:val="yellow"/>
        </w:rPr>
      </w:pPr>
    </w:p>
    <w:p w:rsidR="00065632" w:rsidRPr="00912E5D" w:rsidRDefault="00065632" w:rsidP="00065632">
      <w:pPr>
        <w:numPr>
          <w:ilvl w:val="0"/>
          <w:numId w:val="68"/>
        </w:numPr>
        <w:spacing w:after="0"/>
        <w:jc w:val="left"/>
        <w:rPr>
          <w:highlight w:val="yellow"/>
        </w:rPr>
      </w:pPr>
      <w:r w:rsidRPr="00912E5D">
        <w:rPr>
          <w:highlight w:val="yellow"/>
        </w:rPr>
        <w:t xml:space="preserve">- - - - - - - - </w:t>
      </w:r>
    </w:p>
    <w:p w:rsidR="00065632" w:rsidRPr="00912E5D" w:rsidRDefault="00065632" w:rsidP="00912E5D">
      <w:pPr>
        <w:rPr>
          <w:highlight w:val="yellow"/>
        </w:rPr>
      </w:pPr>
    </w:p>
    <w:p w:rsidR="00065632" w:rsidRPr="00912E5D" w:rsidRDefault="00065632" w:rsidP="00912E5D">
      <w:pPr>
        <w:rPr>
          <w:highlight w:val="yellow"/>
        </w:rPr>
      </w:pPr>
      <w:r w:rsidRPr="00912E5D">
        <w:rPr>
          <w:highlight w:val="yellow"/>
        </w:rPr>
        <w:t xml:space="preserve">Final </w:t>
      </w:r>
      <w:proofErr w:type="gramStart"/>
      <w:r w:rsidRPr="00912E5D">
        <w:rPr>
          <w:highlight w:val="yellow"/>
        </w:rPr>
        <w:t>beneficiaries</w:t>
      </w:r>
      <w:proofErr w:type="gramEnd"/>
      <w:r w:rsidRPr="00912E5D">
        <w:rPr>
          <w:highlight w:val="yellow"/>
        </w:rPr>
        <w:t xml:space="preserve"> level</w:t>
      </w:r>
    </w:p>
    <w:p w:rsidR="00065632" w:rsidRPr="00912E5D" w:rsidRDefault="00065632" w:rsidP="00912E5D">
      <w:pPr>
        <w:rPr>
          <w:highlight w:val="yellow"/>
        </w:rPr>
      </w:pPr>
    </w:p>
    <w:p w:rsidR="00065632" w:rsidRPr="00912E5D" w:rsidRDefault="00065632" w:rsidP="00912E5D">
      <w:pPr>
        <w:rPr>
          <w:highlight w:val="yellow"/>
        </w:rPr>
      </w:pPr>
      <w:r w:rsidRPr="00912E5D">
        <w:rPr>
          <w:highlight w:val="yellow"/>
        </w:rPr>
        <w:t>SPV (newly established)</w:t>
      </w:r>
    </w:p>
    <w:p w:rsidR="00065632" w:rsidRPr="00912E5D" w:rsidRDefault="00065632" w:rsidP="00912E5D">
      <w:pPr>
        <w:rPr>
          <w:highlight w:val="yellow"/>
        </w:rPr>
      </w:pPr>
      <w:r w:rsidRPr="00912E5D">
        <w:rPr>
          <w:highlight w:val="yellow"/>
        </w:rPr>
        <w:t>Trading company (existing)</w:t>
      </w:r>
    </w:p>
    <w:p w:rsidR="00065632" w:rsidRPr="00912E5D" w:rsidRDefault="00065632" w:rsidP="00912E5D">
      <w:pPr>
        <w:rPr>
          <w:highlight w:val="yellow"/>
        </w:rPr>
      </w:pPr>
    </w:p>
    <w:p w:rsidR="00065632" w:rsidRPr="00912E5D" w:rsidRDefault="00065632" w:rsidP="00912E5D">
      <w:pPr>
        <w:rPr>
          <w:highlight w:val="yellow"/>
        </w:rPr>
      </w:pPr>
      <w:r w:rsidRPr="00912E5D">
        <w:rPr>
          <w:highlight w:val="yellow"/>
        </w:rPr>
        <w:t>Natural person (boiler owner)</w:t>
      </w:r>
    </w:p>
    <w:p w:rsidR="00065632" w:rsidRPr="00912E5D" w:rsidRDefault="00065632" w:rsidP="00912E5D">
      <w:pPr>
        <w:rPr>
          <w:highlight w:val="yellow"/>
        </w:rPr>
      </w:pPr>
    </w:p>
    <w:p w:rsidR="00065632" w:rsidRPr="00912E5D" w:rsidRDefault="00065632" w:rsidP="00912E5D">
      <w:pPr>
        <w:rPr>
          <w:highlight w:val="yellow"/>
        </w:rPr>
      </w:pPr>
      <w:r w:rsidRPr="00912E5D">
        <w:rPr>
          <w:highlight w:val="yellow"/>
        </w:rPr>
        <w:t>SPV (newly established)</w:t>
      </w:r>
    </w:p>
    <w:p w:rsidR="00065632" w:rsidRPr="00912E5D" w:rsidRDefault="00065632" w:rsidP="00912E5D">
      <w:pPr>
        <w:rPr>
          <w:highlight w:val="yellow"/>
        </w:rPr>
      </w:pPr>
      <w:r w:rsidRPr="00912E5D">
        <w:rPr>
          <w:highlight w:val="yellow"/>
        </w:rPr>
        <w:t>Municipality or trading company (existing)</w:t>
      </w:r>
    </w:p>
    <w:p w:rsidR="00065632" w:rsidRPr="00912E5D" w:rsidRDefault="00065632" w:rsidP="00912E5D">
      <w:pPr>
        <w:rPr>
          <w:highlight w:val="yellow"/>
        </w:rPr>
      </w:pPr>
    </w:p>
    <w:p w:rsidR="00065632" w:rsidRPr="00912E5D" w:rsidRDefault="00065632" w:rsidP="00912E5D">
      <w:pPr>
        <w:rPr>
          <w:highlight w:val="yellow"/>
        </w:rPr>
      </w:pPr>
      <w:r w:rsidRPr="00912E5D">
        <w:rPr>
          <w:highlight w:val="yellow"/>
        </w:rPr>
        <w:lastRenderedPageBreak/>
        <w:t>Municipality/public administration body</w:t>
      </w:r>
    </w:p>
    <w:p w:rsidR="00065632" w:rsidRPr="00912E5D" w:rsidRDefault="00065632" w:rsidP="00912E5D">
      <w:pPr>
        <w:rPr>
          <w:highlight w:val="yellow"/>
        </w:rPr>
      </w:pPr>
      <w:r w:rsidRPr="00912E5D">
        <w:rPr>
          <w:highlight w:val="yellow"/>
        </w:rPr>
        <w:t>Organisations est</w:t>
      </w:r>
      <w:r>
        <w:rPr>
          <w:highlight w:val="yellow"/>
        </w:rPr>
        <w:t>ablished and set up by PCH</w:t>
      </w:r>
    </w:p>
    <w:p w:rsidR="00065632" w:rsidRPr="00912E5D" w:rsidRDefault="00065632" w:rsidP="00912E5D">
      <w:pPr>
        <w:rPr>
          <w:highlight w:val="yellow"/>
        </w:rPr>
      </w:pPr>
      <w:proofErr w:type="gramStart"/>
      <w:r w:rsidRPr="00912E5D">
        <w:rPr>
          <w:highlight w:val="yellow"/>
        </w:rPr>
        <w:t>Owners of residential buildings and ass.</w:t>
      </w:r>
      <w:proofErr w:type="gramEnd"/>
      <w:r w:rsidRPr="00912E5D">
        <w:rPr>
          <w:highlight w:val="yellow"/>
        </w:rPr>
        <w:t xml:space="preserve"> </w:t>
      </w:r>
      <w:proofErr w:type="gramStart"/>
      <w:r w:rsidRPr="00912E5D">
        <w:rPr>
          <w:highlight w:val="yellow"/>
        </w:rPr>
        <w:t>of</w:t>
      </w:r>
      <w:proofErr w:type="gramEnd"/>
      <w:r w:rsidRPr="00912E5D">
        <w:rPr>
          <w:highlight w:val="yellow"/>
        </w:rPr>
        <w:t xml:space="preserve"> apt. owners</w:t>
      </w:r>
    </w:p>
    <w:p w:rsidR="00065632" w:rsidRPr="00912E5D" w:rsidRDefault="00065632" w:rsidP="00912E5D">
      <w:pPr>
        <w:rPr>
          <w:highlight w:val="yellow"/>
        </w:rPr>
      </w:pPr>
      <w:r w:rsidRPr="00912E5D">
        <w:rPr>
          <w:highlight w:val="yellow"/>
        </w:rPr>
        <w:t>Business entities</w:t>
      </w:r>
    </w:p>
    <w:p w:rsidR="00065632" w:rsidRPr="00912E5D" w:rsidRDefault="00065632" w:rsidP="00912E5D">
      <w:pPr>
        <w:rPr>
          <w:highlight w:val="yellow"/>
        </w:rPr>
      </w:pPr>
    </w:p>
    <w:p w:rsidR="00065632" w:rsidRPr="00912E5D" w:rsidRDefault="00065632" w:rsidP="00912E5D">
      <w:pPr>
        <w:rPr>
          <w:highlight w:val="yellow"/>
        </w:rPr>
      </w:pPr>
      <w:r w:rsidRPr="00912E5D">
        <w:rPr>
          <w:highlight w:val="yellow"/>
        </w:rPr>
        <w:t>Contractual relationship</w:t>
      </w:r>
    </w:p>
    <w:p w:rsidR="00065632" w:rsidRPr="00912E5D" w:rsidRDefault="00065632" w:rsidP="00912E5D">
      <w:pPr>
        <w:rPr>
          <w:highlight w:val="yellow"/>
        </w:rPr>
      </w:pPr>
    </w:p>
    <w:p w:rsidR="00065632" w:rsidRPr="00912E5D" w:rsidRDefault="00065632" w:rsidP="00912E5D">
      <w:pPr>
        <w:rPr>
          <w:highlight w:val="yellow"/>
        </w:rPr>
      </w:pPr>
      <w:r w:rsidRPr="00912E5D">
        <w:rPr>
          <w:highlight w:val="yellow"/>
        </w:rPr>
        <w:t xml:space="preserve">Founding shares at the Fund level of at least CZK 2 million </w:t>
      </w:r>
    </w:p>
    <w:p w:rsidR="00065632" w:rsidRPr="0057251F" w:rsidRDefault="00065632" w:rsidP="00912E5D">
      <w:r w:rsidRPr="00912E5D">
        <w:rPr>
          <w:highlight w:val="yellow"/>
        </w:rPr>
        <w:t xml:space="preserve">Investment shares at the </w:t>
      </w:r>
      <w:proofErr w:type="spellStart"/>
      <w:r w:rsidRPr="00912E5D">
        <w:rPr>
          <w:highlight w:val="yellow"/>
        </w:rPr>
        <w:t>Subfund</w:t>
      </w:r>
      <w:proofErr w:type="spellEnd"/>
      <w:r w:rsidRPr="00912E5D">
        <w:rPr>
          <w:highlight w:val="yellow"/>
        </w:rPr>
        <w:t xml:space="preserve"> level</w:t>
      </w:r>
    </w:p>
    <w:p w:rsidR="00065632" w:rsidRDefault="00065632" w:rsidP="00912E5D"/>
    <w:p w:rsidR="00065632" w:rsidRPr="00912E5D" w:rsidRDefault="00065632" w:rsidP="00912E5D"/>
    <w:p w:rsidR="00065632" w:rsidRDefault="00065632" w:rsidP="00B83F26">
      <w:pPr>
        <w:rPr>
          <w:b/>
          <w:bCs/>
          <w:color w:val="00A1DE"/>
          <w:sz w:val="24"/>
          <w:szCs w:val="24"/>
        </w:rPr>
      </w:pPr>
      <w:r>
        <w:t xml:space="preserve">Combined sharing of structures is a model preferred by the Commission over the decentralised design due to a higher efficiency consisting in sharing structures across managing authorities. The final decision about the FI implementation scheme is the responsibility of individual MAs. However, the FI design proposed by the Contractor deems more probable that a common fund will not be created. </w:t>
      </w:r>
    </w:p>
    <w:p w:rsidR="00065632" w:rsidRDefault="00065632" w:rsidP="00F36672">
      <w:pPr>
        <w:pStyle w:val="CaptionIntroductionparagraph"/>
      </w:pPr>
      <w:r>
        <w:t>Option No. 2: Factually related areas of intervention within one fund/sub-fund are not merged</w:t>
      </w:r>
    </w:p>
    <w:p w:rsidR="00065632" w:rsidRDefault="00065632" w:rsidP="00F36672">
      <w:pPr>
        <w:pStyle w:val="BodyText1"/>
        <w:spacing w:before="120"/>
        <w:jc w:val="both"/>
      </w:pPr>
      <w:r>
        <w:t xml:space="preserve">The alternative diagram shows a situation where there is no merger of factually related measures in the same </w:t>
      </w:r>
      <w:proofErr w:type="spellStart"/>
      <w:r>
        <w:t>subfund</w:t>
      </w:r>
      <w:proofErr w:type="spellEnd"/>
      <w:r>
        <w:t xml:space="preserve"> on the grounds that each managing authority will want to keep the allocation for the financial instrument of an operational programme under the fund managed by them. In this case, separate funds will be set up for all operational programmes implementing financial instruments – at this moment, one can foresee the existence of the IROP Fund (</w:t>
      </w:r>
      <w:proofErr w:type="spellStart"/>
      <w:r>
        <w:t>MoRD</w:t>
      </w:r>
      <w:proofErr w:type="spellEnd"/>
      <w:r>
        <w:t>), OP EIC Fund (MIT), OP E Fund (ME) and the Fund of Prague– Growth Pole (PCH). Custom implementation structures will be created within each fund, as generally shown in the diagram below, with emphasis in custom arrangement in the IROP.</w:t>
      </w:r>
    </w:p>
    <w:p w:rsidR="00065632" w:rsidRDefault="00065632" w:rsidP="00F36672">
      <w:pPr>
        <w:pStyle w:val="BodyText1"/>
        <w:spacing w:before="120"/>
        <w:jc w:val="both"/>
      </w:pPr>
    </w:p>
    <w:p w:rsidR="00065632" w:rsidRDefault="00065632" w:rsidP="00F36672">
      <w:pPr>
        <w:pStyle w:val="BodyText1"/>
        <w:keepNext/>
        <w:jc w:val="center"/>
      </w:pPr>
    </w:p>
    <w:p w:rsidR="00065632" w:rsidRDefault="00560258" w:rsidP="00F36672">
      <w:pPr>
        <w:pStyle w:val="BodyText1"/>
        <w:keepNext/>
        <w:jc w:val="center"/>
      </w:pPr>
      <w:r>
        <w:rPr>
          <w:noProof/>
          <w:lang w:val="cs-CZ" w:eastAsia="cs-CZ"/>
        </w:rPr>
        <w:drawing>
          <wp:inline distT="0" distB="0" distL="0" distR="0">
            <wp:extent cx="5762625" cy="3352800"/>
            <wp:effectExtent l="0" t="0" r="9525" b="0"/>
            <wp:docPr id="19" name="Picture 7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62625" cy="3352800"/>
                    </a:xfrm>
                    <a:prstGeom prst="rect">
                      <a:avLst/>
                    </a:prstGeom>
                    <a:noFill/>
                    <a:ln>
                      <a:noFill/>
                    </a:ln>
                  </pic:spPr>
                </pic:pic>
              </a:graphicData>
            </a:graphic>
          </wp:inline>
        </w:drawing>
      </w:r>
    </w:p>
    <w:p w:rsidR="00065632" w:rsidRDefault="00065632" w:rsidP="00F36672">
      <w:pPr>
        <w:pStyle w:val="Titulek"/>
        <w:jc w:val="left"/>
      </w:pPr>
      <w:bookmarkStart w:id="154" w:name="_Toc417655526"/>
      <w:bookmarkStart w:id="155" w:name="_Toc426033937"/>
      <w:r>
        <w:t xml:space="preserve">Figure </w:t>
      </w:r>
      <w:r>
        <w:fldChar w:fldCharType="begin"/>
      </w:r>
      <w:r>
        <w:instrText xml:space="preserve"> SEQ Obrázek \* ARABIC </w:instrText>
      </w:r>
      <w:r>
        <w:fldChar w:fldCharType="separate"/>
      </w:r>
      <w:r>
        <w:rPr>
          <w:noProof/>
        </w:rPr>
        <w:t>12</w:t>
      </w:r>
      <w:r>
        <w:fldChar w:fldCharType="end"/>
      </w:r>
      <w:r>
        <w:t>: Framework diagram of IFI implementation - option 2: Factually related areas of intervention within one fund/sub-fund are not merged</w:t>
      </w:r>
      <w:bookmarkEnd w:id="154"/>
      <w:bookmarkEnd w:id="155"/>
    </w:p>
    <w:p w:rsidR="00065632" w:rsidRPr="00912E5D" w:rsidRDefault="00065632" w:rsidP="00912E5D">
      <w:pPr>
        <w:rPr>
          <w:highlight w:val="yellow"/>
        </w:rPr>
      </w:pPr>
      <w:r w:rsidRPr="00912E5D">
        <w:rPr>
          <w:highlight w:val="yellow"/>
        </w:rPr>
        <w:lastRenderedPageBreak/>
        <w:t xml:space="preserve">Fund of Funds level </w:t>
      </w:r>
    </w:p>
    <w:p w:rsidR="00065632" w:rsidRPr="00912E5D" w:rsidRDefault="00065632" w:rsidP="00912E5D">
      <w:pPr>
        <w:rPr>
          <w:highlight w:val="yellow"/>
        </w:rPr>
      </w:pPr>
    </w:p>
    <w:p w:rsidR="00065632" w:rsidRPr="00912E5D" w:rsidRDefault="00065632" w:rsidP="00912E5D">
      <w:pPr>
        <w:rPr>
          <w:highlight w:val="yellow"/>
        </w:rPr>
      </w:pPr>
      <w:r w:rsidRPr="00912E5D">
        <w:rPr>
          <w:highlight w:val="yellow"/>
        </w:rPr>
        <w:t xml:space="preserve">Fund of </w:t>
      </w:r>
      <w:proofErr w:type="gramStart"/>
      <w:r w:rsidRPr="00912E5D">
        <w:rPr>
          <w:highlight w:val="yellow"/>
        </w:rPr>
        <w:t>funds  -</w:t>
      </w:r>
      <w:proofErr w:type="gramEnd"/>
      <w:r w:rsidRPr="00912E5D">
        <w:rPr>
          <w:highlight w:val="yellow"/>
        </w:rPr>
        <w:t xml:space="preserve"> Manager of the Fund of Funds</w:t>
      </w:r>
    </w:p>
    <w:p w:rsidR="00065632" w:rsidRPr="00912E5D" w:rsidRDefault="00065632" w:rsidP="00912E5D">
      <w:pPr>
        <w:rPr>
          <w:highlight w:val="yellow"/>
        </w:rPr>
      </w:pPr>
      <w:r w:rsidRPr="00912E5D">
        <w:rPr>
          <w:highlight w:val="yellow"/>
        </w:rPr>
        <w:t>OPE account - OPEIC account - IROP account - OPP account</w:t>
      </w:r>
    </w:p>
    <w:p w:rsidR="00065632" w:rsidRPr="00912E5D" w:rsidRDefault="00065632" w:rsidP="00912E5D">
      <w:pPr>
        <w:rPr>
          <w:highlight w:val="yellow"/>
        </w:rPr>
      </w:pPr>
    </w:p>
    <w:p w:rsidR="00065632" w:rsidRPr="00912E5D" w:rsidRDefault="00065632" w:rsidP="00912E5D">
      <w:pPr>
        <w:rPr>
          <w:highlight w:val="yellow"/>
        </w:rPr>
      </w:pPr>
    </w:p>
    <w:p w:rsidR="00065632" w:rsidRPr="00912E5D" w:rsidRDefault="00065632" w:rsidP="00912E5D">
      <w:pPr>
        <w:rPr>
          <w:highlight w:val="yellow"/>
        </w:rPr>
      </w:pPr>
      <w:r w:rsidRPr="00912E5D">
        <w:rPr>
          <w:highlight w:val="yellow"/>
        </w:rPr>
        <w:t>- - - - - - - - - - Grant decision / Contract on the provision of collective investment services</w:t>
      </w:r>
    </w:p>
    <w:p w:rsidR="00065632" w:rsidRPr="00912E5D" w:rsidRDefault="00065632" w:rsidP="00912E5D">
      <w:pPr>
        <w:rPr>
          <w:highlight w:val="yellow"/>
        </w:rPr>
      </w:pPr>
    </w:p>
    <w:p w:rsidR="00065632" w:rsidRPr="00912E5D" w:rsidRDefault="00065632" w:rsidP="00912E5D">
      <w:pPr>
        <w:rPr>
          <w:highlight w:val="yellow"/>
        </w:rPr>
      </w:pPr>
      <w:r w:rsidRPr="00912E5D">
        <w:rPr>
          <w:highlight w:val="yellow"/>
        </w:rPr>
        <w:t xml:space="preserve">Financial instruments level </w:t>
      </w:r>
      <w:r w:rsidRPr="00912E5D">
        <w:rPr>
          <w:highlight w:val="yellow"/>
        </w:rPr>
        <w:tab/>
      </w:r>
      <w:r w:rsidRPr="00912E5D">
        <w:rPr>
          <w:highlight w:val="yellow"/>
        </w:rPr>
        <w:tab/>
      </w:r>
      <w:r w:rsidRPr="00912E5D">
        <w:rPr>
          <w:highlight w:val="yellow"/>
        </w:rPr>
        <w:tab/>
      </w:r>
      <w:r w:rsidRPr="00912E5D">
        <w:rPr>
          <w:highlight w:val="yellow"/>
        </w:rPr>
        <w:tab/>
      </w:r>
      <w:r w:rsidRPr="00912E5D">
        <w:rPr>
          <w:highlight w:val="yellow"/>
        </w:rPr>
        <w:tab/>
      </w:r>
      <w:r w:rsidRPr="00912E5D">
        <w:rPr>
          <w:highlight w:val="yellow"/>
        </w:rPr>
        <w:tab/>
      </w:r>
      <w:proofErr w:type="gramStart"/>
      <w:r w:rsidRPr="00912E5D">
        <w:rPr>
          <w:highlight w:val="yellow"/>
        </w:rPr>
        <w:t>Financing</w:t>
      </w:r>
      <w:proofErr w:type="gramEnd"/>
      <w:r w:rsidRPr="00912E5D">
        <w:rPr>
          <w:highlight w:val="yellow"/>
        </w:rPr>
        <w:t xml:space="preserve"> agreement</w:t>
      </w:r>
    </w:p>
    <w:p w:rsidR="00065632" w:rsidRPr="00912E5D" w:rsidRDefault="00065632" w:rsidP="00912E5D">
      <w:pPr>
        <w:rPr>
          <w:highlight w:val="yellow"/>
        </w:rPr>
      </w:pPr>
    </w:p>
    <w:p w:rsidR="00065632" w:rsidRPr="00912E5D" w:rsidRDefault="00065632" w:rsidP="00912E5D">
      <w:pPr>
        <w:rPr>
          <w:highlight w:val="yellow"/>
        </w:rPr>
      </w:pPr>
      <w:r w:rsidRPr="00912E5D">
        <w:rPr>
          <w:highlight w:val="yellow"/>
        </w:rPr>
        <w:t>Fund (SICAV)</w:t>
      </w:r>
    </w:p>
    <w:p w:rsidR="00065632" w:rsidRPr="00912E5D" w:rsidRDefault="00065632" w:rsidP="00912E5D">
      <w:pPr>
        <w:rPr>
          <w:highlight w:val="yellow"/>
        </w:rPr>
      </w:pPr>
    </w:p>
    <w:p w:rsidR="00065632" w:rsidRPr="00912E5D" w:rsidRDefault="00065632" w:rsidP="00912E5D">
      <w:pPr>
        <w:rPr>
          <w:highlight w:val="yellow"/>
        </w:rPr>
      </w:pPr>
      <w:r w:rsidRPr="00912E5D">
        <w:rPr>
          <w:highlight w:val="yellow"/>
        </w:rPr>
        <w:t>MA (</w:t>
      </w:r>
      <w:proofErr w:type="spellStart"/>
      <w:r w:rsidRPr="00912E5D">
        <w:rPr>
          <w:highlight w:val="yellow"/>
        </w:rPr>
        <w:t>MoRD</w:t>
      </w:r>
      <w:proofErr w:type="spellEnd"/>
      <w:r w:rsidRPr="00912E5D">
        <w:rPr>
          <w:highlight w:val="yellow"/>
        </w:rPr>
        <w:t>) – ENERGETIKA Fund – Fund manager</w:t>
      </w:r>
    </w:p>
    <w:p w:rsidR="00065632" w:rsidRPr="00912E5D" w:rsidRDefault="00065632" w:rsidP="00912E5D">
      <w:pPr>
        <w:rPr>
          <w:highlight w:val="yellow"/>
        </w:rPr>
      </w:pPr>
      <w:r w:rsidRPr="00912E5D">
        <w:rPr>
          <w:highlight w:val="yellow"/>
        </w:rPr>
        <w:t>Fund founder</w:t>
      </w:r>
      <w:r w:rsidRPr="00912E5D">
        <w:rPr>
          <w:highlight w:val="yellow"/>
        </w:rPr>
        <w:tab/>
      </w:r>
      <w:r w:rsidRPr="00912E5D">
        <w:rPr>
          <w:highlight w:val="yellow"/>
        </w:rPr>
        <w:tab/>
      </w:r>
      <w:r w:rsidRPr="00912E5D">
        <w:rPr>
          <w:highlight w:val="yellow"/>
        </w:rPr>
        <w:tab/>
      </w:r>
      <w:r w:rsidRPr="00912E5D">
        <w:rPr>
          <w:highlight w:val="yellow"/>
        </w:rPr>
        <w:tab/>
        <w:t>Services associated with investment</w:t>
      </w:r>
    </w:p>
    <w:p w:rsidR="00065632" w:rsidRPr="00912E5D" w:rsidRDefault="00065632" w:rsidP="00912E5D">
      <w:pPr>
        <w:rPr>
          <w:highlight w:val="yellow"/>
        </w:rPr>
      </w:pPr>
      <w:r w:rsidRPr="00912E5D">
        <w:rPr>
          <w:highlight w:val="yellow"/>
        </w:rPr>
        <w:tab/>
      </w:r>
      <w:r w:rsidRPr="00912E5D">
        <w:rPr>
          <w:highlight w:val="yellow"/>
        </w:rPr>
        <w:tab/>
      </w:r>
      <w:r w:rsidRPr="00912E5D">
        <w:rPr>
          <w:highlight w:val="yellow"/>
        </w:rPr>
        <w:tab/>
        <w:t>ESIF funds</w:t>
      </w:r>
    </w:p>
    <w:p w:rsidR="00065632" w:rsidRPr="00912E5D" w:rsidRDefault="00065632" w:rsidP="00912E5D">
      <w:pPr>
        <w:rPr>
          <w:highlight w:val="yellow"/>
        </w:rPr>
      </w:pPr>
      <w:r w:rsidRPr="00912E5D">
        <w:rPr>
          <w:highlight w:val="yellow"/>
        </w:rPr>
        <w:tab/>
      </w:r>
      <w:r w:rsidRPr="00912E5D">
        <w:rPr>
          <w:highlight w:val="yellow"/>
        </w:rPr>
        <w:tab/>
      </w:r>
      <w:r w:rsidRPr="00912E5D">
        <w:rPr>
          <w:highlight w:val="yellow"/>
        </w:rPr>
        <w:tab/>
        <w:t>Funds of national co-financing</w:t>
      </w:r>
    </w:p>
    <w:p w:rsidR="00065632" w:rsidRPr="00912E5D" w:rsidRDefault="00065632" w:rsidP="00912E5D">
      <w:pPr>
        <w:rPr>
          <w:highlight w:val="yellow"/>
        </w:rPr>
      </w:pPr>
      <w:r w:rsidRPr="00912E5D">
        <w:rPr>
          <w:highlight w:val="yellow"/>
        </w:rPr>
        <w:tab/>
      </w:r>
      <w:r w:rsidRPr="00912E5D">
        <w:rPr>
          <w:highlight w:val="yellow"/>
        </w:rPr>
        <w:tab/>
      </w:r>
      <w:r w:rsidRPr="00912E5D">
        <w:rPr>
          <w:highlight w:val="yellow"/>
        </w:rPr>
        <w:tab/>
        <w:t>Involvement of private investors where applicable</w:t>
      </w:r>
    </w:p>
    <w:p w:rsidR="00065632" w:rsidRPr="00912E5D" w:rsidRDefault="00065632" w:rsidP="00912E5D">
      <w:pPr>
        <w:rPr>
          <w:highlight w:val="yellow"/>
        </w:rPr>
      </w:pPr>
      <w:r w:rsidRPr="00912E5D">
        <w:rPr>
          <w:highlight w:val="yellow"/>
        </w:rPr>
        <w:tab/>
      </w:r>
      <w:r w:rsidRPr="00912E5D">
        <w:rPr>
          <w:highlight w:val="yellow"/>
        </w:rPr>
        <w:tab/>
      </w:r>
      <w:r w:rsidRPr="00912E5D">
        <w:rPr>
          <w:highlight w:val="yellow"/>
        </w:rPr>
        <w:tab/>
        <w:t>Involvement of national programmes source where applicable</w:t>
      </w:r>
    </w:p>
    <w:p w:rsidR="00065632" w:rsidRPr="00912E5D" w:rsidRDefault="00065632" w:rsidP="00912E5D">
      <w:pPr>
        <w:rPr>
          <w:highlight w:val="yellow"/>
        </w:rPr>
      </w:pPr>
    </w:p>
    <w:p w:rsidR="00065632" w:rsidRPr="00912E5D" w:rsidRDefault="00065632" w:rsidP="00912E5D">
      <w:pPr>
        <w:rPr>
          <w:highlight w:val="yellow"/>
        </w:rPr>
      </w:pPr>
      <w:r w:rsidRPr="00912E5D">
        <w:rPr>
          <w:highlight w:val="yellow"/>
        </w:rPr>
        <w:tab/>
      </w:r>
      <w:r w:rsidRPr="00912E5D">
        <w:rPr>
          <w:highlight w:val="yellow"/>
        </w:rPr>
        <w:tab/>
      </w:r>
      <w:r w:rsidRPr="00912E5D">
        <w:rPr>
          <w:highlight w:val="yellow"/>
        </w:rPr>
        <w:tab/>
        <w:t>Framework agreement on involvement in provision of IROP aid</w:t>
      </w:r>
    </w:p>
    <w:p w:rsidR="00065632" w:rsidRPr="00912E5D" w:rsidRDefault="00065632" w:rsidP="00912E5D">
      <w:pPr>
        <w:rPr>
          <w:highlight w:val="yellow"/>
        </w:rPr>
      </w:pPr>
      <w:r w:rsidRPr="00912E5D">
        <w:rPr>
          <w:highlight w:val="yellow"/>
        </w:rPr>
        <w:tab/>
      </w:r>
      <w:r w:rsidRPr="00912E5D">
        <w:rPr>
          <w:highlight w:val="yellow"/>
        </w:rPr>
        <w:tab/>
      </w:r>
      <w:r w:rsidRPr="00912E5D">
        <w:rPr>
          <w:highlight w:val="yellow"/>
        </w:rPr>
        <w:tab/>
      </w:r>
    </w:p>
    <w:p w:rsidR="00065632" w:rsidRPr="00912E5D" w:rsidRDefault="00065632" w:rsidP="00912E5D">
      <w:pPr>
        <w:rPr>
          <w:highlight w:val="yellow"/>
        </w:rPr>
      </w:pPr>
      <w:r w:rsidRPr="00912E5D">
        <w:rPr>
          <w:highlight w:val="yellow"/>
        </w:rPr>
        <w:tab/>
      </w:r>
      <w:r w:rsidRPr="00912E5D">
        <w:rPr>
          <w:highlight w:val="yellow"/>
        </w:rPr>
        <w:tab/>
      </w:r>
      <w:r w:rsidRPr="00912E5D">
        <w:rPr>
          <w:highlight w:val="yellow"/>
        </w:rPr>
        <w:tab/>
        <w:t>Financial intermediaries (commercial banks)</w:t>
      </w:r>
    </w:p>
    <w:p w:rsidR="00065632" w:rsidRPr="00912E5D" w:rsidRDefault="00065632" w:rsidP="00912E5D">
      <w:pPr>
        <w:rPr>
          <w:highlight w:val="yellow"/>
        </w:rPr>
      </w:pPr>
      <w:r w:rsidRPr="00912E5D">
        <w:rPr>
          <w:highlight w:val="yellow"/>
        </w:rPr>
        <w:tab/>
      </w:r>
      <w:r w:rsidRPr="00912E5D">
        <w:rPr>
          <w:highlight w:val="yellow"/>
        </w:rPr>
        <w:tab/>
      </w:r>
      <w:r w:rsidRPr="00912E5D">
        <w:rPr>
          <w:highlight w:val="yellow"/>
        </w:rPr>
        <w:tab/>
      </w:r>
    </w:p>
    <w:p w:rsidR="00065632" w:rsidRPr="00912E5D" w:rsidRDefault="00065632" w:rsidP="00912E5D">
      <w:pPr>
        <w:rPr>
          <w:highlight w:val="yellow"/>
        </w:rPr>
      </w:pPr>
      <w:r w:rsidRPr="00912E5D">
        <w:rPr>
          <w:highlight w:val="yellow"/>
        </w:rPr>
        <w:tab/>
      </w:r>
      <w:r w:rsidRPr="00912E5D">
        <w:rPr>
          <w:highlight w:val="yellow"/>
        </w:rPr>
        <w:tab/>
      </w:r>
      <w:r w:rsidRPr="00912E5D">
        <w:rPr>
          <w:highlight w:val="yellow"/>
        </w:rPr>
        <w:tab/>
      </w:r>
      <w:proofErr w:type="gramStart"/>
      <w:r w:rsidRPr="00912E5D">
        <w:rPr>
          <w:highlight w:val="yellow"/>
        </w:rPr>
        <w:t>Owners of residential buildings and ass.</w:t>
      </w:r>
      <w:proofErr w:type="gramEnd"/>
      <w:r w:rsidRPr="00912E5D">
        <w:rPr>
          <w:highlight w:val="yellow"/>
        </w:rPr>
        <w:t xml:space="preserve"> </w:t>
      </w:r>
      <w:proofErr w:type="gramStart"/>
      <w:r w:rsidRPr="00912E5D">
        <w:rPr>
          <w:highlight w:val="yellow"/>
        </w:rPr>
        <w:t>of</w:t>
      </w:r>
      <w:proofErr w:type="gramEnd"/>
      <w:r w:rsidRPr="00912E5D">
        <w:rPr>
          <w:highlight w:val="yellow"/>
        </w:rPr>
        <w:t xml:space="preserve"> apt. owners</w:t>
      </w:r>
    </w:p>
    <w:p w:rsidR="00065632" w:rsidRPr="00912E5D" w:rsidRDefault="00065632" w:rsidP="00912E5D">
      <w:pPr>
        <w:rPr>
          <w:highlight w:val="yellow"/>
        </w:rPr>
      </w:pPr>
    </w:p>
    <w:p w:rsidR="00065632" w:rsidRPr="00912E5D" w:rsidRDefault="00065632" w:rsidP="00912E5D">
      <w:pPr>
        <w:rPr>
          <w:highlight w:val="yellow"/>
        </w:rPr>
      </w:pPr>
    </w:p>
    <w:p w:rsidR="00065632" w:rsidRPr="00912E5D" w:rsidRDefault="00065632" w:rsidP="00912E5D">
      <w:pPr>
        <w:rPr>
          <w:highlight w:val="yellow"/>
        </w:rPr>
      </w:pPr>
    </w:p>
    <w:p w:rsidR="00065632" w:rsidRPr="00912E5D" w:rsidRDefault="00065632" w:rsidP="00912E5D">
      <w:pPr>
        <w:rPr>
          <w:highlight w:val="yellow"/>
        </w:rPr>
      </w:pPr>
      <w:proofErr w:type="gramStart"/>
      <w:r w:rsidRPr="00912E5D">
        <w:rPr>
          <w:highlight w:val="yellow"/>
        </w:rPr>
        <w:t xml:space="preserve">Loan instrument – Fin. </w:t>
      </w:r>
      <w:proofErr w:type="spellStart"/>
      <w:r w:rsidRPr="00912E5D">
        <w:rPr>
          <w:highlight w:val="yellow"/>
        </w:rPr>
        <w:t>interm</w:t>
      </w:r>
      <w:proofErr w:type="spellEnd"/>
      <w:r w:rsidRPr="00912E5D">
        <w:rPr>
          <w:highlight w:val="yellow"/>
        </w:rPr>
        <w:t>.</w:t>
      </w:r>
      <w:proofErr w:type="gramEnd"/>
      <w:r w:rsidRPr="00912E5D">
        <w:rPr>
          <w:highlight w:val="yellow"/>
        </w:rPr>
        <w:t xml:space="preserve"> </w:t>
      </w:r>
      <w:proofErr w:type="gramStart"/>
      <w:r w:rsidRPr="00912E5D">
        <w:rPr>
          <w:highlight w:val="yellow"/>
        </w:rPr>
        <w:t>of</w:t>
      </w:r>
      <w:proofErr w:type="gramEnd"/>
      <w:r w:rsidRPr="00912E5D">
        <w:rPr>
          <w:highlight w:val="yellow"/>
        </w:rPr>
        <w:t xml:space="preserve"> loan instr. – OPEIC fund – OPE fund – OP Prague GP fund</w:t>
      </w:r>
    </w:p>
    <w:p w:rsidR="00065632" w:rsidRPr="00912E5D" w:rsidRDefault="00065632" w:rsidP="00912E5D">
      <w:pPr>
        <w:rPr>
          <w:highlight w:val="yellow"/>
        </w:rPr>
      </w:pPr>
    </w:p>
    <w:p w:rsidR="00065632" w:rsidRPr="00912E5D" w:rsidRDefault="00065632" w:rsidP="00912E5D">
      <w:pPr>
        <w:rPr>
          <w:highlight w:val="yellow"/>
        </w:rPr>
      </w:pPr>
    </w:p>
    <w:p w:rsidR="00065632" w:rsidRPr="00912E5D" w:rsidRDefault="00065632" w:rsidP="00912E5D">
      <w:pPr>
        <w:rPr>
          <w:highlight w:val="yellow"/>
        </w:rPr>
      </w:pPr>
      <w:r w:rsidRPr="00912E5D">
        <w:rPr>
          <w:highlight w:val="yellow"/>
        </w:rPr>
        <w:t xml:space="preserve">- - - - - - - - </w:t>
      </w:r>
    </w:p>
    <w:p w:rsidR="00065632" w:rsidRPr="00912E5D" w:rsidRDefault="00065632" w:rsidP="00912E5D">
      <w:pPr>
        <w:rPr>
          <w:highlight w:val="yellow"/>
        </w:rPr>
      </w:pPr>
    </w:p>
    <w:p w:rsidR="00065632" w:rsidRPr="00912E5D" w:rsidRDefault="00065632" w:rsidP="00912E5D">
      <w:pPr>
        <w:rPr>
          <w:highlight w:val="yellow"/>
        </w:rPr>
      </w:pPr>
      <w:r w:rsidRPr="00912E5D">
        <w:rPr>
          <w:highlight w:val="yellow"/>
        </w:rPr>
        <w:t xml:space="preserve">Final </w:t>
      </w:r>
      <w:proofErr w:type="gramStart"/>
      <w:r w:rsidRPr="00912E5D">
        <w:rPr>
          <w:highlight w:val="yellow"/>
        </w:rPr>
        <w:t>beneficiaries</w:t>
      </w:r>
      <w:proofErr w:type="gramEnd"/>
      <w:r w:rsidRPr="00912E5D">
        <w:rPr>
          <w:highlight w:val="yellow"/>
        </w:rPr>
        <w:t xml:space="preserve"> level </w:t>
      </w:r>
    </w:p>
    <w:p w:rsidR="00065632" w:rsidRPr="00912E5D" w:rsidRDefault="00065632" w:rsidP="00912E5D">
      <w:pPr>
        <w:rPr>
          <w:highlight w:val="yellow"/>
        </w:rPr>
      </w:pPr>
    </w:p>
    <w:p w:rsidR="00065632" w:rsidRPr="00912E5D" w:rsidRDefault="00065632" w:rsidP="00912E5D">
      <w:pPr>
        <w:rPr>
          <w:highlight w:val="yellow"/>
        </w:rPr>
      </w:pPr>
    </w:p>
    <w:p w:rsidR="00065632" w:rsidRPr="0057251F" w:rsidRDefault="00065632" w:rsidP="00912E5D">
      <w:r w:rsidRPr="00912E5D">
        <w:rPr>
          <w:highlight w:val="yellow"/>
        </w:rPr>
        <w:t>Contractual relationship</w:t>
      </w:r>
    </w:p>
    <w:p w:rsidR="00065632" w:rsidRPr="00912E5D" w:rsidRDefault="00065632" w:rsidP="00912E5D"/>
    <w:p w:rsidR="00065632" w:rsidRDefault="00065632" w:rsidP="00F36672">
      <w:pPr>
        <w:pStyle w:val="Nadpis3"/>
      </w:pPr>
      <w:bookmarkStart w:id="156" w:name="_Toc418767156"/>
      <w:bookmarkStart w:id="157" w:name="_Toc426033666"/>
      <w:r>
        <w:lastRenderedPageBreak/>
        <w:t>Steps necessary for the introduction of the financial instrument</w:t>
      </w:r>
      <w:bookmarkEnd w:id="156"/>
      <w:bookmarkEnd w:id="157"/>
      <w:r>
        <w:t xml:space="preserve"> </w:t>
      </w:r>
    </w:p>
    <w:p w:rsidR="00065632" w:rsidRPr="00C2783B" w:rsidRDefault="00065632" w:rsidP="00F36672">
      <w:r>
        <w:t xml:space="preserve">The following chapter includes presents a general description, including options, of steps which must be carried out in connection with the implementation of an innovative financial instrument (IFI). These steps are not only the responsibility of the IROP MA, but they must be taken also in coordination with the MF, </w:t>
      </w:r>
      <w:proofErr w:type="spellStart"/>
      <w:r>
        <w:t>MoRD</w:t>
      </w:r>
      <w:proofErr w:type="spellEnd"/>
      <w:r>
        <w:t xml:space="preserve">-NCA and other managing authorities. </w:t>
      </w:r>
    </w:p>
    <w:p w:rsidR="00065632" w:rsidRDefault="00065632" w:rsidP="00065632">
      <w:pPr>
        <w:pStyle w:val="Bodyodsazene"/>
        <w:numPr>
          <w:ilvl w:val="0"/>
          <w:numId w:val="33"/>
        </w:numPr>
        <w:jc w:val="both"/>
      </w:pPr>
      <w:r>
        <w:t>The MF will set up a Fund of Funds and will select an entity to act as the fund manager; alternatively, role of the founder and manager of the Fund of Funds will be entrusted to the EIB.</w:t>
      </w:r>
    </w:p>
    <w:p w:rsidR="00065632" w:rsidRDefault="00065632" w:rsidP="00065632">
      <w:pPr>
        <w:pStyle w:val="Bodyodsazene"/>
        <w:numPr>
          <w:ilvl w:val="0"/>
          <w:numId w:val="33"/>
        </w:numPr>
        <w:jc w:val="both"/>
      </w:pPr>
      <w:r>
        <w:t xml:space="preserve">On the basis of a financing agreement and a grant decision, the MA allocates funds dedicated to financial instruments in the Fund of Funds (it is possible to determine the minimum amount of allocation volume which must be implemented through financial instruments by managing authorities). Alternatively, it is also possible to only delegate the provision of certain services to the manager of the Fund of Funds and conclude a financing agreement and a grant decision directly with the fund manager at the financial instrument level. </w:t>
      </w:r>
    </w:p>
    <w:p w:rsidR="00065632" w:rsidRDefault="00065632" w:rsidP="00065632">
      <w:pPr>
        <w:pStyle w:val="Bodyodsazene"/>
        <w:numPr>
          <w:ilvl w:val="0"/>
          <w:numId w:val="33"/>
        </w:numPr>
        <w:jc w:val="both"/>
      </w:pPr>
      <w:r>
        <w:t>The Fund of Funds, or individual MAs, establish a fund at the operational programme level, or a fund consisting factually related measures, and will appoint a fund manager. Establishment of the fund involves the establishment of a company (legal form: public limited-liability company with variable capital) and payment of a founding contribution, preparation of the fund's charter, which will include the investment strategy, and appointment of members of the investment board / supervisory committee. Membership in the investment board may be determined based on the functions; however, it must comply with legislative requirements. After meeting all statutory requirements, the fund is registered by ČNB and is thereby established.</w:t>
      </w:r>
    </w:p>
    <w:p w:rsidR="00065632" w:rsidRDefault="00065632" w:rsidP="00065632">
      <w:pPr>
        <w:pStyle w:val="Bodyodsazene"/>
        <w:numPr>
          <w:ilvl w:val="0"/>
          <w:numId w:val="33"/>
        </w:numPr>
        <w:jc w:val="both"/>
      </w:pPr>
      <w:r>
        <w:t>The fund manager will provide all activities necessary for a conclusion of the financing agreement. These include setting up processes according to the requirements of the regulation, including the provision of personnel capacity and technical support, and creation of management documentation.</w:t>
      </w:r>
    </w:p>
    <w:p w:rsidR="00065632" w:rsidRDefault="00065632" w:rsidP="00065632">
      <w:pPr>
        <w:pStyle w:val="Bodyodsazene"/>
        <w:numPr>
          <w:ilvl w:val="0"/>
          <w:numId w:val="33"/>
        </w:numPr>
        <w:jc w:val="both"/>
      </w:pPr>
      <w:r>
        <w:t xml:space="preserve">The manager of the FF, with permission of the MA, concludes with the manager of the Fund (or the managers of alternative financial instruments) a financing agreement, on the basis of which he transfers allocations of the financial instrument from the European funds and from national co-financing on the basis of ex-ante funding. MAs with related areas of specialisation may be involved in the implementation structure at the fund level, or individual </w:t>
      </w:r>
      <w:proofErr w:type="spellStart"/>
      <w:r>
        <w:t>subfunds</w:t>
      </w:r>
      <w:proofErr w:type="spellEnd"/>
      <w:r>
        <w:t xml:space="preserve">. Resources within individual priority axes/specific objectives/measures are further administered at the level of </w:t>
      </w:r>
      <w:proofErr w:type="spellStart"/>
      <w:r>
        <w:t>subfunds</w:t>
      </w:r>
      <w:proofErr w:type="spellEnd"/>
      <w:r>
        <w:t>.</w:t>
      </w:r>
    </w:p>
    <w:p w:rsidR="00065632" w:rsidRDefault="00065632" w:rsidP="00065632">
      <w:pPr>
        <w:pStyle w:val="Bodyodsazene"/>
        <w:numPr>
          <w:ilvl w:val="0"/>
          <w:numId w:val="33"/>
        </w:numPr>
        <w:jc w:val="both"/>
      </w:pPr>
      <w:r>
        <w:t xml:space="preserve">If necessary, the fund manager, upon the approval of MA, concludes a funding agreement with a financial intermediary which determines the activities carried out by the financial intermediary and the way of transfer and administration of resources. In the case of the specific instrument, the Contractor recommends that IROP </w:t>
      </w:r>
      <w:proofErr w:type="gramStart"/>
      <w:r>
        <w:t>proceed</w:t>
      </w:r>
      <w:proofErr w:type="gramEnd"/>
      <w:r>
        <w:t xml:space="preserve"> by means of open framework cooperation with several suitable financial intermediaries simultaneously, which will ensure greater availability of the supply of the financial instrument in the country.</w:t>
      </w:r>
      <w:r>
        <w:rPr>
          <w:rStyle w:val="Znakapoznpodarou"/>
        </w:rPr>
        <w:footnoteReference w:id="8"/>
      </w:r>
      <w:r>
        <w:t xml:space="preserve"> In case of establishing fund structures shared by several managing authorities, the Contractor recommends that the MA conclude a service contract (delegation agreement) with the administrator (in the case of the IROP, the SFHD can be an appropriate administrator), which specifies the activities provided by the administrator.</w:t>
      </w:r>
    </w:p>
    <w:p w:rsidR="00065632" w:rsidRDefault="00065632" w:rsidP="00065632">
      <w:pPr>
        <w:pStyle w:val="Bodyodsazene"/>
        <w:numPr>
          <w:ilvl w:val="0"/>
          <w:numId w:val="33"/>
        </w:numPr>
        <w:jc w:val="both"/>
      </w:pPr>
      <w:r>
        <w:lastRenderedPageBreak/>
        <w:t xml:space="preserve">The fund manager, or contractually designated entity (financial intermediary, administrator) launches a call for the implementation of the financial instrument. End users submit grant applications in accordance with the Rules for Applicants and Beneficiaries. Applications are submitted to the body designated by the rules. The entity receiving the applications can be the fund manager/financial intermediary/administrator. The division of activities is specified in agreements between the fund manager, the administrator and the financial intermediary – based on the previous conclusions, the Contractor recommends financial intermediaries to be the contact points. Evaluation of applications is carried out by the fund manager, or an entity to which the manager contractually delegated this activity (financial intermediary/administrator). </w:t>
      </w:r>
    </w:p>
    <w:p w:rsidR="00065632" w:rsidRDefault="00065632" w:rsidP="00065632">
      <w:pPr>
        <w:pStyle w:val="Bodyodsazene"/>
        <w:numPr>
          <w:ilvl w:val="0"/>
          <w:numId w:val="33"/>
        </w:numPr>
        <w:jc w:val="both"/>
      </w:pPr>
      <w:r>
        <w:t xml:space="preserve">Approval of the projects to be implemented is carried out by the fund's investment board, or </w:t>
      </w:r>
      <w:proofErr w:type="spellStart"/>
      <w:r>
        <w:t>subfund's</w:t>
      </w:r>
      <w:proofErr w:type="spellEnd"/>
      <w:r>
        <w:t xml:space="preserve"> investment board, which includes representatives of the managing authority and other stakeholders. </w:t>
      </w:r>
    </w:p>
    <w:p w:rsidR="00065632" w:rsidRDefault="00065632" w:rsidP="000D32A5">
      <w:pPr>
        <w:pStyle w:val="Nadpis4"/>
      </w:pPr>
      <w:bookmarkStart w:id="158" w:name="_Toc413183922"/>
      <w:bookmarkStart w:id="159" w:name="_Toc413183923"/>
      <w:r>
        <w:t>Description of roles within the implementation of IFI</w:t>
      </w:r>
      <w:bookmarkEnd w:id="158"/>
      <w:r>
        <w:t xml:space="preserve">  </w:t>
      </w:r>
    </w:p>
    <w:p w:rsidR="00065632" w:rsidRDefault="00065632" w:rsidP="000D32A5">
      <w:r>
        <w:t xml:space="preserve">The following chapter contains definitions of roles in the implementation structure, appropriate entities for involvement at various levels, including basic description and definition of activities provided. </w:t>
      </w:r>
    </w:p>
    <w:p w:rsidR="00065632" w:rsidRDefault="00065632" w:rsidP="000D32A5">
      <w:pPr>
        <w:pStyle w:val="Highlight2"/>
      </w:pPr>
      <w:r>
        <w:t>Managing authority</w:t>
      </w:r>
    </w:p>
    <w:p w:rsidR="00065632" w:rsidRDefault="00065632" w:rsidP="000D32A5">
      <w:pPr>
        <w:pStyle w:val="BodyText1"/>
        <w:rPr>
          <w:i/>
          <w:iCs/>
        </w:rPr>
      </w:pPr>
      <w:r>
        <w:t>In relation to financial instruments the managing authority is responsible, in particular, for the following activities:</w:t>
      </w:r>
    </w:p>
    <w:p w:rsidR="00065632" w:rsidRPr="00D20870" w:rsidRDefault="00065632" w:rsidP="00065632">
      <w:pPr>
        <w:pStyle w:val="BodyText1"/>
        <w:numPr>
          <w:ilvl w:val="0"/>
          <w:numId w:val="29"/>
        </w:numPr>
        <w:spacing w:before="120"/>
        <w:ind w:left="567" w:hanging="283"/>
      </w:pPr>
      <w:r>
        <w:t>Prepares and implements granting of FF (or fund) subsidy, or another contractual relationship, issues a grant decision and any changes;</w:t>
      </w:r>
    </w:p>
    <w:p w:rsidR="00065632" w:rsidRPr="00D20870" w:rsidRDefault="00065632" w:rsidP="00065632">
      <w:pPr>
        <w:pStyle w:val="BodyText1"/>
        <w:numPr>
          <w:ilvl w:val="0"/>
          <w:numId w:val="29"/>
        </w:numPr>
        <w:spacing w:before="120"/>
        <w:ind w:left="567" w:hanging="283"/>
      </w:pPr>
      <w:r>
        <w:t>Prepares investment strategy in conjunction with FF manager and fund managers;</w:t>
      </w:r>
    </w:p>
    <w:p w:rsidR="00065632" w:rsidRPr="00D20870" w:rsidRDefault="00065632" w:rsidP="00065632">
      <w:pPr>
        <w:pStyle w:val="BodyText1"/>
        <w:numPr>
          <w:ilvl w:val="0"/>
          <w:numId w:val="29"/>
        </w:numPr>
        <w:spacing w:before="120"/>
        <w:ind w:left="567" w:hanging="283"/>
      </w:pPr>
      <w:r>
        <w:t>Prepares management documentation;</w:t>
      </w:r>
    </w:p>
    <w:p w:rsidR="00065632" w:rsidRPr="00D20870" w:rsidRDefault="00065632" w:rsidP="00065632">
      <w:pPr>
        <w:pStyle w:val="BodyText1"/>
        <w:numPr>
          <w:ilvl w:val="0"/>
          <w:numId w:val="29"/>
        </w:numPr>
        <w:spacing w:before="120"/>
        <w:ind w:left="567" w:hanging="283"/>
      </w:pPr>
      <w:r>
        <w:t>Responsible for monitoring of the IFI implementation;</w:t>
      </w:r>
    </w:p>
    <w:p w:rsidR="00065632" w:rsidRPr="00D20870" w:rsidRDefault="00065632" w:rsidP="00065632">
      <w:pPr>
        <w:pStyle w:val="BodyText1"/>
        <w:numPr>
          <w:ilvl w:val="0"/>
          <w:numId w:val="29"/>
        </w:numPr>
        <w:spacing w:before="120"/>
        <w:ind w:left="567" w:hanging="283"/>
      </w:pPr>
      <w:r>
        <w:t>Provides budgeting of funds for implementing the FI in its chapter;</w:t>
      </w:r>
    </w:p>
    <w:p w:rsidR="00065632" w:rsidRPr="00D20870" w:rsidRDefault="00065632" w:rsidP="00065632">
      <w:pPr>
        <w:pStyle w:val="BodyText1"/>
        <w:numPr>
          <w:ilvl w:val="0"/>
          <w:numId w:val="29"/>
        </w:numPr>
        <w:spacing w:before="120"/>
        <w:ind w:left="567" w:hanging="283"/>
      </w:pPr>
      <w:r>
        <w:t>Checks the fulfilment of contractual conditions – towards the established fund and its manager;</w:t>
      </w:r>
    </w:p>
    <w:p w:rsidR="00065632" w:rsidRPr="00D20870" w:rsidRDefault="00065632" w:rsidP="00065632">
      <w:pPr>
        <w:pStyle w:val="BodyText1"/>
        <w:numPr>
          <w:ilvl w:val="0"/>
          <w:numId w:val="29"/>
        </w:numPr>
        <w:spacing w:before="120"/>
        <w:ind w:left="567" w:hanging="283"/>
      </w:pPr>
      <w:r>
        <w:t>Bears ultimate responsibility for resource management;</w:t>
      </w:r>
    </w:p>
    <w:p w:rsidR="00065632" w:rsidRPr="00D20870" w:rsidRDefault="00065632" w:rsidP="00065632">
      <w:pPr>
        <w:pStyle w:val="BodyText1"/>
        <w:numPr>
          <w:ilvl w:val="0"/>
          <w:numId w:val="29"/>
        </w:numPr>
        <w:spacing w:before="120"/>
        <w:ind w:left="567" w:hanging="283"/>
      </w:pPr>
      <w:r>
        <w:t>Oversees the overall management and control of operations in FI implementation;</w:t>
      </w:r>
    </w:p>
    <w:p w:rsidR="00065632" w:rsidRDefault="00065632" w:rsidP="00065632">
      <w:pPr>
        <w:pStyle w:val="BodyText1"/>
        <w:numPr>
          <w:ilvl w:val="0"/>
          <w:numId w:val="29"/>
        </w:numPr>
        <w:spacing w:before="120"/>
        <w:ind w:left="567" w:hanging="283"/>
      </w:pPr>
      <w:r>
        <w:t>Performs on-site inspection of the beneficiary (Fund of Funds or investment instrument) on a selected sample of operations, resolves irregularities and if irregularities are detected, performs clearance disregarding the irregularities detected.</w:t>
      </w:r>
    </w:p>
    <w:p w:rsidR="00065632" w:rsidRPr="00693AAF" w:rsidRDefault="00065632" w:rsidP="000D32A5">
      <w:pPr>
        <w:spacing w:after="0"/>
        <w:jc w:val="left"/>
        <w:rPr>
          <w:b/>
          <w:bCs/>
          <w:color w:val="92D400"/>
          <w:sz w:val="20"/>
          <w:szCs w:val="20"/>
        </w:rPr>
      </w:pPr>
    </w:p>
    <w:p w:rsidR="00065632" w:rsidRDefault="00065632" w:rsidP="000D32A5">
      <w:pPr>
        <w:pStyle w:val="Highlight2"/>
      </w:pPr>
      <w:r>
        <w:t>Fund of Funds level</w:t>
      </w:r>
    </w:p>
    <w:p w:rsidR="00065632" w:rsidRPr="0050698A" w:rsidRDefault="00065632" w:rsidP="000D32A5">
      <w:pPr>
        <w:keepNext/>
        <w:spacing w:before="120"/>
      </w:pPr>
      <w:r>
        <w:t>The Fund of Funds manager pursues their roles based on statutory provisions, on the basis of a financing agreement (which includes the investment strategy) and on the basis of the grant decision / other agreement on the transfer of funds of operational programmes. The Fund of Funds manager can, with the consent of the managing authorities, enter into financing agreements with other implementation structure entities, especially with managers of financial instruments and financial intermediaries. In order to preserve the possibilities of resource management within the competence of the MA, the managing authorities can enter with the Fund of Funds into contracts, as an alternative to financing agreement, on the basis of which the Fund of Funds would be committed to the administration and management of entrusted funds and the provision of services of collective investment; the funds would nevertheless remain the property of MA. However, the above alternative proposal must be approved before its implementation by the Ministry of Finance and the European Commission, and it must be preceded by a change in the related legislation.</w:t>
      </w:r>
    </w:p>
    <w:p w:rsidR="00065632" w:rsidRPr="00D20870" w:rsidRDefault="00065632" w:rsidP="000D32A5">
      <w:pPr>
        <w:pStyle w:val="BodyText1"/>
      </w:pPr>
      <w:r>
        <w:t>Fund of Funds, or its manager, is responsible, in particular, for the following activities:</w:t>
      </w:r>
    </w:p>
    <w:p w:rsidR="00065632" w:rsidRPr="00D20870" w:rsidRDefault="00065632" w:rsidP="00065632">
      <w:pPr>
        <w:pStyle w:val="BodyText1"/>
        <w:numPr>
          <w:ilvl w:val="0"/>
          <w:numId w:val="29"/>
        </w:numPr>
        <w:spacing w:before="120"/>
        <w:ind w:left="567" w:hanging="283"/>
        <w:jc w:val="both"/>
      </w:pPr>
      <w:r>
        <w:t>Prepares the management and inspection system (submits to MA for approval) - in particular the following: Organisational Structure of FI, FF inclusion within the administrator, powers, functions and tasks of the bodies involved in the implementation of the FI, description of the FF accounting system, description of the FF information system, FF internal inspection system, the organisational structure of the Funds, project selection system, inspection system of the Funds and end users);</w:t>
      </w:r>
    </w:p>
    <w:p w:rsidR="00065632" w:rsidRPr="00D20870" w:rsidRDefault="00065632" w:rsidP="00065632">
      <w:pPr>
        <w:pStyle w:val="BodyText1"/>
        <w:numPr>
          <w:ilvl w:val="0"/>
          <w:numId w:val="29"/>
        </w:numPr>
        <w:spacing w:before="120"/>
        <w:ind w:left="567" w:hanging="283"/>
        <w:jc w:val="both"/>
      </w:pPr>
      <w:r>
        <w:lastRenderedPageBreak/>
        <w:t>Prepares rules for the operation of the Funds and the criteria by which the Fund is governed when selecting projects;</w:t>
      </w:r>
    </w:p>
    <w:p w:rsidR="00065632" w:rsidRPr="00D20870" w:rsidRDefault="00065632" w:rsidP="00065632">
      <w:pPr>
        <w:pStyle w:val="BodyText1"/>
        <w:numPr>
          <w:ilvl w:val="0"/>
          <w:numId w:val="29"/>
        </w:numPr>
        <w:spacing w:before="120"/>
        <w:ind w:left="567" w:hanging="283"/>
        <w:jc w:val="both"/>
      </w:pPr>
      <w:r>
        <w:t>Implements investment strategy agreed with the MA, by investing in the Fund/</w:t>
      </w:r>
      <w:proofErr w:type="spellStart"/>
      <w:r>
        <w:t>subfund</w:t>
      </w:r>
      <w:proofErr w:type="spellEnd"/>
      <w:r>
        <w:t>/FI;</w:t>
      </w:r>
    </w:p>
    <w:p w:rsidR="00065632" w:rsidRPr="00D20870" w:rsidRDefault="00065632" w:rsidP="00065632">
      <w:pPr>
        <w:pStyle w:val="BodyText1"/>
        <w:numPr>
          <w:ilvl w:val="0"/>
          <w:numId w:val="29"/>
        </w:numPr>
        <w:spacing w:before="120"/>
        <w:ind w:left="567" w:hanging="283"/>
        <w:jc w:val="both"/>
      </w:pPr>
      <w:r>
        <w:t xml:space="preserve">In conjunction with the MA ensures tendering process for the Fund manager; </w:t>
      </w:r>
    </w:p>
    <w:p w:rsidR="00065632" w:rsidRPr="00D20870" w:rsidRDefault="00065632" w:rsidP="00065632">
      <w:pPr>
        <w:pStyle w:val="BodyText1"/>
        <w:numPr>
          <w:ilvl w:val="0"/>
          <w:numId w:val="29"/>
        </w:numPr>
        <w:spacing w:before="120"/>
        <w:ind w:left="567" w:hanging="283"/>
        <w:jc w:val="both"/>
      </w:pPr>
      <w:r>
        <w:t>Provides financial flows between MA and FI;</w:t>
      </w:r>
    </w:p>
    <w:p w:rsidR="00065632" w:rsidRPr="00D20870" w:rsidRDefault="00065632" w:rsidP="00065632">
      <w:pPr>
        <w:pStyle w:val="BodyText1"/>
        <w:numPr>
          <w:ilvl w:val="0"/>
          <w:numId w:val="29"/>
        </w:numPr>
        <w:spacing w:before="120"/>
        <w:ind w:left="567" w:hanging="283"/>
        <w:jc w:val="both"/>
      </w:pPr>
      <w:r>
        <w:t xml:space="preserve">Examines and approves the investment strategy of the funds and </w:t>
      </w:r>
      <w:proofErr w:type="spellStart"/>
      <w:r>
        <w:t>subfunds</w:t>
      </w:r>
      <w:proofErr w:type="spellEnd"/>
      <w:r>
        <w:t xml:space="preserve"> business plans of financial intermediaries;</w:t>
      </w:r>
    </w:p>
    <w:p w:rsidR="00065632" w:rsidRPr="00D20870" w:rsidRDefault="00065632" w:rsidP="00065632">
      <w:pPr>
        <w:pStyle w:val="BodyText1"/>
        <w:numPr>
          <w:ilvl w:val="0"/>
          <w:numId w:val="29"/>
        </w:numPr>
        <w:spacing w:before="120"/>
        <w:ind w:left="567" w:hanging="283"/>
        <w:jc w:val="both"/>
      </w:pPr>
      <w:r>
        <w:t>Continuously monitors the implementation of the investment (business) plan, informing the managing authority about the process;</w:t>
      </w:r>
    </w:p>
    <w:p w:rsidR="00065632" w:rsidRPr="00D20870" w:rsidRDefault="00065632" w:rsidP="00065632">
      <w:pPr>
        <w:pStyle w:val="BodyText1"/>
        <w:numPr>
          <w:ilvl w:val="0"/>
          <w:numId w:val="29"/>
        </w:numPr>
        <w:spacing w:before="120"/>
        <w:ind w:left="567" w:hanging="283"/>
        <w:jc w:val="both"/>
      </w:pPr>
      <w:r>
        <w:t>Evaluates success of the implemented projects;</w:t>
      </w:r>
    </w:p>
    <w:p w:rsidR="00065632" w:rsidRPr="00D20870" w:rsidRDefault="00065632" w:rsidP="00065632">
      <w:pPr>
        <w:pStyle w:val="BodyText1"/>
        <w:numPr>
          <w:ilvl w:val="0"/>
          <w:numId w:val="29"/>
        </w:numPr>
        <w:spacing w:before="120"/>
        <w:ind w:left="567" w:hanging="283"/>
        <w:jc w:val="both"/>
      </w:pPr>
      <w:r>
        <w:t>Fulfils the obligations of the beneficiary (submission of monitoring reports etc.)</w:t>
      </w:r>
    </w:p>
    <w:p w:rsidR="00065632" w:rsidRPr="00D20870" w:rsidRDefault="00065632" w:rsidP="00065632">
      <w:pPr>
        <w:pStyle w:val="BodyText1"/>
        <w:numPr>
          <w:ilvl w:val="0"/>
          <w:numId w:val="29"/>
        </w:numPr>
        <w:spacing w:before="120"/>
        <w:ind w:left="567" w:hanging="283"/>
        <w:jc w:val="both"/>
      </w:pPr>
      <w:r>
        <w:t>Is responsible for setting up management and inspection systems and for keeping separate accounting records;</w:t>
      </w:r>
    </w:p>
    <w:p w:rsidR="00065632" w:rsidRPr="00D20870" w:rsidRDefault="00065632" w:rsidP="00065632">
      <w:pPr>
        <w:pStyle w:val="BodyText1"/>
        <w:numPr>
          <w:ilvl w:val="0"/>
          <w:numId w:val="29"/>
        </w:numPr>
        <w:spacing w:before="120"/>
        <w:ind w:left="567" w:hanging="283"/>
        <w:jc w:val="both"/>
      </w:pPr>
      <w:r>
        <w:t>Performs inspection of funds operation;</w:t>
      </w:r>
    </w:p>
    <w:p w:rsidR="00065632" w:rsidRPr="00D20870" w:rsidRDefault="00065632" w:rsidP="00065632">
      <w:pPr>
        <w:pStyle w:val="BodyText1"/>
        <w:numPr>
          <w:ilvl w:val="0"/>
          <w:numId w:val="29"/>
        </w:numPr>
        <w:spacing w:before="120"/>
        <w:ind w:left="567" w:hanging="283"/>
        <w:jc w:val="both"/>
      </w:pPr>
      <w:r>
        <w:t>It is responsible for the administration of the funds provided;</w:t>
      </w:r>
    </w:p>
    <w:p w:rsidR="00065632" w:rsidRPr="00D20870" w:rsidRDefault="00065632" w:rsidP="00065632">
      <w:pPr>
        <w:pStyle w:val="BodyText1"/>
        <w:numPr>
          <w:ilvl w:val="0"/>
          <w:numId w:val="29"/>
        </w:numPr>
        <w:spacing w:before="120"/>
        <w:ind w:left="567" w:hanging="283"/>
      </w:pPr>
      <w:r>
        <w:t>Organises contractual relationships with project implementation teams;</w:t>
      </w:r>
    </w:p>
    <w:p w:rsidR="00065632" w:rsidRPr="00D20870" w:rsidRDefault="00065632" w:rsidP="00065632">
      <w:pPr>
        <w:pStyle w:val="BodyText1"/>
        <w:numPr>
          <w:ilvl w:val="0"/>
          <w:numId w:val="29"/>
        </w:numPr>
        <w:spacing w:before="120"/>
        <w:ind w:left="567" w:hanging="283"/>
      </w:pPr>
      <w:r>
        <w:t>Bears responsibility for the compliance with the conditions of project implementation;</w:t>
      </w:r>
    </w:p>
    <w:p w:rsidR="00065632" w:rsidRPr="00D20870" w:rsidRDefault="00065632" w:rsidP="00065632">
      <w:pPr>
        <w:pStyle w:val="BodyText1"/>
        <w:numPr>
          <w:ilvl w:val="0"/>
          <w:numId w:val="29"/>
        </w:numPr>
        <w:spacing w:before="120"/>
        <w:ind w:left="567" w:hanging="283"/>
      </w:pPr>
      <w:r>
        <w:t>Bears responsibility for returning the invested funds back to the level of FF;</w:t>
      </w:r>
    </w:p>
    <w:p w:rsidR="00065632" w:rsidRPr="00D20870" w:rsidRDefault="00065632" w:rsidP="00065632">
      <w:pPr>
        <w:pStyle w:val="BodyText1"/>
        <w:numPr>
          <w:ilvl w:val="0"/>
          <w:numId w:val="29"/>
        </w:numPr>
        <w:spacing w:before="120"/>
        <w:ind w:left="567" w:hanging="283"/>
      </w:pPr>
      <w:r>
        <w:t>Bears responsibility for the recovery of outstanding loans and informs the managing authority about their amounts through FF;</w:t>
      </w:r>
    </w:p>
    <w:p w:rsidR="00065632" w:rsidRPr="00D20870" w:rsidRDefault="00065632" w:rsidP="00065632">
      <w:pPr>
        <w:pStyle w:val="BodyText1"/>
        <w:numPr>
          <w:ilvl w:val="0"/>
          <w:numId w:val="29"/>
        </w:numPr>
        <w:spacing w:before="120"/>
        <w:ind w:left="567" w:hanging="283"/>
      </w:pPr>
      <w:r>
        <w:t>Prepares periodic reports on the status of FI implementation for FF;</w:t>
      </w:r>
    </w:p>
    <w:p w:rsidR="00065632" w:rsidRPr="00D20870" w:rsidRDefault="00065632" w:rsidP="00065632">
      <w:pPr>
        <w:pStyle w:val="BodyText1"/>
        <w:numPr>
          <w:ilvl w:val="0"/>
          <w:numId w:val="29"/>
        </w:numPr>
        <w:spacing w:before="120"/>
        <w:ind w:left="567" w:hanging="283"/>
      </w:pPr>
      <w:r>
        <w:t>Assists the MA in processes of reporting and notifications of state aids;</w:t>
      </w:r>
    </w:p>
    <w:p w:rsidR="00065632" w:rsidRPr="00D20870" w:rsidRDefault="00065632" w:rsidP="00065632">
      <w:pPr>
        <w:pStyle w:val="BodyText1"/>
        <w:numPr>
          <w:ilvl w:val="0"/>
          <w:numId w:val="29"/>
        </w:numPr>
        <w:spacing w:before="120"/>
        <w:ind w:left="567" w:hanging="283"/>
      </w:pPr>
      <w:r>
        <w:t>Archives all documents related to the implementation of FI;</w:t>
      </w:r>
    </w:p>
    <w:p w:rsidR="00065632" w:rsidRPr="00D20870" w:rsidRDefault="00065632" w:rsidP="00065632">
      <w:pPr>
        <w:pStyle w:val="BodyText1"/>
        <w:numPr>
          <w:ilvl w:val="0"/>
          <w:numId w:val="29"/>
        </w:numPr>
        <w:spacing w:before="120"/>
        <w:ind w:left="567" w:hanging="283"/>
      </w:pPr>
      <w:r>
        <w:t>Provides information and ensures promotion;</w:t>
      </w:r>
    </w:p>
    <w:p w:rsidR="00065632" w:rsidRPr="00D20870" w:rsidRDefault="00065632" w:rsidP="00065632">
      <w:pPr>
        <w:pStyle w:val="BodyText1"/>
        <w:numPr>
          <w:ilvl w:val="0"/>
          <w:numId w:val="29"/>
        </w:numPr>
        <w:spacing w:before="120"/>
        <w:ind w:left="567" w:hanging="283"/>
      </w:pPr>
      <w:r>
        <w:t>Submits to MA a report on the implementation of FI/Fund of Funds;</w:t>
      </w:r>
    </w:p>
    <w:p w:rsidR="00065632" w:rsidRDefault="00065632" w:rsidP="00065632">
      <w:pPr>
        <w:pStyle w:val="BodyText1"/>
        <w:numPr>
          <w:ilvl w:val="0"/>
          <w:numId w:val="29"/>
        </w:numPr>
        <w:spacing w:before="120"/>
        <w:ind w:left="567" w:hanging="283"/>
      </w:pPr>
      <w:r>
        <w:t>Prepares the application for ex-ante payment for the approval of a summary application;</w:t>
      </w:r>
    </w:p>
    <w:p w:rsidR="00065632" w:rsidRPr="00D20870" w:rsidRDefault="00065632" w:rsidP="00065632">
      <w:pPr>
        <w:pStyle w:val="BodyText1"/>
        <w:numPr>
          <w:ilvl w:val="0"/>
          <w:numId w:val="29"/>
        </w:numPr>
        <w:spacing w:before="120"/>
        <w:ind w:left="567" w:hanging="283"/>
      </w:pPr>
      <w:r>
        <w:t>Concludes financing agreements and grant decisions with Funds/FI.</w:t>
      </w:r>
    </w:p>
    <w:p w:rsidR="00065632" w:rsidRPr="00D20870" w:rsidRDefault="00065632" w:rsidP="000D32A5">
      <w:pPr>
        <w:pStyle w:val="BodyText1"/>
        <w:ind w:left="74"/>
      </w:pPr>
    </w:p>
    <w:p w:rsidR="00065632" w:rsidRDefault="00065632" w:rsidP="000D32A5">
      <w:pPr>
        <w:pStyle w:val="Deloittebodytext"/>
        <w:jc w:val="both"/>
      </w:pPr>
      <w:r>
        <w:t xml:space="preserve">The above roles are partly the same also at the level of the financial instrument. If no Fund of Funds is established, the fund manager will have to take over also these roles at the level of the financial instrument. Therefore, it is impossible to strictly separate the roles inherent only to the manager of Fund of Funds or, on the contrary, to the manager of the financial instrument, and the roles listed below may be repeated. </w:t>
      </w:r>
    </w:p>
    <w:p w:rsidR="00065632" w:rsidRDefault="00065632" w:rsidP="000D32A5">
      <w:pPr>
        <w:pStyle w:val="Deloittebodytext"/>
        <w:jc w:val="both"/>
      </w:pPr>
    </w:p>
    <w:p w:rsidR="00065632" w:rsidRDefault="00065632" w:rsidP="000D32A5">
      <w:pPr>
        <w:pStyle w:val="Highlight2"/>
      </w:pPr>
      <w:r>
        <w:t>Financial instrument level (roles of the fund manager and intermediary/intermediaries)</w:t>
      </w:r>
    </w:p>
    <w:p w:rsidR="00065632" w:rsidRDefault="00065632" w:rsidP="00065632">
      <w:pPr>
        <w:pStyle w:val="BodyText1"/>
        <w:numPr>
          <w:ilvl w:val="0"/>
          <w:numId w:val="29"/>
        </w:numPr>
        <w:spacing w:before="120"/>
        <w:ind w:left="567" w:hanging="283"/>
        <w:jc w:val="both"/>
      </w:pPr>
      <w:r>
        <w:t xml:space="preserve">Implements the investment strategy or policy including implementing provisions defined in the financing agreement; </w:t>
      </w:r>
    </w:p>
    <w:p w:rsidR="00065632" w:rsidRDefault="00065632" w:rsidP="00065632">
      <w:pPr>
        <w:pStyle w:val="BodyText1"/>
        <w:numPr>
          <w:ilvl w:val="0"/>
          <w:numId w:val="29"/>
        </w:numPr>
        <w:spacing w:before="120"/>
        <w:ind w:left="567" w:hanging="283"/>
        <w:jc w:val="both"/>
      </w:pPr>
      <w:r>
        <w:t>Assesses the eligibility of projects (submitted by the applicants) in terms of eligibility of provided IROP aid;</w:t>
      </w:r>
    </w:p>
    <w:p w:rsidR="00065632" w:rsidRPr="00D20870" w:rsidRDefault="00065632" w:rsidP="00065632">
      <w:pPr>
        <w:pStyle w:val="BodyText1"/>
        <w:numPr>
          <w:ilvl w:val="0"/>
          <w:numId w:val="29"/>
        </w:numPr>
        <w:spacing w:before="120"/>
        <w:ind w:left="567" w:hanging="283"/>
      </w:pPr>
      <w:r>
        <w:t xml:space="preserve">Conducts economic assessment of submitted projects (assesses the applicants' creditworthiness, meaningfulness of projects, etc.). If there is an intermediary, it may be entrusted with the performance of this activity; </w:t>
      </w:r>
    </w:p>
    <w:p w:rsidR="00065632" w:rsidRDefault="00065632" w:rsidP="00065632">
      <w:pPr>
        <w:pStyle w:val="BodyText1"/>
        <w:numPr>
          <w:ilvl w:val="0"/>
          <w:numId w:val="29"/>
        </w:numPr>
        <w:spacing w:before="120"/>
        <w:ind w:left="567" w:hanging="283"/>
        <w:jc w:val="both"/>
      </w:pPr>
      <w:r>
        <w:t>Is responsible for setting up management and inspection systems and for keeping separate accounting records;</w:t>
      </w:r>
    </w:p>
    <w:p w:rsidR="00065632" w:rsidRPr="00D20870" w:rsidRDefault="00065632" w:rsidP="00065632">
      <w:pPr>
        <w:pStyle w:val="BodyText1"/>
        <w:numPr>
          <w:ilvl w:val="0"/>
          <w:numId w:val="29"/>
        </w:numPr>
        <w:spacing w:before="120"/>
        <w:ind w:left="567" w:hanging="283"/>
        <w:jc w:val="both"/>
      </w:pPr>
      <w:r>
        <w:t>Evaluates success of the implemented projects;</w:t>
      </w:r>
    </w:p>
    <w:p w:rsidR="00065632" w:rsidRPr="00D20870" w:rsidRDefault="00065632" w:rsidP="00065632">
      <w:pPr>
        <w:pStyle w:val="BodyText1"/>
        <w:numPr>
          <w:ilvl w:val="0"/>
          <w:numId w:val="29"/>
        </w:numPr>
        <w:spacing w:before="120"/>
        <w:ind w:left="567" w:hanging="283"/>
      </w:pPr>
      <w:r>
        <w:lastRenderedPageBreak/>
        <w:t>Manages the funds allocated in favour of FI;</w:t>
      </w:r>
    </w:p>
    <w:p w:rsidR="00065632" w:rsidRPr="00D20870" w:rsidRDefault="00065632" w:rsidP="00065632">
      <w:pPr>
        <w:pStyle w:val="BodyText1"/>
        <w:numPr>
          <w:ilvl w:val="0"/>
          <w:numId w:val="29"/>
        </w:numPr>
        <w:spacing w:before="120"/>
        <w:ind w:left="567" w:hanging="283"/>
      </w:pPr>
      <w:r>
        <w:t xml:space="preserve">Ensures contractual relationships with projects implementers (an intermediary may be entrusted if there is one); </w:t>
      </w:r>
    </w:p>
    <w:p w:rsidR="00065632" w:rsidRPr="00D20870" w:rsidRDefault="00065632" w:rsidP="00065632">
      <w:pPr>
        <w:pStyle w:val="BodyText1"/>
        <w:numPr>
          <w:ilvl w:val="0"/>
          <w:numId w:val="29"/>
        </w:numPr>
        <w:spacing w:before="120"/>
        <w:ind w:left="567" w:hanging="283"/>
      </w:pPr>
      <w:r>
        <w:t>Bears responsibility for the compliance with the conditions of project implementation;</w:t>
      </w:r>
    </w:p>
    <w:p w:rsidR="00065632" w:rsidRPr="00D20870" w:rsidRDefault="00065632" w:rsidP="00065632">
      <w:pPr>
        <w:pStyle w:val="BodyText1"/>
        <w:numPr>
          <w:ilvl w:val="0"/>
          <w:numId w:val="29"/>
        </w:numPr>
        <w:spacing w:before="120"/>
        <w:ind w:left="567" w:hanging="283"/>
      </w:pPr>
      <w:r>
        <w:t>Bears responsibility for returning the invested funds back to the level of FF;</w:t>
      </w:r>
    </w:p>
    <w:p w:rsidR="00065632" w:rsidRDefault="00065632" w:rsidP="00065632">
      <w:pPr>
        <w:pStyle w:val="BodyText1"/>
        <w:numPr>
          <w:ilvl w:val="0"/>
          <w:numId w:val="29"/>
        </w:numPr>
        <w:spacing w:before="120"/>
        <w:ind w:left="567" w:hanging="283"/>
      </w:pPr>
      <w:r>
        <w:t xml:space="preserve">Bears responsibility for the recovery of outstanding loans (an intermediary may be entrusted if there is one); </w:t>
      </w:r>
    </w:p>
    <w:p w:rsidR="00065632" w:rsidRPr="00D20870" w:rsidRDefault="00065632" w:rsidP="00065632">
      <w:pPr>
        <w:pStyle w:val="BodyText1"/>
        <w:numPr>
          <w:ilvl w:val="0"/>
          <w:numId w:val="29"/>
        </w:numPr>
        <w:spacing w:before="120"/>
        <w:ind w:left="567" w:hanging="283"/>
      </w:pPr>
      <w:r>
        <w:t>Prepares periodic reports on the status of FI implementation for FF;</w:t>
      </w:r>
    </w:p>
    <w:p w:rsidR="00065632" w:rsidRDefault="00065632" w:rsidP="00065632">
      <w:pPr>
        <w:pStyle w:val="BodyText1"/>
        <w:numPr>
          <w:ilvl w:val="0"/>
          <w:numId w:val="29"/>
        </w:numPr>
        <w:spacing w:before="120"/>
        <w:ind w:left="567" w:hanging="283"/>
      </w:pPr>
      <w:r>
        <w:t>Assists the MA in processes of reporting and notifications of state aids;</w:t>
      </w:r>
    </w:p>
    <w:p w:rsidR="00065632" w:rsidRPr="00D20870" w:rsidRDefault="00065632" w:rsidP="00065632">
      <w:pPr>
        <w:pStyle w:val="BodyText1"/>
        <w:numPr>
          <w:ilvl w:val="0"/>
          <w:numId w:val="29"/>
        </w:numPr>
        <w:spacing w:before="120"/>
        <w:ind w:left="567" w:hanging="283"/>
      </w:pPr>
      <w:r>
        <w:t>Ensures fulfilment of audit requirements including requirements for documentation;</w:t>
      </w:r>
    </w:p>
    <w:p w:rsidR="00065632" w:rsidRPr="00D20870" w:rsidRDefault="00065632" w:rsidP="00065632">
      <w:pPr>
        <w:pStyle w:val="BodyText1"/>
        <w:numPr>
          <w:ilvl w:val="0"/>
          <w:numId w:val="29"/>
        </w:numPr>
        <w:spacing w:before="120"/>
        <w:ind w:left="567" w:hanging="283"/>
      </w:pPr>
      <w:r>
        <w:t>Archives all documents related to the implementation of FI;</w:t>
      </w:r>
    </w:p>
    <w:p w:rsidR="00065632" w:rsidRPr="00D20870" w:rsidRDefault="00065632" w:rsidP="00065632">
      <w:pPr>
        <w:pStyle w:val="BodyText1"/>
        <w:numPr>
          <w:ilvl w:val="0"/>
          <w:numId w:val="29"/>
        </w:numPr>
        <w:spacing w:before="120"/>
        <w:ind w:left="567" w:hanging="283"/>
      </w:pPr>
      <w:r>
        <w:t>Provides information and ensures promotion of the FI;</w:t>
      </w:r>
    </w:p>
    <w:p w:rsidR="00065632" w:rsidRPr="00D20870" w:rsidRDefault="00065632" w:rsidP="00065632">
      <w:pPr>
        <w:pStyle w:val="BodyText1"/>
        <w:numPr>
          <w:ilvl w:val="0"/>
          <w:numId w:val="29"/>
        </w:numPr>
        <w:spacing w:before="120"/>
        <w:ind w:left="567" w:hanging="283"/>
      </w:pPr>
      <w:r>
        <w:t>Submits to MA a report on the implementation of FI;</w:t>
      </w:r>
    </w:p>
    <w:p w:rsidR="00065632" w:rsidRDefault="00065632" w:rsidP="00065632">
      <w:pPr>
        <w:pStyle w:val="BodyText1"/>
        <w:numPr>
          <w:ilvl w:val="0"/>
          <w:numId w:val="29"/>
        </w:numPr>
        <w:spacing w:before="120"/>
        <w:ind w:left="567" w:hanging="283"/>
      </w:pPr>
      <w:r>
        <w:t>Prepares the application for ex-ante payment for the approval of a summary application;</w:t>
      </w:r>
    </w:p>
    <w:p w:rsidR="00065632" w:rsidRPr="000577BB" w:rsidRDefault="00065632" w:rsidP="000D32A5">
      <w:r>
        <w:t xml:space="preserve"> </w:t>
      </w:r>
    </w:p>
    <w:p w:rsidR="00065632" w:rsidRPr="00537614" w:rsidRDefault="00065632" w:rsidP="004B026F">
      <w:pPr>
        <w:pStyle w:val="Nadpis4"/>
      </w:pPr>
      <w:r>
        <w:t xml:space="preserve">Distribution of implementation risks within the proposed structure </w:t>
      </w:r>
    </w:p>
    <w:p w:rsidR="00065632" w:rsidRPr="00537614" w:rsidRDefault="00065632" w:rsidP="00D70481">
      <w:r>
        <w:t xml:space="preserve">Implementation risks may be </w:t>
      </w:r>
      <w:proofErr w:type="gramStart"/>
      <w:r>
        <w:t>divided,</w:t>
      </w:r>
      <w:proofErr w:type="gramEnd"/>
      <w:r>
        <w:t xml:space="preserve"> based on available methodologies, into the three following categories: </w:t>
      </w:r>
    </w:p>
    <w:p w:rsidR="00065632" w:rsidRPr="00537614" w:rsidRDefault="00065632" w:rsidP="00065632">
      <w:pPr>
        <w:pStyle w:val="Odstavecseseznamem"/>
        <w:numPr>
          <w:ilvl w:val="0"/>
          <w:numId w:val="65"/>
        </w:numPr>
      </w:pPr>
      <w:r>
        <w:t>Risks associated with implementation set-up (mainly legislative barriers, etc.)</w:t>
      </w:r>
    </w:p>
    <w:p w:rsidR="00065632" w:rsidRPr="00537614" w:rsidRDefault="00065632" w:rsidP="00065632">
      <w:pPr>
        <w:pStyle w:val="Odstavecseseznamem"/>
        <w:numPr>
          <w:ilvl w:val="0"/>
          <w:numId w:val="65"/>
        </w:numPr>
      </w:pPr>
      <w:r>
        <w:t>Investment risks (set-up of the investment strategy and division of risks associated with implementation of this strategy by entities involved in implementation)</w:t>
      </w:r>
    </w:p>
    <w:p w:rsidR="00065632" w:rsidRPr="00537614" w:rsidRDefault="00065632" w:rsidP="00065632">
      <w:pPr>
        <w:pStyle w:val="Odstavecseseznamem"/>
        <w:numPr>
          <w:ilvl w:val="0"/>
          <w:numId w:val="65"/>
        </w:numPr>
      </w:pPr>
      <w:r>
        <w:t xml:space="preserve">Risks associated with default on the side of final beneficiaries (necessity to deal with recovery of provided aid) </w:t>
      </w:r>
    </w:p>
    <w:p w:rsidR="00065632" w:rsidRPr="00537614" w:rsidRDefault="00065632" w:rsidP="005C7438">
      <w:pPr>
        <w:pStyle w:val="CaptionIntroductionparagraph"/>
      </w:pPr>
      <w:r>
        <w:t xml:space="preserve">Investment risks </w:t>
      </w:r>
    </w:p>
    <w:p w:rsidR="00065632" w:rsidRPr="00537614" w:rsidRDefault="00065632" w:rsidP="00D70481">
      <w:r>
        <w:t xml:space="preserve">Risks belonging to the first group are described in detail in chapter </w:t>
      </w:r>
      <w:r w:rsidRPr="00537614">
        <w:fldChar w:fldCharType="begin"/>
      </w:r>
      <w:r w:rsidRPr="00537614">
        <w:instrText xml:space="preserve"> REF _Ref416429583 \r \h  \* MERGEFORMAT </w:instrText>
      </w:r>
      <w:r w:rsidRPr="00537614">
        <w:fldChar w:fldCharType="separate"/>
      </w:r>
      <w:r w:rsidRPr="00537614">
        <w:t>5.1.6.5</w:t>
      </w:r>
      <w:r w:rsidRPr="00537614">
        <w:fldChar w:fldCharType="end"/>
      </w:r>
      <w:r>
        <w:t xml:space="preserve"> – Risks and barriers to implementation. In the following text, the Contractor therefore describes two categories of risks. In terms of set-up of investment risks, the Contractor deals with the risks of implementation strategy set-up by providing that the MA will be responsible for the approval of the investment strategy (the fund manager may also participate in the preparation). This investment strategy will be part of the financing agreement (or another basic contractual document concluded between the MA and the manager). The manager and other implementation entities (intermediaries) will have to comply with this investment strategy and the MA will regularly check its fulfilment. Moreover, the Contractor suggests defining the manager's remuneration as performance oriented, i.e. the MA will not only evaluate that the manager administers the allocated funds, but the evaluation will also include performance and qualitative elements. The manager will therefore be motivated not only to "lend out" but to "lend out and manage in high quality and fully in compliance with the strategy".  The MA will therefore not bear the risk of poor investment decision making (and any non-compliance with the defined investment strategy). </w:t>
      </w:r>
    </w:p>
    <w:p w:rsidR="00065632" w:rsidRPr="00537614" w:rsidRDefault="00065632" w:rsidP="00D70481">
      <w:r>
        <w:t>The proposed implementation structure envisages involvement of intermediary bodies – probably banks. They will also have interest in minimizing the associated risks.  A contractual relationship will be entered into between the fund manager and the intermediary bodies. This contractual relationship will provide for areas describing sharing of risks.  The Contractor proposes a parity distribution of the share (input of resources 50 ESIF</w:t>
      </w:r>
      <w:proofErr w:type="gramStart"/>
      <w:r>
        <w:t>:50</w:t>
      </w:r>
      <w:proofErr w:type="gramEnd"/>
      <w:r>
        <w:t xml:space="preserve"> resources of the intermediary/co-financing entities), which also means the same degree of liability for risks of providing a bad loan. However, since the financial instrument is to allow also financing of projects which could otherwise not be financed and a certain level of risk can be expected, the Contractor suggests using the first piece loss mechanism of 10% in relation to the co-financing resources. The MA is not </w:t>
      </w:r>
      <w:proofErr w:type="gramStart"/>
      <w:r>
        <w:t>threaten</w:t>
      </w:r>
      <w:proofErr w:type="gramEnd"/>
      <w:r>
        <w:t xml:space="preserve"> by the risk arising from application of this mechanism, because this type of coverage of losses is expressly enshrined in the EU legislation and methodologies. At this point it should be pointed out that based on previous experience (JESSICA, PANEL) the default rate is almost zero and it is possible that the first piece loss mechanism will not be used at all. </w:t>
      </w:r>
    </w:p>
    <w:p w:rsidR="00065632" w:rsidRPr="00537614" w:rsidRDefault="00065632" w:rsidP="00D70481">
      <w:r>
        <w:lastRenderedPageBreak/>
        <w:t xml:space="preserve">The Contractor proposes keeping of the standard methods of assessment of risks of final beneficiaries at the level of intermediaries as well as assessment of eligibility (compliance with IROP) of the submitted projects at the level of the fund manager. The manager will inform the MA about the results at least quarterly. This will address the risk of possible deviation from the defined investment strategy at the factual and financial levels. Should the fund manager fail to comply with the MA's instructions, the MA may apply sanctions in the form of non-payment of the performance-based part of the fee. </w:t>
      </w:r>
    </w:p>
    <w:p w:rsidR="00065632" w:rsidRPr="00537614" w:rsidRDefault="00065632" w:rsidP="005C7438">
      <w:pPr>
        <w:pStyle w:val="CaptionIntroductionparagraph"/>
      </w:pPr>
      <w:r>
        <w:t xml:space="preserve">Risks associated with default on the side of final beneficiaries </w:t>
      </w:r>
    </w:p>
    <w:p w:rsidR="00065632" w:rsidRPr="00537614" w:rsidRDefault="00065632" w:rsidP="00D70481">
      <w:r>
        <w:t xml:space="preserve">In this context, the Contractor proposes addressing the risk of final beneficiaries' default by clearly defining, in contracts with the intermediary bodies, the procedure of claims recovery. Assuming an equivalent access to financing (i.e. also division of instalments 50:50, of course reflecting the different interest rates on ESIF funds and funds of the co-financing entities), the intermediary body will be authorized to recover outstanding loans in accordance with its standard practices. After exhaustion of the intermediary body's options, recovery of claims will be taken over by the fund manager. The first piece loss mechanism could be applied to the respective amount only in case of failure and subsequent designation of a claim as irrecoverable.  The fund manager would have to communicate this decision to the MA and request its final approval. The Contractor assumes that this would happen in regular time periods, not on an individual basis. </w:t>
      </w:r>
    </w:p>
    <w:p w:rsidR="00065632" w:rsidRPr="00537614" w:rsidRDefault="00065632" w:rsidP="00D70481">
      <w:r>
        <w:t xml:space="preserve">An equivalent procedure to that in the case of subsidy-based aid would be set up in case of misuse of aid by final beneficiaries. In this case, there are no other risks in relation to the financial instrument; conversely, there is an assumption of transparent and purposeful management of funds – the reason is the need to return these funds. </w:t>
      </w:r>
    </w:p>
    <w:p w:rsidR="00065632" w:rsidRPr="00537614" w:rsidRDefault="00065632" w:rsidP="004B026F">
      <w:pPr>
        <w:pStyle w:val="Nadpis4"/>
      </w:pPr>
      <w:r>
        <w:t>Financial flows</w:t>
      </w:r>
      <w:bookmarkEnd w:id="159"/>
    </w:p>
    <w:p w:rsidR="00065632" w:rsidRDefault="00065632" w:rsidP="00F36672">
      <w:pPr>
        <w:pStyle w:val="Deloittebodytext"/>
        <w:spacing w:after="120"/>
        <w:jc w:val="both"/>
      </w:pPr>
      <w:r>
        <w:t xml:space="preserve">Financial flows within the financial instruments are regulated at the national level by the methodical instruction for financial flows of programmes co-financed from the European Structural Funds, the Cohesion Fund and the European Maritime and Fisheries Fund for the period 2014–2020 and methodological recommendations for the implementation of financial instruments in the 2014–2020 programming period. </w:t>
      </w:r>
    </w:p>
    <w:p w:rsidR="00065632" w:rsidRDefault="00065632" w:rsidP="00F36672">
      <w:pPr>
        <w:pStyle w:val="Deloittebodytext"/>
        <w:spacing w:after="120"/>
        <w:jc w:val="both"/>
      </w:pPr>
      <w:r>
        <w:t xml:space="preserve">Based on a financing agreement, the MA will transfer IROP </w:t>
      </w:r>
      <w:proofErr w:type="gramStart"/>
      <w:r>
        <w:t>funds  earmarked</w:t>
      </w:r>
      <w:proofErr w:type="gramEnd"/>
      <w:r>
        <w:t xml:space="preserve"> for financial instruments to the manager of the respective financial instrument. The financial instrument manager then provides these funds directly to eligible applicants (together with funds of involved financial intermediaries), or transfers the funds to financial intermediaries, who are a contact point for the final beneficiaries and they are a source of financing based on the respective agreement.</w:t>
      </w:r>
    </w:p>
    <w:p w:rsidR="00065632" w:rsidRDefault="00065632" w:rsidP="00F36672">
      <w:pPr>
        <w:pStyle w:val="Deloittebodytext"/>
        <w:spacing w:after="120"/>
        <w:jc w:val="both"/>
      </w:pPr>
      <w:r>
        <w:t>Depending on the particular type of financial instrument, FI manager/financial intermediary provides the final beneficiaries with other resources of project funding from the funds of financial instruments/Fund of Funds/financial intermediary or another co-investor (private source). The resources are provided to final beneficiaries under the respective legal act.</w:t>
      </w:r>
    </w:p>
    <w:p w:rsidR="00065632" w:rsidRDefault="00065632" w:rsidP="00F36672">
      <w:pPr>
        <w:pStyle w:val="Deloittebodytext"/>
        <w:spacing w:after="120"/>
        <w:jc w:val="both"/>
      </w:pPr>
      <w:r>
        <w:t>Payments to the accounts of the managers of financial instruments, or Funds of Funds are made on the basis of ex-ante payments carried out by the MA in accordance with the financing agreement.</w:t>
      </w:r>
      <w:r>
        <w:rPr>
          <w:rStyle w:val="Znakapoznpodarou"/>
        </w:rPr>
        <w:footnoteReference w:id="9"/>
      </w:r>
      <w:r>
        <w:t xml:space="preserve"> The form of payment to the final beneficiary is laid down in a contract between the beneficiary, or financial intermediary, and the final beneficiary.</w:t>
      </w:r>
    </w:p>
    <w:p w:rsidR="00065632" w:rsidRDefault="00065632" w:rsidP="00F36672">
      <w:pPr>
        <w:pStyle w:val="Deloittebodytext"/>
        <w:spacing w:after="120"/>
        <w:jc w:val="both"/>
      </w:pPr>
      <w:r>
        <w:t xml:space="preserve">When combining multiple sources of funding in one operation, except for the combination of various forms of financial instruments, it is necessary that for each type of aid a special request for payment is submitted. However, this differentiation </w:t>
      </w:r>
      <w:r>
        <w:rPr>
          <w:b/>
          <w:bCs/>
        </w:rPr>
        <w:t>need not take place at the level of the final beneficiary any more</w:t>
      </w:r>
      <w:r>
        <w:t>, i.e. MA, or the beneficiary has an obligation to ensure that for each type of aid a separate request for payment is made. Each request for payment further distinguishes the total amount of payment made to the financial instrument and also the total amount paid for the eligible expenditure.</w:t>
      </w:r>
    </w:p>
    <w:p w:rsidR="00065632" w:rsidRDefault="00065632" w:rsidP="00F36672">
      <w:pPr>
        <w:pStyle w:val="Deloittebodytext"/>
        <w:spacing w:after="120"/>
        <w:jc w:val="both"/>
      </w:pPr>
      <w:r>
        <w:lastRenderedPageBreak/>
        <w:t>The beneficiary, or financial intermediary, in the contract with the final beneficiary will ensure the enforceability of funds, which, after recovered, they will subsequently use in accordance with the financing agreement. For this purpose, the beneficiary is entitled to negotiate a contract with the final beneficiary financial hedging instruments (lien, third party guarantee, etc.).</w:t>
      </w:r>
    </w:p>
    <w:p w:rsidR="00065632" w:rsidRDefault="00065632" w:rsidP="00F36672">
      <w:pPr>
        <w:pStyle w:val="Deloittebodytext"/>
        <w:jc w:val="both"/>
      </w:pPr>
      <w:r>
        <w:t xml:space="preserve">Involvement of the private or bank financing is possible at all levels of the funding scheme, from the Fund of Funds to the final beneficiary of the aid, with intermediate stages in the form of individual funds or </w:t>
      </w:r>
      <w:proofErr w:type="spellStart"/>
      <w:r>
        <w:t>subfunds</w:t>
      </w:r>
      <w:proofErr w:type="spellEnd"/>
      <w:r>
        <w:t xml:space="preserve">. The interest in investing in higher levels of the scheme will depend on the economic performance of the entire structure. </w:t>
      </w:r>
    </w:p>
    <w:p w:rsidR="00065632" w:rsidRDefault="00065632" w:rsidP="004B026F">
      <w:pPr>
        <w:pStyle w:val="Nadpis4"/>
      </w:pPr>
      <w:bookmarkStart w:id="160" w:name="_Toc413183928"/>
      <w:r>
        <w:t>Action plan and</w:t>
      </w:r>
      <w:bookmarkEnd w:id="160"/>
      <w:r>
        <w:t xml:space="preserve"> timetable </w:t>
      </w:r>
    </w:p>
    <w:p w:rsidR="00065632" w:rsidRPr="0002549A" w:rsidRDefault="00065632" w:rsidP="00F36672">
      <w:r>
        <w:t>The presented ex-ante assessment identifies the key aspects of the possibilities of using financial instruments in the upcoming IROP 2014-</w:t>
      </w:r>
      <w:proofErr w:type="gramStart"/>
      <w:r>
        <w:t>2020,</w:t>
      </w:r>
      <w:proofErr w:type="gramEnd"/>
      <w:r>
        <w:t xml:space="preserve"> however, for their full implementation it is necessary to implement a number of other steps which are necessary for future effective, efficient and economical operation of those instruments in the next programming period. </w:t>
      </w:r>
    </w:p>
    <w:p w:rsidR="00065632" w:rsidRPr="00831C45" w:rsidRDefault="00065632" w:rsidP="00F36672">
      <w:pPr>
        <w:pStyle w:val="BodyText1"/>
      </w:pPr>
      <w:r>
        <w:t>Implementation of financial instruments in the Czech Republic has two levels:</w:t>
      </w:r>
    </w:p>
    <w:p w:rsidR="00065632" w:rsidRDefault="00065632" w:rsidP="00065632">
      <w:pPr>
        <w:pStyle w:val="BodyText1"/>
        <w:numPr>
          <w:ilvl w:val="0"/>
          <w:numId w:val="27"/>
        </w:numPr>
        <w:spacing w:before="120"/>
        <w:jc w:val="both"/>
      </w:pPr>
      <w:r>
        <w:rPr>
          <w:b/>
          <w:bCs/>
        </w:rPr>
        <w:t>Establishment of the Fund of Funds at the national level</w:t>
      </w:r>
      <w:r>
        <w:t>; It will act as the fund of funds manager, provide expert services for all managing authorities (in the case of interest from MA) and will act as the depositary.</w:t>
      </w:r>
      <w:r>
        <w:rPr>
          <w:rStyle w:val="Znakapoznpodarou"/>
        </w:rPr>
        <w:footnoteReference w:id="10"/>
      </w:r>
      <w:r>
        <w:t xml:space="preserve"> </w:t>
      </w:r>
    </w:p>
    <w:p w:rsidR="00065632" w:rsidRPr="00491F73" w:rsidRDefault="00065632" w:rsidP="00065632">
      <w:pPr>
        <w:pStyle w:val="BodyText1"/>
        <w:numPr>
          <w:ilvl w:val="0"/>
          <w:numId w:val="27"/>
        </w:numPr>
        <w:spacing w:before="120"/>
        <w:jc w:val="both"/>
        <w:rPr>
          <w:b/>
          <w:bCs/>
        </w:rPr>
      </w:pPr>
      <w:r>
        <w:rPr>
          <w:b/>
          <w:bCs/>
        </w:rPr>
        <w:t>Establishment of financial instruments</w:t>
      </w:r>
      <w:r>
        <w:t xml:space="preserve"> (Fund, </w:t>
      </w:r>
      <w:proofErr w:type="spellStart"/>
      <w:r>
        <w:t>subfunds</w:t>
      </w:r>
      <w:proofErr w:type="spellEnd"/>
      <w:r>
        <w:t xml:space="preserve"> and financial instruments) </w:t>
      </w:r>
      <w:r>
        <w:rPr>
          <w:b/>
          <w:bCs/>
        </w:rPr>
        <w:t>at the level of individual managing authorities</w:t>
      </w:r>
      <w:r>
        <w:t>.</w:t>
      </w:r>
    </w:p>
    <w:p w:rsidR="00065632" w:rsidRDefault="00065632" w:rsidP="00F36672">
      <w:pPr>
        <w:pStyle w:val="BodyText1"/>
      </w:pPr>
    </w:p>
    <w:p w:rsidR="00065632" w:rsidRDefault="00065632" w:rsidP="00F36672">
      <w:pPr>
        <w:pStyle w:val="BodyText1"/>
        <w:jc w:val="both"/>
      </w:pPr>
      <w:r>
        <w:t xml:space="preserve">The following steps specify a draft action plan, which the authorities implementing financial instruments at the national level and IROP should follow in order to successfully implement the proposed measures. The monitored timetable endeavours to reflect on the state of preparations for the new fund drawing and rapidly approaching deadlines for the conclusion of negotiations with the European Commission. </w:t>
      </w:r>
    </w:p>
    <w:p w:rsidR="00065632" w:rsidRDefault="00065632" w:rsidP="00F36672">
      <w:pPr>
        <w:pStyle w:val="BodyText1"/>
        <w:spacing w:before="120"/>
      </w:pPr>
      <w:r>
        <w:t>The necessary steps and key milestones of both levels are shown in the tables below.</w:t>
      </w:r>
    </w:p>
    <w:p w:rsidR="00065632" w:rsidRDefault="00065632" w:rsidP="00F36672">
      <w:pPr>
        <w:pStyle w:val="BodyText1"/>
        <w:rPr>
          <w:b/>
          <w:bCs/>
        </w:rPr>
      </w:pPr>
    </w:p>
    <w:tbl>
      <w:tblPr>
        <w:tblW w:w="5000" w:type="pct"/>
        <w:tblInd w:w="-56" w:type="dxa"/>
        <w:tblBorders>
          <w:bottom w:val="single" w:sz="4" w:space="0" w:color="00A1DE"/>
          <w:insideH w:val="single" w:sz="4" w:space="0" w:color="00A1DE"/>
        </w:tblBorders>
        <w:tblCellMar>
          <w:top w:w="28" w:type="dxa"/>
          <w:left w:w="28" w:type="dxa"/>
          <w:bottom w:w="28" w:type="dxa"/>
          <w:right w:w="28" w:type="dxa"/>
        </w:tblCellMar>
        <w:tblLook w:val="00A0" w:firstRow="1" w:lastRow="0" w:firstColumn="1" w:lastColumn="0" w:noHBand="0" w:noVBand="0"/>
      </w:tblPr>
      <w:tblGrid>
        <w:gridCol w:w="374"/>
        <w:gridCol w:w="6600"/>
        <w:gridCol w:w="2152"/>
      </w:tblGrid>
      <w:tr w:rsidR="00065632" w:rsidRPr="00D60031">
        <w:trPr>
          <w:tblHeader/>
        </w:trPr>
        <w:tc>
          <w:tcPr>
            <w:tcW w:w="205" w:type="pct"/>
            <w:shd w:val="clear" w:color="auto" w:fill="00A1DE"/>
          </w:tcPr>
          <w:p w:rsidR="00065632" w:rsidRPr="00D60031" w:rsidRDefault="00065632" w:rsidP="00D655A7">
            <w:pPr>
              <w:pStyle w:val="BodyText1"/>
              <w:rPr>
                <w:b/>
                <w:bCs/>
                <w:color w:val="FFFFFF"/>
              </w:rPr>
            </w:pPr>
          </w:p>
        </w:tc>
        <w:tc>
          <w:tcPr>
            <w:tcW w:w="3616" w:type="pct"/>
            <w:shd w:val="clear" w:color="auto" w:fill="00A1DE"/>
          </w:tcPr>
          <w:p w:rsidR="00065632" w:rsidRPr="00D60031" w:rsidRDefault="00065632" w:rsidP="00D655A7">
            <w:pPr>
              <w:pStyle w:val="BodyText1"/>
              <w:rPr>
                <w:b/>
                <w:bCs/>
                <w:color w:val="FFFFFF"/>
              </w:rPr>
            </w:pPr>
            <w:r>
              <w:rPr>
                <w:b/>
                <w:bCs/>
                <w:color w:val="FFFFFF"/>
              </w:rPr>
              <w:t>Steps</w:t>
            </w:r>
          </w:p>
        </w:tc>
        <w:tc>
          <w:tcPr>
            <w:tcW w:w="1179" w:type="pct"/>
            <w:shd w:val="clear" w:color="auto" w:fill="00A1DE"/>
          </w:tcPr>
          <w:p w:rsidR="00065632" w:rsidRPr="00D60031" w:rsidRDefault="00065632" w:rsidP="00D655A7">
            <w:pPr>
              <w:pStyle w:val="BodyText1"/>
              <w:rPr>
                <w:b/>
                <w:bCs/>
                <w:color w:val="FFFFFF"/>
              </w:rPr>
            </w:pPr>
            <w:r>
              <w:rPr>
                <w:b/>
                <w:bCs/>
                <w:color w:val="FFFFFF"/>
              </w:rPr>
              <w:t>Deadline</w:t>
            </w:r>
          </w:p>
        </w:tc>
      </w:tr>
      <w:tr w:rsidR="00065632" w:rsidRPr="00D60031">
        <w:tc>
          <w:tcPr>
            <w:tcW w:w="205" w:type="pct"/>
            <w:shd w:val="clear" w:color="auto" w:fill="C5EEFF"/>
          </w:tcPr>
          <w:p w:rsidR="00065632" w:rsidRPr="00D60031" w:rsidRDefault="00065632" w:rsidP="00D655A7">
            <w:pPr>
              <w:pStyle w:val="BodyText1"/>
              <w:rPr>
                <w:b/>
                <w:bCs/>
                <w:color w:val="auto"/>
              </w:rPr>
            </w:pPr>
            <w:r>
              <w:rPr>
                <w:b/>
                <w:bCs/>
                <w:color w:val="auto"/>
              </w:rPr>
              <w:t>No.</w:t>
            </w:r>
          </w:p>
        </w:tc>
        <w:tc>
          <w:tcPr>
            <w:tcW w:w="4795" w:type="pct"/>
            <w:gridSpan w:val="2"/>
            <w:shd w:val="clear" w:color="auto" w:fill="C5EEFF"/>
          </w:tcPr>
          <w:p w:rsidR="00065632" w:rsidRPr="00D60031" w:rsidRDefault="00065632" w:rsidP="00D655A7">
            <w:pPr>
              <w:pStyle w:val="BodyText1"/>
              <w:rPr>
                <w:b/>
                <w:bCs/>
                <w:color w:val="auto"/>
              </w:rPr>
            </w:pPr>
            <w:r>
              <w:rPr>
                <w:b/>
                <w:bCs/>
                <w:color w:val="auto"/>
              </w:rPr>
              <w:t>National level (coordinated and primarily ensured by the MF)</w:t>
            </w:r>
          </w:p>
        </w:tc>
      </w:tr>
      <w:tr w:rsidR="00065632" w:rsidRPr="00944D54">
        <w:tc>
          <w:tcPr>
            <w:tcW w:w="205" w:type="pct"/>
            <w:shd w:val="clear" w:color="auto" w:fill="FFFFFF"/>
          </w:tcPr>
          <w:p w:rsidR="00065632" w:rsidRDefault="00065632" w:rsidP="00D655A7">
            <w:pPr>
              <w:pStyle w:val="BodyText1"/>
              <w:rPr>
                <w:b/>
                <w:bCs/>
                <w:color w:val="auto"/>
              </w:rPr>
            </w:pPr>
            <w:r>
              <w:rPr>
                <w:b/>
                <w:bCs/>
                <w:color w:val="auto"/>
              </w:rPr>
              <w:t>1</w:t>
            </w:r>
          </w:p>
        </w:tc>
        <w:tc>
          <w:tcPr>
            <w:tcW w:w="3616" w:type="pct"/>
            <w:shd w:val="clear" w:color="auto" w:fill="FFFFFF"/>
          </w:tcPr>
          <w:p w:rsidR="00065632" w:rsidRPr="000869EB" w:rsidRDefault="00065632" w:rsidP="00D655A7">
            <w:pPr>
              <w:pStyle w:val="BodyText1"/>
            </w:pPr>
            <w:r>
              <w:rPr>
                <w:b/>
                <w:bCs/>
                <w:color w:val="auto"/>
              </w:rPr>
              <w:t>Decision on the establishment of the Fund of Funds at the national level</w:t>
            </w:r>
          </w:p>
        </w:tc>
        <w:tc>
          <w:tcPr>
            <w:tcW w:w="1179" w:type="pct"/>
            <w:shd w:val="clear" w:color="auto" w:fill="FFFFFF"/>
          </w:tcPr>
          <w:p w:rsidR="00065632" w:rsidRPr="00D60031" w:rsidRDefault="00065632" w:rsidP="00D655A7">
            <w:pPr>
              <w:pStyle w:val="BodyText1"/>
              <w:rPr>
                <w:b/>
                <w:bCs/>
              </w:rPr>
            </w:pPr>
            <w:r>
              <w:rPr>
                <w:b/>
                <w:bCs/>
              </w:rPr>
              <w:t>Immediately</w:t>
            </w:r>
          </w:p>
        </w:tc>
      </w:tr>
      <w:tr w:rsidR="00065632" w:rsidRPr="00944D54">
        <w:tc>
          <w:tcPr>
            <w:tcW w:w="205" w:type="pct"/>
            <w:shd w:val="clear" w:color="auto" w:fill="FFFFFF"/>
          </w:tcPr>
          <w:p w:rsidR="00065632" w:rsidRPr="00A97BE6" w:rsidRDefault="00065632" w:rsidP="00D655A7">
            <w:pPr>
              <w:pStyle w:val="BodyText1"/>
              <w:rPr>
                <w:b/>
                <w:bCs/>
              </w:rPr>
            </w:pPr>
            <w:r>
              <w:rPr>
                <w:b/>
                <w:bCs/>
              </w:rPr>
              <w:t>2</w:t>
            </w:r>
          </w:p>
        </w:tc>
        <w:tc>
          <w:tcPr>
            <w:tcW w:w="3616" w:type="pct"/>
            <w:shd w:val="clear" w:color="auto" w:fill="FFFFFF"/>
          </w:tcPr>
          <w:p w:rsidR="00065632" w:rsidRPr="00A97BE6" w:rsidRDefault="00065632" w:rsidP="00D655A7">
            <w:pPr>
              <w:pStyle w:val="BodyText1"/>
              <w:rPr>
                <w:b/>
                <w:bCs/>
              </w:rPr>
            </w:pPr>
            <w:r>
              <w:rPr>
                <w:b/>
                <w:bCs/>
              </w:rPr>
              <w:t>Negotiating the preliminary draft structure of the Fund of Funds with the European Commission</w:t>
            </w:r>
          </w:p>
        </w:tc>
        <w:tc>
          <w:tcPr>
            <w:tcW w:w="1179" w:type="pct"/>
            <w:shd w:val="clear" w:color="auto" w:fill="FFFFFF"/>
          </w:tcPr>
          <w:p w:rsidR="00065632" w:rsidRPr="00D60031" w:rsidRDefault="00065632" w:rsidP="00D655A7">
            <w:pPr>
              <w:pStyle w:val="BodyText1"/>
              <w:rPr>
                <w:b/>
                <w:bCs/>
              </w:rPr>
            </w:pPr>
            <w:r>
              <w:rPr>
                <w:b/>
                <w:bCs/>
              </w:rPr>
              <w:t>Immediately</w:t>
            </w:r>
          </w:p>
        </w:tc>
      </w:tr>
      <w:tr w:rsidR="00065632" w:rsidRPr="001740B9">
        <w:tc>
          <w:tcPr>
            <w:tcW w:w="205" w:type="pct"/>
            <w:shd w:val="clear" w:color="auto" w:fill="FFFFFF"/>
          </w:tcPr>
          <w:p w:rsidR="00065632" w:rsidRPr="001740B9" w:rsidRDefault="00065632" w:rsidP="00D655A7">
            <w:pPr>
              <w:pStyle w:val="BodyText1"/>
              <w:rPr>
                <w:b/>
                <w:bCs/>
              </w:rPr>
            </w:pPr>
            <w:r>
              <w:rPr>
                <w:b/>
                <w:bCs/>
              </w:rPr>
              <w:t>3</w:t>
            </w:r>
          </w:p>
        </w:tc>
        <w:tc>
          <w:tcPr>
            <w:tcW w:w="3616" w:type="pct"/>
            <w:shd w:val="clear" w:color="auto" w:fill="FFFFFF"/>
          </w:tcPr>
          <w:p w:rsidR="00065632" w:rsidRPr="001740B9" w:rsidRDefault="00065632" w:rsidP="00D655A7">
            <w:pPr>
              <w:pStyle w:val="BodyText1"/>
              <w:rPr>
                <w:b/>
                <w:bCs/>
              </w:rPr>
            </w:pPr>
            <w:r>
              <w:rPr>
                <w:b/>
                <w:bCs/>
              </w:rPr>
              <w:t>Approval of the prepared recommended option at the government level</w:t>
            </w:r>
          </w:p>
        </w:tc>
        <w:tc>
          <w:tcPr>
            <w:tcW w:w="1179" w:type="pct"/>
            <w:shd w:val="clear" w:color="auto" w:fill="FFFFFF"/>
          </w:tcPr>
          <w:p w:rsidR="00065632" w:rsidRPr="00D60031" w:rsidRDefault="00065632" w:rsidP="00D655A7">
            <w:pPr>
              <w:pStyle w:val="BodyText1"/>
              <w:rPr>
                <w:b/>
                <w:bCs/>
              </w:rPr>
            </w:pPr>
            <w:r>
              <w:rPr>
                <w:b/>
                <w:bCs/>
              </w:rPr>
              <w:t>Immediately</w:t>
            </w:r>
          </w:p>
        </w:tc>
      </w:tr>
      <w:tr w:rsidR="00065632" w:rsidRPr="00944D54">
        <w:tc>
          <w:tcPr>
            <w:tcW w:w="205" w:type="pct"/>
            <w:shd w:val="clear" w:color="auto" w:fill="FFFFFF"/>
          </w:tcPr>
          <w:p w:rsidR="00065632" w:rsidRPr="001740B9" w:rsidRDefault="00065632" w:rsidP="00D655A7">
            <w:pPr>
              <w:pStyle w:val="BodyText1"/>
              <w:rPr>
                <w:b/>
                <w:bCs/>
              </w:rPr>
            </w:pPr>
            <w:r>
              <w:rPr>
                <w:b/>
                <w:bCs/>
              </w:rPr>
              <w:t>4</w:t>
            </w:r>
          </w:p>
        </w:tc>
        <w:tc>
          <w:tcPr>
            <w:tcW w:w="3616" w:type="pct"/>
            <w:shd w:val="clear" w:color="auto" w:fill="FFFFFF"/>
          </w:tcPr>
          <w:p w:rsidR="00065632" w:rsidRPr="001740B9" w:rsidRDefault="00065632" w:rsidP="00D655A7">
            <w:pPr>
              <w:pStyle w:val="BodyText1"/>
              <w:rPr>
                <w:b/>
                <w:bCs/>
              </w:rPr>
            </w:pPr>
            <w:r>
              <w:rPr>
                <w:b/>
                <w:bCs/>
              </w:rPr>
              <w:t>Setting up cooperation with the managing authorities</w:t>
            </w:r>
          </w:p>
          <w:p w:rsidR="00065632" w:rsidRPr="000869EB" w:rsidRDefault="00065632" w:rsidP="00D655A7">
            <w:pPr>
              <w:pStyle w:val="BodyText1"/>
            </w:pPr>
            <w:r>
              <w:t>Within the framework of setting up implementation structures at the national level (fund of funds), it is necessary to set up a system of cooperation with the managing authorities so that the selected option of the implementation of fund of funds at the national level is prepared in close cooperation with them and so that it reflects the results of individual ex-ante assessments, namely in terms of typology of financial instruments recommended in these assessments.</w:t>
            </w:r>
          </w:p>
        </w:tc>
        <w:tc>
          <w:tcPr>
            <w:tcW w:w="1179" w:type="pct"/>
            <w:shd w:val="clear" w:color="auto" w:fill="FFFFFF"/>
          </w:tcPr>
          <w:p w:rsidR="00065632" w:rsidRPr="00D60031" w:rsidRDefault="00065632" w:rsidP="00D655A7">
            <w:pPr>
              <w:pStyle w:val="BodyText1"/>
              <w:rPr>
                <w:b/>
                <w:bCs/>
              </w:rPr>
            </w:pPr>
            <w:r>
              <w:rPr>
                <w:b/>
                <w:bCs/>
              </w:rPr>
              <w:t>February–April 2015</w:t>
            </w:r>
          </w:p>
        </w:tc>
      </w:tr>
      <w:tr w:rsidR="00065632" w:rsidRPr="00944D54">
        <w:tc>
          <w:tcPr>
            <w:tcW w:w="205" w:type="pct"/>
            <w:shd w:val="clear" w:color="auto" w:fill="FFFFFF"/>
          </w:tcPr>
          <w:p w:rsidR="00065632" w:rsidRPr="00A97BE6" w:rsidRDefault="00065632" w:rsidP="00D655A7">
            <w:pPr>
              <w:pStyle w:val="BodyText1"/>
              <w:rPr>
                <w:b/>
                <w:bCs/>
              </w:rPr>
            </w:pPr>
            <w:r>
              <w:rPr>
                <w:b/>
                <w:bCs/>
              </w:rPr>
              <w:t>5</w:t>
            </w:r>
          </w:p>
        </w:tc>
        <w:tc>
          <w:tcPr>
            <w:tcW w:w="3616" w:type="pct"/>
            <w:shd w:val="clear" w:color="auto" w:fill="FFFFFF"/>
          </w:tcPr>
          <w:p w:rsidR="00065632" w:rsidRPr="00A97BE6" w:rsidRDefault="00065632" w:rsidP="00D655A7">
            <w:pPr>
              <w:pStyle w:val="BodyText1"/>
              <w:rPr>
                <w:b/>
                <w:bCs/>
              </w:rPr>
            </w:pPr>
            <w:r>
              <w:rPr>
                <w:b/>
                <w:bCs/>
              </w:rPr>
              <w:t xml:space="preserve">Detailed elaboration of the recommended option of IFIs implementation in the Czech Republic </w:t>
            </w:r>
          </w:p>
          <w:p w:rsidR="00065632" w:rsidRDefault="00065632" w:rsidP="00D655A7">
            <w:pPr>
              <w:pStyle w:val="BodyText1"/>
            </w:pPr>
            <w:r>
              <w:t xml:space="preserve">Creating a project team which will carry out a feasibility study </w:t>
            </w:r>
          </w:p>
          <w:p w:rsidR="00065632" w:rsidRDefault="00065632" w:rsidP="00D655A7">
            <w:pPr>
              <w:pStyle w:val="BodyText1"/>
            </w:pPr>
            <w:r>
              <w:t xml:space="preserve">Preparing a detailed organisational, operational and legal analysis, including an assessment of funding possibilities from the state budget Evaluating feasibility in terms of compliance with laws (budget rules, act on the state </w:t>
            </w:r>
            <w:r>
              <w:lastRenderedPageBreak/>
              <w:t>treasury, civil service act, etc.)</w:t>
            </w:r>
          </w:p>
          <w:p w:rsidR="00065632" w:rsidRPr="000869EB" w:rsidRDefault="00065632" w:rsidP="00D655A7">
            <w:pPr>
              <w:pStyle w:val="BodyText1"/>
            </w:pPr>
            <w:r>
              <w:t>Feasibility study of the selected option of the Fund of Funds implementation. The feasibility study shall include at least specification of the necessary legislative amendments, procedural and organisational settings, personal settings, specification of legal relations and financial flows between the individual entities implementing IFIs in the Czech Republic).</w:t>
            </w:r>
          </w:p>
        </w:tc>
        <w:tc>
          <w:tcPr>
            <w:tcW w:w="1179" w:type="pct"/>
            <w:shd w:val="clear" w:color="auto" w:fill="FFFFFF"/>
          </w:tcPr>
          <w:p w:rsidR="00065632" w:rsidRPr="00D60031" w:rsidRDefault="00065632" w:rsidP="00D655A7">
            <w:pPr>
              <w:pStyle w:val="BodyText1"/>
              <w:rPr>
                <w:b/>
                <w:bCs/>
              </w:rPr>
            </w:pPr>
            <w:r>
              <w:rPr>
                <w:b/>
                <w:bCs/>
              </w:rPr>
              <w:lastRenderedPageBreak/>
              <w:t>March–July 2015</w:t>
            </w:r>
          </w:p>
        </w:tc>
      </w:tr>
      <w:tr w:rsidR="00065632" w:rsidRPr="00C53605">
        <w:tc>
          <w:tcPr>
            <w:tcW w:w="205" w:type="pct"/>
            <w:shd w:val="clear" w:color="auto" w:fill="FFFFFF"/>
          </w:tcPr>
          <w:p w:rsidR="00065632" w:rsidRDefault="00065632" w:rsidP="00D655A7">
            <w:pPr>
              <w:pStyle w:val="BodyText1"/>
              <w:rPr>
                <w:b/>
                <w:bCs/>
              </w:rPr>
            </w:pPr>
            <w:r>
              <w:rPr>
                <w:b/>
                <w:bCs/>
              </w:rPr>
              <w:lastRenderedPageBreak/>
              <w:t>6</w:t>
            </w:r>
          </w:p>
        </w:tc>
        <w:tc>
          <w:tcPr>
            <w:tcW w:w="3616" w:type="pct"/>
            <w:shd w:val="clear" w:color="auto" w:fill="FFFFFF"/>
          </w:tcPr>
          <w:p w:rsidR="00065632" w:rsidRPr="000506C2" w:rsidRDefault="00065632" w:rsidP="00D655A7">
            <w:pPr>
              <w:pStyle w:val="BodyText1"/>
              <w:rPr>
                <w:b/>
                <w:bCs/>
              </w:rPr>
            </w:pPr>
            <w:r>
              <w:rPr>
                <w:b/>
                <w:bCs/>
              </w:rPr>
              <w:t>Launching public discussion with prospective private investors</w:t>
            </w:r>
          </w:p>
        </w:tc>
        <w:tc>
          <w:tcPr>
            <w:tcW w:w="1179" w:type="pct"/>
            <w:shd w:val="clear" w:color="auto" w:fill="FFFFFF"/>
          </w:tcPr>
          <w:p w:rsidR="00065632" w:rsidRDefault="00065632" w:rsidP="00D655A7">
            <w:pPr>
              <w:pStyle w:val="BodyText1"/>
              <w:rPr>
                <w:b/>
                <w:bCs/>
              </w:rPr>
            </w:pPr>
            <w:r>
              <w:rPr>
                <w:b/>
                <w:bCs/>
              </w:rPr>
              <w:t xml:space="preserve">Immediately </w:t>
            </w:r>
          </w:p>
        </w:tc>
      </w:tr>
      <w:tr w:rsidR="00065632" w:rsidRPr="00D60031">
        <w:tc>
          <w:tcPr>
            <w:tcW w:w="205" w:type="pct"/>
            <w:shd w:val="clear" w:color="auto" w:fill="FFFFFF"/>
          </w:tcPr>
          <w:p w:rsidR="00065632" w:rsidRPr="000506C2" w:rsidRDefault="00065632" w:rsidP="00D655A7">
            <w:pPr>
              <w:pStyle w:val="BodyText1"/>
              <w:rPr>
                <w:b/>
                <w:bCs/>
              </w:rPr>
            </w:pPr>
            <w:r>
              <w:rPr>
                <w:b/>
                <w:bCs/>
              </w:rPr>
              <w:t>7</w:t>
            </w:r>
          </w:p>
        </w:tc>
        <w:tc>
          <w:tcPr>
            <w:tcW w:w="3616" w:type="pct"/>
            <w:shd w:val="clear" w:color="auto" w:fill="FFFFFF"/>
          </w:tcPr>
          <w:p w:rsidR="00065632" w:rsidRPr="000869EB" w:rsidRDefault="00065632" w:rsidP="00D655A7">
            <w:pPr>
              <w:pStyle w:val="BodyText1"/>
            </w:pPr>
            <w:r>
              <w:rPr>
                <w:b/>
                <w:bCs/>
              </w:rPr>
              <w:t>Implementation of necessary legislative amendments</w:t>
            </w:r>
            <w:r>
              <w:t xml:space="preserve"> (official legislative process)</w:t>
            </w:r>
          </w:p>
        </w:tc>
        <w:tc>
          <w:tcPr>
            <w:tcW w:w="1179" w:type="pct"/>
            <w:shd w:val="clear" w:color="auto" w:fill="FFFFFF"/>
          </w:tcPr>
          <w:p w:rsidR="00065632" w:rsidRPr="00D60031" w:rsidRDefault="00065632" w:rsidP="00D655A7">
            <w:pPr>
              <w:pStyle w:val="BodyText1"/>
              <w:rPr>
                <w:b/>
                <w:bCs/>
              </w:rPr>
            </w:pPr>
            <w:r>
              <w:rPr>
                <w:b/>
                <w:bCs/>
              </w:rPr>
              <w:t>February–July 2015</w:t>
            </w:r>
          </w:p>
        </w:tc>
      </w:tr>
      <w:tr w:rsidR="00065632" w:rsidRPr="00C53605">
        <w:tc>
          <w:tcPr>
            <w:tcW w:w="205" w:type="pct"/>
            <w:shd w:val="clear" w:color="auto" w:fill="FFFFFF"/>
          </w:tcPr>
          <w:p w:rsidR="00065632" w:rsidRDefault="00065632" w:rsidP="00D655A7">
            <w:pPr>
              <w:pStyle w:val="BodyText1"/>
              <w:rPr>
                <w:b/>
                <w:bCs/>
              </w:rPr>
            </w:pPr>
            <w:r>
              <w:rPr>
                <w:b/>
                <w:bCs/>
              </w:rPr>
              <w:t>8</w:t>
            </w:r>
          </w:p>
        </w:tc>
        <w:tc>
          <w:tcPr>
            <w:tcW w:w="3616" w:type="pct"/>
            <w:shd w:val="clear" w:color="auto" w:fill="FFFFFF"/>
          </w:tcPr>
          <w:p w:rsidR="00065632" w:rsidRPr="00061B71" w:rsidRDefault="00065632" w:rsidP="003739E3">
            <w:pPr>
              <w:pStyle w:val="BodyText1"/>
            </w:pPr>
            <w:r>
              <w:rPr>
                <w:b/>
                <w:bCs/>
              </w:rPr>
              <w:t>Establishment of the Fund of Funds and fund manager</w:t>
            </w:r>
            <w:r>
              <w:t>, including provisions defining their roles and responsibilities</w:t>
            </w:r>
          </w:p>
        </w:tc>
        <w:tc>
          <w:tcPr>
            <w:tcW w:w="1179" w:type="pct"/>
            <w:shd w:val="clear" w:color="auto" w:fill="FFFFFF"/>
          </w:tcPr>
          <w:p w:rsidR="00065632" w:rsidRDefault="00065632" w:rsidP="00D655A7">
            <w:pPr>
              <w:pStyle w:val="BodyText1"/>
              <w:rPr>
                <w:b/>
                <w:bCs/>
              </w:rPr>
            </w:pPr>
            <w:r>
              <w:rPr>
                <w:b/>
                <w:bCs/>
              </w:rPr>
              <w:t>June–July 2015</w:t>
            </w:r>
          </w:p>
        </w:tc>
      </w:tr>
      <w:tr w:rsidR="00065632" w:rsidRPr="00944D54">
        <w:tc>
          <w:tcPr>
            <w:tcW w:w="205" w:type="pct"/>
            <w:shd w:val="clear" w:color="auto" w:fill="FFFFFF"/>
          </w:tcPr>
          <w:p w:rsidR="00065632" w:rsidRPr="000506C2" w:rsidRDefault="00065632" w:rsidP="00D655A7">
            <w:pPr>
              <w:pStyle w:val="BodyText1"/>
              <w:rPr>
                <w:b/>
                <w:bCs/>
              </w:rPr>
            </w:pPr>
            <w:r>
              <w:rPr>
                <w:b/>
                <w:bCs/>
              </w:rPr>
              <w:t>9</w:t>
            </w:r>
          </w:p>
        </w:tc>
        <w:tc>
          <w:tcPr>
            <w:tcW w:w="3616" w:type="pct"/>
            <w:shd w:val="clear" w:color="auto" w:fill="FFFFFF"/>
          </w:tcPr>
          <w:p w:rsidR="00065632" w:rsidRPr="000869EB" w:rsidRDefault="00065632" w:rsidP="00D655A7">
            <w:pPr>
              <w:pStyle w:val="BodyText1"/>
            </w:pPr>
            <w:r>
              <w:rPr>
                <w:b/>
                <w:bCs/>
              </w:rPr>
              <w:t>Preparing management documentation</w:t>
            </w:r>
            <w:r>
              <w:t xml:space="preserve"> (operating manual, delegation agreements, manuals)</w:t>
            </w:r>
          </w:p>
        </w:tc>
        <w:tc>
          <w:tcPr>
            <w:tcW w:w="1179" w:type="pct"/>
            <w:shd w:val="clear" w:color="auto" w:fill="FFFFFF"/>
          </w:tcPr>
          <w:p w:rsidR="00065632" w:rsidRDefault="00065632" w:rsidP="00D655A7">
            <w:pPr>
              <w:pStyle w:val="BodyText1"/>
              <w:rPr>
                <w:b/>
                <w:bCs/>
              </w:rPr>
            </w:pPr>
            <w:r>
              <w:rPr>
                <w:b/>
                <w:bCs/>
              </w:rPr>
              <w:t>June–September 2015</w:t>
            </w:r>
          </w:p>
        </w:tc>
      </w:tr>
      <w:tr w:rsidR="00065632" w:rsidRPr="00944D54">
        <w:tc>
          <w:tcPr>
            <w:tcW w:w="205" w:type="pct"/>
            <w:shd w:val="clear" w:color="auto" w:fill="FFFFFF"/>
          </w:tcPr>
          <w:p w:rsidR="00065632" w:rsidRPr="000506C2" w:rsidRDefault="00065632" w:rsidP="00D655A7">
            <w:pPr>
              <w:pStyle w:val="BodyText1"/>
              <w:rPr>
                <w:b/>
                <w:bCs/>
              </w:rPr>
            </w:pPr>
            <w:r>
              <w:rPr>
                <w:b/>
                <w:bCs/>
              </w:rPr>
              <w:t>10</w:t>
            </w:r>
          </w:p>
        </w:tc>
        <w:tc>
          <w:tcPr>
            <w:tcW w:w="3616" w:type="pct"/>
            <w:shd w:val="clear" w:color="auto" w:fill="FFFFFF"/>
          </w:tcPr>
          <w:p w:rsidR="00065632" w:rsidRPr="000506C2" w:rsidRDefault="00065632" w:rsidP="00D655A7">
            <w:pPr>
              <w:pStyle w:val="BodyText1"/>
              <w:rPr>
                <w:b/>
                <w:bCs/>
              </w:rPr>
            </w:pPr>
            <w:r>
              <w:rPr>
                <w:b/>
                <w:bCs/>
              </w:rPr>
              <w:t>Final approval of the management documentation necessary for the implementation of IFI (including the designation audit)</w:t>
            </w:r>
          </w:p>
        </w:tc>
        <w:tc>
          <w:tcPr>
            <w:tcW w:w="1179" w:type="pct"/>
            <w:shd w:val="clear" w:color="auto" w:fill="FFFFFF"/>
          </w:tcPr>
          <w:p w:rsidR="00065632" w:rsidRPr="00D60031" w:rsidRDefault="00065632" w:rsidP="00D655A7">
            <w:pPr>
              <w:pStyle w:val="BodyText1"/>
              <w:rPr>
                <w:b/>
                <w:bCs/>
              </w:rPr>
            </w:pPr>
            <w:r>
              <w:rPr>
                <w:b/>
                <w:bCs/>
              </w:rPr>
              <w:t xml:space="preserve">September–December 2015 </w:t>
            </w:r>
          </w:p>
        </w:tc>
      </w:tr>
      <w:tr w:rsidR="00065632" w:rsidRPr="00944D54">
        <w:tc>
          <w:tcPr>
            <w:tcW w:w="205" w:type="pct"/>
            <w:shd w:val="clear" w:color="auto" w:fill="FFFFFF"/>
          </w:tcPr>
          <w:p w:rsidR="00065632" w:rsidRPr="00061B71" w:rsidRDefault="00065632" w:rsidP="00D655A7">
            <w:pPr>
              <w:pStyle w:val="BodyText1"/>
              <w:rPr>
                <w:b/>
                <w:bCs/>
              </w:rPr>
            </w:pPr>
            <w:r>
              <w:rPr>
                <w:b/>
                <w:bCs/>
              </w:rPr>
              <w:t>12</w:t>
            </w:r>
          </w:p>
        </w:tc>
        <w:tc>
          <w:tcPr>
            <w:tcW w:w="3616" w:type="pct"/>
            <w:shd w:val="clear" w:color="auto" w:fill="FFFFFF"/>
          </w:tcPr>
          <w:p w:rsidR="00065632" w:rsidRPr="00061B71" w:rsidRDefault="00065632" w:rsidP="00D655A7">
            <w:pPr>
              <w:pStyle w:val="BodyText1"/>
              <w:rPr>
                <w:b/>
                <w:bCs/>
              </w:rPr>
            </w:pPr>
            <w:r>
              <w:rPr>
                <w:b/>
                <w:bCs/>
              </w:rPr>
              <w:t xml:space="preserve">Launching the first calls within the financial instruments </w:t>
            </w:r>
          </w:p>
        </w:tc>
        <w:tc>
          <w:tcPr>
            <w:tcW w:w="1179" w:type="pct"/>
            <w:shd w:val="clear" w:color="auto" w:fill="FFFFFF"/>
          </w:tcPr>
          <w:p w:rsidR="00065632" w:rsidRPr="00D60031" w:rsidRDefault="00065632" w:rsidP="00D655A7">
            <w:pPr>
              <w:pStyle w:val="BodyText1"/>
              <w:rPr>
                <w:b/>
                <w:bCs/>
              </w:rPr>
            </w:pPr>
            <w:r>
              <w:rPr>
                <w:b/>
                <w:bCs/>
              </w:rPr>
              <w:t>January 2016</w:t>
            </w:r>
          </w:p>
        </w:tc>
      </w:tr>
      <w:tr w:rsidR="00065632" w:rsidRPr="00061B71">
        <w:tc>
          <w:tcPr>
            <w:tcW w:w="5000" w:type="pct"/>
            <w:gridSpan w:val="3"/>
            <w:shd w:val="clear" w:color="auto" w:fill="C5EEFF"/>
          </w:tcPr>
          <w:p w:rsidR="00065632" w:rsidRPr="000506C2" w:rsidRDefault="00065632" w:rsidP="00D655A7">
            <w:pPr>
              <w:pStyle w:val="BodyText1"/>
              <w:rPr>
                <w:b/>
                <w:bCs/>
                <w:color w:val="auto"/>
              </w:rPr>
            </w:pPr>
            <w:r>
              <w:rPr>
                <w:b/>
                <w:bCs/>
                <w:color w:val="auto"/>
              </w:rPr>
              <w:t>Level of the Fund, financial instrument (coordinated and ensured by IROP MA)</w:t>
            </w:r>
          </w:p>
        </w:tc>
      </w:tr>
      <w:tr w:rsidR="00065632" w:rsidRPr="00C53605">
        <w:tc>
          <w:tcPr>
            <w:tcW w:w="205" w:type="pct"/>
            <w:shd w:val="clear" w:color="auto" w:fill="FFFFFF"/>
          </w:tcPr>
          <w:p w:rsidR="00065632" w:rsidRDefault="00065632" w:rsidP="00D655A7">
            <w:pPr>
              <w:pStyle w:val="BodyText1"/>
              <w:rPr>
                <w:b/>
                <w:bCs/>
              </w:rPr>
            </w:pPr>
            <w:r>
              <w:rPr>
                <w:b/>
                <w:bCs/>
              </w:rPr>
              <w:t>1</w:t>
            </w:r>
          </w:p>
        </w:tc>
        <w:tc>
          <w:tcPr>
            <w:tcW w:w="3616" w:type="pct"/>
            <w:shd w:val="clear" w:color="auto" w:fill="FFFFFF"/>
          </w:tcPr>
          <w:p w:rsidR="00065632" w:rsidRPr="000506C2" w:rsidRDefault="00065632" w:rsidP="00D655A7">
            <w:pPr>
              <w:pStyle w:val="BodyText1"/>
              <w:rPr>
                <w:b/>
                <w:bCs/>
              </w:rPr>
            </w:pPr>
            <w:r>
              <w:rPr>
                <w:b/>
                <w:bCs/>
              </w:rPr>
              <w:t>Acceptance of the final report of ex-ante assessment of the possibilities of using financial instruments in IROP</w:t>
            </w:r>
          </w:p>
        </w:tc>
        <w:tc>
          <w:tcPr>
            <w:tcW w:w="1179" w:type="pct"/>
            <w:shd w:val="clear" w:color="auto" w:fill="FFFFFF"/>
          </w:tcPr>
          <w:p w:rsidR="00065632" w:rsidRPr="000506C2" w:rsidRDefault="00065632" w:rsidP="00D655A7">
            <w:pPr>
              <w:pStyle w:val="BodyText1"/>
              <w:rPr>
                <w:b/>
                <w:bCs/>
                <w:color w:val="auto"/>
              </w:rPr>
            </w:pPr>
            <w:r>
              <w:rPr>
                <w:b/>
                <w:bCs/>
                <w:color w:val="auto"/>
              </w:rPr>
              <w:t>February 2015</w:t>
            </w:r>
          </w:p>
        </w:tc>
      </w:tr>
      <w:tr w:rsidR="00065632" w:rsidRPr="00C53605">
        <w:tc>
          <w:tcPr>
            <w:tcW w:w="205" w:type="pct"/>
            <w:shd w:val="clear" w:color="auto" w:fill="FFFFFF"/>
          </w:tcPr>
          <w:p w:rsidR="00065632" w:rsidRDefault="00065632" w:rsidP="00D655A7">
            <w:pPr>
              <w:pStyle w:val="BodyText1"/>
              <w:rPr>
                <w:b/>
                <w:bCs/>
              </w:rPr>
            </w:pPr>
            <w:r>
              <w:rPr>
                <w:b/>
                <w:bCs/>
              </w:rPr>
              <w:t>2</w:t>
            </w:r>
          </w:p>
        </w:tc>
        <w:tc>
          <w:tcPr>
            <w:tcW w:w="3616" w:type="pct"/>
            <w:shd w:val="clear" w:color="auto" w:fill="FFFFFF"/>
          </w:tcPr>
          <w:p w:rsidR="00065632" w:rsidRDefault="00065632" w:rsidP="00D655A7">
            <w:pPr>
              <w:pStyle w:val="BodyText1"/>
              <w:rPr>
                <w:b/>
                <w:bCs/>
              </w:rPr>
            </w:pPr>
            <w:r>
              <w:rPr>
                <w:b/>
                <w:bCs/>
              </w:rPr>
              <w:t>Consultation of conclusions of ex-ante assessment by MA with PCA and NCA</w:t>
            </w:r>
          </w:p>
        </w:tc>
        <w:tc>
          <w:tcPr>
            <w:tcW w:w="1179" w:type="pct"/>
            <w:shd w:val="clear" w:color="auto" w:fill="FFFFFF"/>
          </w:tcPr>
          <w:p w:rsidR="00065632" w:rsidRPr="000506C2" w:rsidRDefault="00065632" w:rsidP="00D655A7">
            <w:pPr>
              <w:pStyle w:val="BodyText1"/>
              <w:rPr>
                <w:b/>
                <w:bCs/>
                <w:color w:val="auto"/>
              </w:rPr>
            </w:pPr>
            <w:r>
              <w:rPr>
                <w:b/>
                <w:bCs/>
                <w:color w:val="auto"/>
              </w:rPr>
              <w:t>February–April 2015</w:t>
            </w:r>
          </w:p>
        </w:tc>
      </w:tr>
      <w:tr w:rsidR="00065632" w:rsidRPr="00061B71">
        <w:tc>
          <w:tcPr>
            <w:tcW w:w="205" w:type="pct"/>
            <w:shd w:val="clear" w:color="auto" w:fill="FFFFFF"/>
          </w:tcPr>
          <w:p w:rsidR="00065632" w:rsidRPr="000506C2" w:rsidRDefault="00065632" w:rsidP="00D655A7">
            <w:pPr>
              <w:pStyle w:val="BodyText1"/>
              <w:rPr>
                <w:b/>
                <w:bCs/>
              </w:rPr>
            </w:pPr>
            <w:r>
              <w:rPr>
                <w:b/>
                <w:bCs/>
              </w:rPr>
              <w:t>3</w:t>
            </w:r>
          </w:p>
        </w:tc>
        <w:tc>
          <w:tcPr>
            <w:tcW w:w="3616" w:type="pct"/>
            <w:shd w:val="clear" w:color="auto" w:fill="FFFFFF"/>
          </w:tcPr>
          <w:p w:rsidR="00065632" w:rsidRPr="000869EB" w:rsidRDefault="00065632" w:rsidP="00D655A7">
            <w:pPr>
              <w:pStyle w:val="BodyText1"/>
            </w:pPr>
            <w:r>
              <w:rPr>
                <w:b/>
                <w:bCs/>
              </w:rPr>
              <w:t>Decision by the ME management</w:t>
            </w:r>
            <w:r>
              <w:t xml:space="preserve"> on the implementation of financial instruments within the selected measures and on allocation volume of the relevant priority axes to the respective financial instruments. Approval of the decision to use IFIs by the IROP Monitoring Committee</w:t>
            </w:r>
          </w:p>
        </w:tc>
        <w:tc>
          <w:tcPr>
            <w:tcW w:w="1179" w:type="pct"/>
            <w:shd w:val="clear" w:color="auto" w:fill="FFFFFF"/>
          </w:tcPr>
          <w:p w:rsidR="00065632" w:rsidRPr="00D60031" w:rsidRDefault="00065632" w:rsidP="00D655A7">
            <w:pPr>
              <w:pStyle w:val="BodyText1"/>
              <w:rPr>
                <w:b/>
                <w:bCs/>
              </w:rPr>
            </w:pPr>
            <w:r>
              <w:rPr>
                <w:b/>
                <w:bCs/>
              </w:rPr>
              <w:t>February–April 2015</w:t>
            </w:r>
          </w:p>
        </w:tc>
      </w:tr>
      <w:tr w:rsidR="00065632" w:rsidRPr="00C53605">
        <w:tc>
          <w:tcPr>
            <w:tcW w:w="205" w:type="pct"/>
            <w:shd w:val="clear" w:color="auto" w:fill="FFFFFF"/>
          </w:tcPr>
          <w:p w:rsidR="00065632" w:rsidRDefault="00065632" w:rsidP="00D655A7">
            <w:pPr>
              <w:pStyle w:val="BodyText1"/>
              <w:rPr>
                <w:b/>
                <w:bCs/>
              </w:rPr>
            </w:pPr>
            <w:r>
              <w:rPr>
                <w:b/>
                <w:bCs/>
              </w:rPr>
              <w:t>4</w:t>
            </w:r>
          </w:p>
        </w:tc>
        <w:tc>
          <w:tcPr>
            <w:tcW w:w="3616" w:type="pct"/>
            <w:shd w:val="clear" w:color="auto" w:fill="FFFFFF"/>
          </w:tcPr>
          <w:p w:rsidR="00065632" w:rsidRPr="000506C2" w:rsidRDefault="00065632" w:rsidP="00D655A7">
            <w:pPr>
              <w:pStyle w:val="BodyText1"/>
              <w:rPr>
                <w:b/>
                <w:bCs/>
              </w:rPr>
            </w:pPr>
            <w:r>
              <w:rPr>
                <w:b/>
                <w:bCs/>
              </w:rPr>
              <w:t>Evaluation of feasibility of ex-ante assessment conclusions by the European Commission</w:t>
            </w:r>
          </w:p>
        </w:tc>
        <w:tc>
          <w:tcPr>
            <w:tcW w:w="1179" w:type="pct"/>
            <w:shd w:val="clear" w:color="auto" w:fill="FFFFFF"/>
          </w:tcPr>
          <w:p w:rsidR="00065632" w:rsidRPr="00D60031" w:rsidRDefault="00065632" w:rsidP="00D655A7">
            <w:pPr>
              <w:pStyle w:val="BodyText1"/>
              <w:rPr>
                <w:b/>
                <w:bCs/>
              </w:rPr>
            </w:pPr>
            <w:r>
              <w:rPr>
                <w:b/>
                <w:bCs/>
              </w:rPr>
              <w:t>February–April 2015</w:t>
            </w:r>
          </w:p>
        </w:tc>
      </w:tr>
      <w:tr w:rsidR="00065632" w:rsidRPr="00C53605">
        <w:tc>
          <w:tcPr>
            <w:tcW w:w="205" w:type="pct"/>
            <w:shd w:val="clear" w:color="auto" w:fill="FFFFFF"/>
          </w:tcPr>
          <w:p w:rsidR="00065632" w:rsidRDefault="00065632" w:rsidP="00D655A7">
            <w:pPr>
              <w:pStyle w:val="BodyText1"/>
              <w:rPr>
                <w:b/>
                <w:bCs/>
              </w:rPr>
            </w:pPr>
            <w:r>
              <w:rPr>
                <w:b/>
                <w:bCs/>
              </w:rPr>
              <w:t>5</w:t>
            </w:r>
          </w:p>
        </w:tc>
        <w:tc>
          <w:tcPr>
            <w:tcW w:w="3616" w:type="pct"/>
            <w:shd w:val="clear" w:color="auto" w:fill="FFFFFF"/>
          </w:tcPr>
          <w:p w:rsidR="00065632" w:rsidRDefault="00065632" w:rsidP="00D655A7">
            <w:pPr>
              <w:pStyle w:val="BodyText1"/>
              <w:rPr>
                <w:b/>
                <w:bCs/>
              </w:rPr>
            </w:pPr>
            <w:r>
              <w:rPr>
                <w:b/>
                <w:bCs/>
              </w:rPr>
              <w:t>Launching a public discussion with potential candidates for management and potential private investors</w:t>
            </w:r>
          </w:p>
        </w:tc>
        <w:tc>
          <w:tcPr>
            <w:tcW w:w="1179" w:type="pct"/>
            <w:shd w:val="clear" w:color="auto" w:fill="FFFFFF"/>
          </w:tcPr>
          <w:p w:rsidR="00065632" w:rsidRPr="00D60031" w:rsidRDefault="00065632" w:rsidP="00D655A7">
            <w:pPr>
              <w:pStyle w:val="BodyText1"/>
              <w:rPr>
                <w:b/>
                <w:bCs/>
              </w:rPr>
            </w:pPr>
            <w:r>
              <w:rPr>
                <w:b/>
                <w:bCs/>
              </w:rPr>
              <w:t xml:space="preserve">Immediately </w:t>
            </w:r>
          </w:p>
        </w:tc>
      </w:tr>
      <w:tr w:rsidR="00065632" w:rsidRPr="00BE7E1F">
        <w:tc>
          <w:tcPr>
            <w:tcW w:w="205" w:type="pct"/>
            <w:shd w:val="clear" w:color="auto" w:fill="FFFFFF"/>
          </w:tcPr>
          <w:p w:rsidR="00065632" w:rsidRDefault="00065632" w:rsidP="00D655A7">
            <w:pPr>
              <w:pStyle w:val="BodyText1"/>
              <w:rPr>
                <w:b/>
                <w:bCs/>
              </w:rPr>
            </w:pPr>
            <w:r>
              <w:rPr>
                <w:b/>
                <w:bCs/>
              </w:rPr>
              <w:t>6</w:t>
            </w:r>
          </w:p>
        </w:tc>
        <w:tc>
          <w:tcPr>
            <w:tcW w:w="3616" w:type="pct"/>
            <w:shd w:val="clear" w:color="auto" w:fill="FFFFFF"/>
          </w:tcPr>
          <w:p w:rsidR="00065632" w:rsidRDefault="00065632" w:rsidP="00D655A7">
            <w:pPr>
              <w:pStyle w:val="BodyText1"/>
              <w:rPr>
                <w:b/>
                <w:bCs/>
              </w:rPr>
            </w:pPr>
            <w:r>
              <w:rPr>
                <w:b/>
                <w:bCs/>
              </w:rPr>
              <w:t>Setting up cooperation with the managing authorities regarding the coordination of creating IFI at the MA level</w:t>
            </w:r>
          </w:p>
        </w:tc>
        <w:tc>
          <w:tcPr>
            <w:tcW w:w="1179" w:type="pct"/>
            <w:shd w:val="clear" w:color="auto" w:fill="FFFFFF"/>
          </w:tcPr>
          <w:p w:rsidR="00065632" w:rsidRDefault="00065632" w:rsidP="00D655A7">
            <w:pPr>
              <w:pStyle w:val="BodyText1"/>
              <w:rPr>
                <w:b/>
                <w:bCs/>
              </w:rPr>
            </w:pPr>
            <w:r>
              <w:rPr>
                <w:b/>
                <w:bCs/>
              </w:rPr>
              <w:t>February–July 2015</w:t>
            </w:r>
          </w:p>
        </w:tc>
      </w:tr>
      <w:tr w:rsidR="00065632" w:rsidRPr="00C53605">
        <w:tc>
          <w:tcPr>
            <w:tcW w:w="205" w:type="pct"/>
            <w:shd w:val="clear" w:color="auto" w:fill="FFFFFF"/>
          </w:tcPr>
          <w:p w:rsidR="00065632" w:rsidRPr="00C4100E" w:rsidRDefault="00065632" w:rsidP="00D655A7">
            <w:pPr>
              <w:pStyle w:val="BodyText1"/>
              <w:rPr>
                <w:b/>
                <w:bCs/>
              </w:rPr>
            </w:pPr>
            <w:r>
              <w:rPr>
                <w:b/>
                <w:bCs/>
              </w:rPr>
              <w:t>7</w:t>
            </w:r>
          </w:p>
        </w:tc>
        <w:tc>
          <w:tcPr>
            <w:tcW w:w="3616" w:type="pct"/>
            <w:shd w:val="clear" w:color="auto" w:fill="FFFFFF"/>
          </w:tcPr>
          <w:p w:rsidR="00065632" w:rsidRDefault="00065632" w:rsidP="00D655A7">
            <w:pPr>
              <w:pStyle w:val="BodyText1"/>
              <w:rPr>
                <w:b/>
                <w:bCs/>
              </w:rPr>
            </w:pPr>
            <w:r>
              <w:rPr>
                <w:b/>
                <w:bCs/>
              </w:rPr>
              <w:t>Solving the compliance of the FI implementation system with legal and other standards</w:t>
            </w:r>
          </w:p>
        </w:tc>
        <w:tc>
          <w:tcPr>
            <w:tcW w:w="1179" w:type="pct"/>
            <w:shd w:val="clear" w:color="auto" w:fill="FFFFFF"/>
          </w:tcPr>
          <w:p w:rsidR="00065632" w:rsidRPr="00061B71" w:rsidRDefault="00065632" w:rsidP="00D655A7">
            <w:pPr>
              <w:pStyle w:val="BodyText1"/>
              <w:rPr>
                <w:b/>
                <w:bCs/>
                <w:highlight w:val="yellow"/>
              </w:rPr>
            </w:pPr>
            <w:r>
              <w:rPr>
                <w:b/>
                <w:bCs/>
              </w:rPr>
              <w:t>February–July 2015</w:t>
            </w:r>
          </w:p>
        </w:tc>
      </w:tr>
      <w:tr w:rsidR="00065632" w:rsidRPr="00C53605">
        <w:tc>
          <w:tcPr>
            <w:tcW w:w="205" w:type="pct"/>
            <w:shd w:val="clear" w:color="auto" w:fill="FFFFFF"/>
          </w:tcPr>
          <w:p w:rsidR="00065632" w:rsidRDefault="00065632" w:rsidP="00D655A7">
            <w:pPr>
              <w:pStyle w:val="BodyText1"/>
              <w:rPr>
                <w:b/>
                <w:bCs/>
              </w:rPr>
            </w:pPr>
            <w:r>
              <w:rPr>
                <w:b/>
                <w:bCs/>
              </w:rPr>
              <w:t>8</w:t>
            </w:r>
          </w:p>
        </w:tc>
        <w:tc>
          <w:tcPr>
            <w:tcW w:w="3616" w:type="pct"/>
            <w:shd w:val="clear" w:color="auto" w:fill="FFFFFF"/>
          </w:tcPr>
          <w:p w:rsidR="00065632" w:rsidRDefault="00065632" w:rsidP="00D655A7">
            <w:pPr>
              <w:pStyle w:val="BodyText1"/>
              <w:rPr>
                <w:b/>
                <w:bCs/>
              </w:rPr>
            </w:pPr>
            <w:r>
              <w:rPr>
                <w:b/>
                <w:bCs/>
              </w:rPr>
              <w:t>Preparing of the specific form of IFI</w:t>
            </w:r>
          </w:p>
          <w:p w:rsidR="00065632" w:rsidRDefault="00065632" w:rsidP="00065632">
            <w:pPr>
              <w:pStyle w:val="BodyText1"/>
              <w:numPr>
                <w:ilvl w:val="0"/>
                <w:numId w:val="28"/>
              </w:numPr>
              <w:ind w:left="343" w:hanging="235"/>
            </w:pPr>
            <w:r>
              <w:t>Detailed elaboration of investment strategy approved by IFI, including particular adjustment of conditions of the aid through IFI,</w:t>
            </w:r>
          </w:p>
          <w:p w:rsidR="00065632" w:rsidRPr="00366A88" w:rsidRDefault="00065632" w:rsidP="00065632">
            <w:pPr>
              <w:pStyle w:val="BodyText1"/>
              <w:numPr>
                <w:ilvl w:val="0"/>
                <w:numId w:val="28"/>
              </w:numPr>
              <w:ind w:left="343" w:hanging="235"/>
            </w:pPr>
            <w:r>
              <w:t>Conditions for potential application of so called preferential remuneration for selected financial instruments</w:t>
            </w:r>
          </w:p>
          <w:p w:rsidR="00065632" w:rsidRDefault="00065632" w:rsidP="00065632">
            <w:pPr>
              <w:pStyle w:val="BodyText1"/>
              <w:numPr>
                <w:ilvl w:val="0"/>
                <w:numId w:val="28"/>
              </w:numPr>
              <w:ind w:left="343" w:hanging="235"/>
            </w:pPr>
            <w:r>
              <w:t xml:space="preserve">Setting the desired benefits, </w:t>
            </w:r>
          </w:p>
          <w:p w:rsidR="00065632" w:rsidRDefault="00065632" w:rsidP="00065632">
            <w:pPr>
              <w:pStyle w:val="BodyText1"/>
              <w:numPr>
                <w:ilvl w:val="0"/>
                <w:numId w:val="28"/>
              </w:numPr>
              <w:ind w:left="343" w:hanging="235"/>
            </w:pPr>
            <w:r>
              <w:t>Precise definition of the allocation,</w:t>
            </w:r>
          </w:p>
          <w:p w:rsidR="00065632" w:rsidRDefault="00065632" w:rsidP="00065632">
            <w:pPr>
              <w:pStyle w:val="BodyText1"/>
              <w:numPr>
                <w:ilvl w:val="0"/>
                <w:numId w:val="28"/>
              </w:numPr>
              <w:ind w:left="343" w:hanging="235"/>
            </w:pPr>
            <w:r>
              <w:t>Procedural and organisational adjustment, requirements for staffing levels and technical support,</w:t>
            </w:r>
          </w:p>
          <w:p w:rsidR="00065632" w:rsidRPr="00061B71" w:rsidRDefault="00065632" w:rsidP="00065632">
            <w:pPr>
              <w:pStyle w:val="BodyText1"/>
              <w:numPr>
                <w:ilvl w:val="0"/>
                <w:numId w:val="28"/>
              </w:numPr>
              <w:ind w:left="343" w:hanging="235"/>
            </w:pPr>
            <w:r>
              <w:t xml:space="preserve">Setting up and conclusion of contractual documents with those involved in the implementation (financing agreement, delegation agreement, charter, etc.) </w:t>
            </w:r>
          </w:p>
        </w:tc>
        <w:tc>
          <w:tcPr>
            <w:tcW w:w="1179" w:type="pct"/>
            <w:shd w:val="clear" w:color="auto" w:fill="FFFFFF"/>
          </w:tcPr>
          <w:p w:rsidR="00065632" w:rsidRPr="00061B71" w:rsidRDefault="00065632" w:rsidP="00D655A7">
            <w:pPr>
              <w:pStyle w:val="BodyText1"/>
              <w:rPr>
                <w:b/>
                <w:bCs/>
                <w:highlight w:val="yellow"/>
              </w:rPr>
            </w:pPr>
            <w:r>
              <w:rPr>
                <w:b/>
                <w:bCs/>
              </w:rPr>
              <w:t>February–July 2015</w:t>
            </w:r>
          </w:p>
        </w:tc>
      </w:tr>
      <w:tr w:rsidR="00065632" w:rsidRPr="00C4100E">
        <w:tc>
          <w:tcPr>
            <w:tcW w:w="205" w:type="pct"/>
            <w:shd w:val="clear" w:color="auto" w:fill="FFFFFF"/>
          </w:tcPr>
          <w:p w:rsidR="00065632" w:rsidRDefault="00065632" w:rsidP="00D655A7">
            <w:pPr>
              <w:pStyle w:val="BodyText1"/>
              <w:rPr>
                <w:b/>
                <w:bCs/>
              </w:rPr>
            </w:pPr>
            <w:r>
              <w:rPr>
                <w:b/>
                <w:bCs/>
              </w:rPr>
              <w:t>9</w:t>
            </w:r>
          </w:p>
        </w:tc>
        <w:tc>
          <w:tcPr>
            <w:tcW w:w="3616" w:type="pct"/>
            <w:shd w:val="clear" w:color="auto" w:fill="FFFFFF"/>
          </w:tcPr>
          <w:p w:rsidR="00065632" w:rsidRDefault="00065632" w:rsidP="00D655A7">
            <w:pPr>
              <w:pStyle w:val="BodyText1"/>
              <w:rPr>
                <w:b/>
                <w:bCs/>
              </w:rPr>
            </w:pPr>
            <w:r>
              <w:rPr>
                <w:b/>
                <w:bCs/>
              </w:rPr>
              <w:t>Approval of detailed adjustment of IFI by MA</w:t>
            </w:r>
          </w:p>
        </w:tc>
        <w:tc>
          <w:tcPr>
            <w:tcW w:w="1179" w:type="pct"/>
            <w:shd w:val="clear" w:color="auto" w:fill="FFFFFF"/>
          </w:tcPr>
          <w:p w:rsidR="00065632" w:rsidRDefault="00065632" w:rsidP="00D655A7">
            <w:pPr>
              <w:pStyle w:val="BodyText1"/>
              <w:rPr>
                <w:b/>
                <w:bCs/>
              </w:rPr>
            </w:pPr>
            <w:r>
              <w:rPr>
                <w:b/>
                <w:bCs/>
              </w:rPr>
              <w:t>July 2015</w:t>
            </w:r>
          </w:p>
        </w:tc>
      </w:tr>
      <w:tr w:rsidR="00065632" w:rsidRPr="00C53605">
        <w:tc>
          <w:tcPr>
            <w:tcW w:w="205" w:type="pct"/>
            <w:shd w:val="clear" w:color="auto" w:fill="FFFFFF"/>
          </w:tcPr>
          <w:p w:rsidR="00065632" w:rsidRPr="00A456DF" w:rsidRDefault="00065632" w:rsidP="00D655A7">
            <w:pPr>
              <w:pStyle w:val="BodyText1"/>
              <w:rPr>
                <w:b/>
                <w:bCs/>
              </w:rPr>
            </w:pPr>
            <w:r>
              <w:rPr>
                <w:b/>
                <w:bCs/>
              </w:rPr>
              <w:t>10</w:t>
            </w:r>
          </w:p>
        </w:tc>
        <w:tc>
          <w:tcPr>
            <w:tcW w:w="3616" w:type="pct"/>
            <w:shd w:val="clear" w:color="auto" w:fill="FFFFFF"/>
          </w:tcPr>
          <w:p w:rsidR="00065632" w:rsidRPr="00C4100E" w:rsidRDefault="00065632" w:rsidP="00D655A7">
            <w:pPr>
              <w:pStyle w:val="BodyText1"/>
              <w:rPr>
                <w:i/>
                <w:iCs/>
              </w:rPr>
            </w:pPr>
            <w:r>
              <w:t>Material preparations for the adjustment of administrative structures for the management of financial instruments agenda at the managing authority</w:t>
            </w:r>
          </w:p>
        </w:tc>
        <w:tc>
          <w:tcPr>
            <w:tcW w:w="1179" w:type="pct"/>
            <w:shd w:val="clear" w:color="auto" w:fill="FFFFFF"/>
          </w:tcPr>
          <w:p w:rsidR="00065632" w:rsidRPr="00061B71" w:rsidRDefault="00065632" w:rsidP="00D655A7">
            <w:pPr>
              <w:pStyle w:val="BodyText1"/>
              <w:rPr>
                <w:b/>
                <w:bCs/>
                <w:highlight w:val="yellow"/>
              </w:rPr>
            </w:pPr>
            <w:r>
              <w:rPr>
                <w:b/>
                <w:bCs/>
              </w:rPr>
              <w:t>July–December 2015</w:t>
            </w:r>
          </w:p>
        </w:tc>
      </w:tr>
      <w:tr w:rsidR="00065632" w:rsidRPr="00C53605">
        <w:tc>
          <w:tcPr>
            <w:tcW w:w="205" w:type="pct"/>
            <w:shd w:val="clear" w:color="auto" w:fill="FFFFFF"/>
          </w:tcPr>
          <w:p w:rsidR="00065632" w:rsidRPr="00BE7E1F" w:rsidRDefault="00065632" w:rsidP="00D655A7">
            <w:pPr>
              <w:pStyle w:val="BodyText1"/>
              <w:rPr>
                <w:b/>
                <w:bCs/>
              </w:rPr>
            </w:pPr>
            <w:r>
              <w:rPr>
                <w:b/>
                <w:bCs/>
              </w:rPr>
              <w:t>11</w:t>
            </w:r>
          </w:p>
        </w:tc>
        <w:tc>
          <w:tcPr>
            <w:tcW w:w="3616" w:type="pct"/>
            <w:shd w:val="clear" w:color="auto" w:fill="FFFFFF"/>
          </w:tcPr>
          <w:p w:rsidR="00065632" w:rsidRPr="005B0AC2" w:rsidRDefault="00065632" w:rsidP="00D655A7">
            <w:pPr>
              <w:pStyle w:val="BodyText1"/>
            </w:pPr>
            <w:r>
              <w:rPr>
                <w:b/>
                <w:bCs/>
              </w:rPr>
              <w:t>Systematic building of absorption capacity</w:t>
            </w:r>
            <w:r>
              <w:t xml:space="preserve"> (in terms of ensuring a sufficient number of projects and the ability to implement and administer the projects, preparing the communication plan and implementation of PR activities)</w:t>
            </w:r>
          </w:p>
        </w:tc>
        <w:tc>
          <w:tcPr>
            <w:tcW w:w="1179" w:type="pct"/>
            <w:shd w:val="clear" w:color="auto" w:fill="FFFFFF"/>
          </w:tcPr>
          <w:p w:rsidR="00065632" w:rsidRPr="00061B71" w:rsidRDefault="00065632" w:rsidP="00D655A7">
            <w:pPr>
              <w:pStyle w:val="BodyText1"/>
              <w:rPr>
                <w:b/>
                <w:bCs/>
                <w:highlight w:val="yellow"/>
              </w:rPr>
            </w:pPr>
            <w:r>
              <w:rPr>
                <w:b/>
                <w:bCs/>
              </w:rPr>
              <w:t>July–December 2015</w:t>
            </w:r>
          </w:p>
        </w:tc>
      </w:tr>
      <w:tr w:rsidR="00065632" w:rsidRPr="00BE7E1F">
        <w:tc>
          <w:tcPr>
            <w:tcW w:w="205" w:type="pct"/>
            <w:shd w:val="clear" w:color="auto" w:fill="FFFFFF"/>
          </w:tcPr>
          <w:p w:rsidR="00065632" w:rsidRPr="00432017" w:rsidRDefault="00065632" w:rsidP="00D655A7">
            <w:pPr>
              <w:pStyle w:val="BodyText1"/>
              <w:rPr>
                <w:b/>
                <w:bCs/>
              </w:rPr>
            </w:pPr>
            <w:r>
              <w:rPr>
                <w:b/>
                <w:bCs/>
              </w:rPr>
              <w:t>12</w:t>
            </w:r>
          </w:p>
        </w:tc>
        <w:tc>
          <w:tcPr>
            <w:tcW w:w="3616" w:type="pct"/>
            <w:shd w:val="clear" w:color="auto" w:fill="FFFFFF"/>
          </w:tcPr>
          <w:p w:rsidR="00065632" w:rsidRPr="000869EB" w:rsidRDefault="00065632" w:rsidP="00D655A7">
            <w:pPr>
              <w:pStyle w:val="BodyText1"/>
            </w:pPr>
            <w:r>
              <w:rPr>
                <w:b/>
                <w:bCs/>
              </w:rPr>
              <w:t xml:space="preserve">Selection of the IFN manager </w:t>
            </w:r>
          </w:p>
        </w:tc>
        <w:tc>
          <w:tcPr>
            <w:tcW w:w="1179" w:type="pct"/>
            <w:shd w:val="clear" w:color="auto" w:fill="FFFFFF"/>
          </w:tcPr>
          <w:p w:rsidR="00065632" w:rsidRPr="00D60031" w:rsidRDefault="00065632" w:rsidP="004B026F">
            <w:pPr>
              <w:pStyle w:val="BodyText1"/>
              <w:rPr>
                <w:b/>
                <w:bCs/>
              </w:rPr>
            </w:pPr>
            <w:r>
              <w:rPr>
                <w:b/>
                <w:bCs/>
              </w:rPr>
              <w:t xml:space="preserve">July 2015 </w:t>
            </w:r>
          </w:p>
        </w:tc>
      </w:tr>
      <w:tr w:rsidR="00065632" w:rsidRPr="00C53605">
        <w:tc>
          <w:tcPr>
            <w:tcW w:w="205" w:type="pct"/>
            <w:shd w:val="clear" w:color="auto" w:fill="FFFFFF"/>
          </w:tcPr>
          <w:p w:rsidR="00065632" w:rsidRPr="00061B71" w:rsidRDefault="00065632" w:rsidP="00D655A7">
            <w:pPr>
              <w:pStyle w:val="BodyText1"/>
              <w:rPr>
                <w:b/>
                <w:bCs/>
              </w:rPr>
            </w:pPr>
            <w:r>
              <w:rPr>
                <w:b/>
                <w:bCs/>
              </w:rPr>
              <w:lastRenderedPageBreak/>
              <w:t>14</w:t>
            </w:r>
          </w:p>
        </w:tc>
        <w:tc>
          <w:tcPr>
            <w:tcW w:w="3616" w:type="pct"/>
            <w:shd w:val="clear" w:color="auto" w:fill="FFFFFF"/>
          </w:tcPr>
          <w:p w:rsidR="00065632" w:rsidRPr="000869EB" w:rsidRDefault="00065632" w:rsidP="00D655A7">
            <w:pPr>
              <w:pStyle w:val="BodyText1"/>
            </w:pPr>
            <w:r>
              <w:rPr>
                <w:b/>
                <w:bCs/>
              </w:rPr>
              <w:t>Preparation of management documentation</w:t>
            </w:r>
            <w:r>
              <w:t>, methodology and criteria for the selection of operations, including a model for the evaluation of projects</w:t>
            </w:r>
          </w:p>
        </w:tc>
        <w:tc>
          <w:tcPr>
            <w:tcW w:w="1179" w:type="pct"/>
            <w:shd w:val="clear" w:color="auto" w:fill="FFFFFF"/>
          </w:tcPr>
          <w:p w:rsidR="00065632" w:rsidRPr="00D60031" w:rsidRDefault="00065632" w:rsidP="00D655A7">
            <w:pPr>
              <w:pStyle w:val="BodyText1"/>
              <w:rPr>
                <w:b/>
                <w:bCs/>
              </w:rPr>
            </w:pPr>
            <w:r>
              <w:rPr>
                <w:b/>
                <w:bCs/>
              </w:rPr>
              <w:t>July–September 2015</w:t>
            </w:r>
          </w:p>
        </w:tc>
      </w:tr>
      <w:tr w:rsidR="00065632" w:rsidRPr="00C53605">
        <w:tc>
          <w:tcPr>
            <w:tcW w:w="205" w:type="pct"/>
            <w:shd w:val="clear" w:color="auto" w:fill="FFFFFF"/>
          </w:tcPr>
          <w:p w:rsidR="00065632" w:rsidRPr="00061B71" w:rsidRDefault="00065632" w:rsidP="00D655A7">
            <w:pPr>
              <w:pStyle w:val="BodyText1"/>
              <w:rPr>
                <w:b/>
                <w:bCs/>
              </w:rPr>
            </w:pPr>
            <w:r>
              <w:rPr>
                <w:b/>
                <w:bCs/>
              </w:rPr>
              <w:t>15</w:t>
            </w:r>
          </w:p>
        </w:tc>
        <w:tc>
          <w:tcPr>
            <w:tcW w:w="3616" w:type="pct"/>
            <w:shd w:val="clear" w:color="auto" w:fill="FFFFFF"/>
          </w:tcPr>
          <w:p w:rsidR="00065632" w:rsidRPr="00BE31F6" w:rsidRDefault="00065632" w:rsidP="00D655A7">
            <w:pPr>
              <w:pStyle w:val="BodyText1"/>
            </w:pPr>
            <w:r>
              <w:rPr>
                <w:b/>
                <w:bCs/>
              </w:rPr>
              <w:t>Selection of financial intermediaries</w:t>
            </w:r>
            <w:r>
              <w:t xml:space="preserve"> (based on a tender) </w:t>
            </w:r>
            <w:r>
              <w:rPr>
                <w:b/>
                <w:bCs/>
              </w:rPr>
              <w:t>and conclusion of financing agreements</w:t>
            </w:r>
            <w:r>
              <w:t>, or conclusion of a framework cooperation agreement simultaneously with several eligible entities</w:t>
            </w:r>
          </w:p>
        </w:tc>
        <w:tc>
          <w:tcPr>
            <w:tcW w:w="1179" w:type="pct"/>
            <w:shd w:val="clear" w:color="auto" w:fill="FFFFFF"/>
          </w:tcPr>
          <w:p w:rsidR="00065632" w:rsidRPr="00D60031" w:rsidRDefault="00065632" w:rsidP="003739E3">
            <w:pPr>
              <w:pStyle w:val="BodyText1"/>
              <w:rPr>
                <w:b/>
                <w:bCs/>
              </w:rPr>
            </w:pPr>
            <w:r>
              <w:rPr>
                <w:b/>
                <w:bCs/>
              </w:rPr>
              <w:t xml:space="preserve">July–November 2015 </w:t>
            </w:r>
            <w:r>
              <w:rPr>
                <w:b/>
                <w:bCs/>
              </w:rPr>
              <w:br/>
              <w:t>(depending on FF)</w:t>
            </w:r>
          </w:p>
        </w:tc>
      </w:tr>
      <w:tr w:rsidR="00065632" w:rsidRPr="00944D54">
        <w:tc>
          <w:tcPr>
            <w:tcW w:w="205" w:type="pct"/>
            <w:shd w:val="clear" w:color="auto" w:fill="FFFFFF"/>
          </w:tcPr>
          <w:p w:rsidR="00065632" w:rsidRDefault="00065632" w:rsidP="00D655A7">
            <w:pPr>
              <w:pStyle w:val="BodyText1"/>
              <w:rPr>
                <w:b/>
                <w:bCs/>
              </w:rPr>
            </w:pPr>
            <w:r>
              <w:rPr>
                <w:b/>
                <w:bCs/>
              </w:rPr>
              <w:t>16</w:t>
            </w:r>
          </w:p>
        </w:tc>
        <w:tc>
          <w:tcPr>
            <w:tcW w:w="3616" w:type="pct"/>
            <w:shd w:val="clear" w:color="auto" w:fill="FFFFFF"/>
          </w:tcPr>
          <w:p w:rsidR="00065632" w:rsidRPr="00061B71" w:rsidRDefault="00065632" w:rsidP="00D655A7">
            <w:pPr>
              <w:pStyle w:val="BodyText1"/>
              <w:rPr>
                <w:b/>
                <w:bCs/>
              </w:rPr>
            </w:pPr>
            <w:r>
              <w:rPr>
                <w:b/>
                <w:bCs/>
              </w:rPr>
              <w:t>Final approval of the management documentation necessary for the implementation of IFI (including the designation audit)</w:t>
            </w:r>
          </w:p>
        </w:tc>
        <w:tc>
          <w:tcPr>
            <w:tcW w:w="1179" w:type="pct"/>
            <w:shd w:val="clear" w:color="auto" w:fill="FFFFFF"/>
          </w:tcPr>
          <w:p w:rsidR="00065632" w:rsidRPr="00D60031" w:rsidRDefault="00065632" w:rsidP="00D655A7">
            <w:pPr>
              <w:pStyle w:val="BodyText1"/>
              <w:rPr>
                <w:b/>
                <w:bCs/>
              </w:rPr>
            </w:pPr>
            <w:r>
              <w:rPr>
                <w:b/>
                <w:bCs/>
              </w:rPr>
              <w:t xml:space="preserve">September–December 2015 </w:t>
            </w:r>
          </w:p>
        </w:tc>
      </w:tr>
      <w:tr w:rsidR="00065632" w:rsidRPr="00944D54">
        <w:tc>
          <w:tcPr>
            <w:tcW w:w="205" w:type="pct"/>
            <w:shd w:val="clear" w:color="auto" w:fill="FFFFFF"/>
          </w:tcPr>
          <w:p w:rsidR="00065632" w:rsidRDefault="00065632" w:rsidP="00D655A7">
            <w:pPr>
              <w:pStyle w:val="BodyText1"/>
              <w:rPr>
                <w:b/>
                <w:bCs/>
              </w:rPr>
            </w:pPr>
            <w:r>
              <w:rPr>
                <w:b/>
                <w:bCs/>
              </w:rPr>
              <w:t>17</w:t>
            </w:r>
          </w:p>
        </w:tc>
        <w:tc>
          <w:tcPr>
            <w:tcW w:w="3616" w:type="pct"/>
            <w:shd w:val="clear" w:color="auto" w:fill="FFFFFF"/>
          </w:tcPr>
          <w:p w:rsidR="00065632" w:rsidRDefault="00065632" w:rsidP="00D655A7">
            <w:pPr>
              <w:pStyle w:val="BodyText1"/>
            </w:pPr>
            <w:r>
              <w:rPr>
                <w:b/>
                <w:bCs/>
              </w:rPr>
              <w:t>Approval by the IROP Monitoring Committee and sending to the Commission</w:t>
            </w:r>
          </w:p>
        </w:tc>
        <w:tc>
          <w:tcPr>
            <w:tcW w:w="1179" w:type="pct"/>
            <w:shd w:val="clear" w:color="auto" w:fill="FFFFFF"/>
          </w:tcPr>
          <w:p w:rsidR="00065632" w:rsidRPr="00D60031" w:rsidRDefault="00065632" w:rsidP="00D655A7">
            <w:pPr>
              <w:pStyle w:val="BodyText1"/>
              <w:rPr>
                <w:b/>
                <w:bCs/>
              </w:rPr>
            </w:pPr>
            <w:r>
              <w:rPr>
                <w:b/>
                <w:bCs/>
              </w:rPr>
              <w:t>September–December 2015</w:t>
            </w:r>
          </w:p>
        </w:tc>
      </w:tr>
      <w:tr w:rsidR="00065632" w:rsidRPr="00944D54">
        <w:tc>
          <w:tcPr>
            <w:tcW w:w="205" w:type="pct"/>
            <w:shd w:val="clear" w:color="auto" w:fill="FFFFFF"/>
          </w:tcPr>
          <w:p w:rsidR="00065632" w:rsidRDefault="00065632" w:rsidP="00D655A7">
            <w:pPr>
              <w:pStyle w:val="BodyText1"/>
              <w:rPr>
                <w:b/>
                <w:bCs/>
              </w:rPr>
            </w:pPr>
            <w:r>
              <w:rPr>
                <w:b/>
                <w:bCs/>
              </w:rPr>
              <w:t>18</w:t>
            </w:r>
          </w:p>
        </w:tc>
        <w:tc>
          <w:tcPr>
            <w:tcW w:w="3616" w:type="pct"/>
            <w:shd w:val="clear" w:color="auto" w:fill="FFFFFF"/>
          </w:tcPr>
          <w:p w:rsidR="00065632" w:rsidRDefault="00065632" w:rsidP="00D655A7">
            <w:pPr>
              <w:pStyle w:val="BodyText1"/>
              <w:rPr>
                <w:b/>
                <w:bCs/>
              </w:rPr>
            </w:pPr>
            <w:r>
              <w:rPr>
                <w:b/>
                <w:bCs/>
              </w:rPr>
              <w:t>Update of the programme document</w:t>
            </w:r>
          </w:p>
        </w:tc>
        <w:tc>
          <w:tcPr>
            <w:tcW w:w="1179" w:type="pct"/>
            <w:shd w:val="clear" w:color="auto" w:fill="FFFFFF"/>
          </w:tcPr>
          <w:p w:rsidR="00065632" w:rsidRPr="00D60031" w:rsidRDefault="00065632" w:rsidP="00D655A7">
            <w:pPr>
              <w:pStyle w:val="BodyText1"/>
              <w:rPr>
                <w:b/>
                <w:bCs/>
              </w:rPr>
            </w:pPr>
            <w:r>
              <w:rPr>
                <w:b/>
                <w:bCs/>
              </w:rPr>
              <w:t>December 2015:</w:t>
            </w:r>
          </w:p>
        </w:tc>
      </w:tr>
      <w:tr w:rsidR="00065632" w:rsidRPr="00C53605">
        <w:tc>
          <w:tcPr>
            <w:tcW w:w="205" w:type="pct"/>
            <w:shd w:val="clear" w:color="auto" w:fill="FFFFFF"/>
          </w:tcPr>
          <w:p w:rsidR="00065632" w:rsidRDefault="00065632" w:rsidP="00D655A7">
            <w:pPr>
              <w:pStyle w:val="BodyText1"/>
              <w:rPr>
                <w:b/>
                <w:bCs/>
              </w:rPr>
            </w:pPr>
            <w:r>
              <w:rPr>
                <w:b/>
                <w:bCs/>
              </w:rPr>
              <w:t>19</w:t>
            </w:r>
          </w:p>
        </w:tc>
        <w:tc>
          <w:tcPr>
            <w:tcW w:w="3616" w:type="pct"/>
            <w:shd w:val="clear" w:color="auto" w:fill="FFFFFF"/>
          </w:tcPr>
          <w:p w:rsidR="00065632" w:rsidRDefault="00065632" w:rsidP="00D655A7">
            <w:pPr>
              <w:pStyle w:val="BodyText1"/>
              <w:rPr>
                <w:b/>
                <w:bCs/>
              </w:rPr>
            </w:pPr>
            <w:r>
              <w:rPr>
                <w:b/>
                <w:bCs/>
              </w:rPr>
              <w:t xml:space="preserve">Allocation of resources to OP entity implementing IFI </w:t>
            </w:r>
          </w:p>
        </w:tc>
        <w:tc>
          <w:tcPr>
            <w:tcW w:w="1179" w:type="pct"/>
            <w:shd w:val="clear" w:color="auto" w:fill="FFFFFF"/>
          </w:tcPr>
          <w:p w:rsidR="00065632" w:rsidRPr="00D60031" w:rsidRDefault="00065632" w:rsidP="00D655A7">
            <w:pPr>
              <w:pStyle w:val="BodyText1"/>
              <w:rPr>
                <w:b/>
                <w:bCs/>
              </w:rPr>
            </w:pPr>
            <w:r>
              <w:rPr>
                <w:b/>
                <w:bCs/>
              </w:rPr>
              <w:t>January 2016</w:t>
            </w:r>
          </w:p>
        </w:tc>
      </w:tr>
      <w:tr w:rsidR="00065632" w:rsidRPr="00C53605">
        <w:tc>
          <w:tcPr>
            <w:tcW w:w="205" w:type="pct"/>
            <w:shd w:val="clear" w:color="auto" w:fill="FFFFFF"/>
          </w:tcPr>
          <w:p w:rsidR="00065632" w:rsidRPr="00061B71" w:rsidRDefault="00065632" w:rsidP="00D655A7">
            <w:pPr>
              <w:pStyle w:val="BodyText1"/>
              <w:rPr>
                <w:b/>
                <w:bCs/>
              </w:rPr>
            </w:pPr>
            <w:r>
              <w:rPr>
                <w:b/>
                <w:bCs/>
              </w:rPr>
              <w:t>20</w:t>
            </w:r>
          </w:p>
        </w:tc>
        <w:tc>
          <w:tcPr>
            <w:tcW w:w="3616" w:type="pct"/>
            <w:shd w:val="clear" w:color="auto" w:fill="FFFFFF"/>
          </w:tcPr>
          <w:p w:rsidR="00065632" w:rsidRDefault="00065632" w:rsidP="00D655A7">
            <w:pPr>
              <w:pStyle w:val="BodyText1"/>
            </w:pPr>
            <w:r>
              <w:rPr>
                <w:b/>
                <w:bCs/>
              </w:rPr>
              <w:t>Launching the first calls within the financial instruments</w:t>
            </w:r>
          </w:p>
        </w:tc>
        <w:tc>
          <w:tcPr>
            <w:tcW w:w="1179" w:type="pct"/>
            <w:shd w:val="clear" w:color="auto" w:fill="FFFFFF"/>
          </w:tcPr>
          <w:p w:rsidR="00065632" w:rsidRPr="00D60031" w:rsidRDefault="00065632" w:rsidP="00D655A7">
            <w:pPr>
              <w:pStyle w:val="BodyText1"/>
              <w:rPr>
                <w:b/>
                <w:bCs/>
              </w:rPr>
            </w:pPr>
            <w:r>
              <w:rPr>
                <w:b/>
                <w:bCs/>
              </w:rPr>
              <w:t>January 2016</w:t>
            </w:r>
          </w:p>
        </w:tc>
      </w:tr>
    </w:tbl>
    <w:p w:rsidR="00065632" w:rsidRDefault="00065632" w:rsidP="00F36672">
      <w:pPr>
        <w:spacing w:after="0"/>
        <w:rPr>
          <w:b/>
          <w:bCs/>
        </w:rPr>
      </w:pPr>
    </w:p>
    <w:p w:rsidR="00065632" w:rsidRDefault="00065632" w:rsidP="00F36672">
      <w:pPr>
        <w:rPr>
          <w:b/>
          <w:bCs/>
        </w:rPr>
      </w:pPr>
      <w:r>
        <w:rPr>
          <w:b/>
          <w:bCs/>
        </w:rPr>
        <w:t xml:space="preserve">The Action Plan only partly reflects an important unknown, i.e. how quick and effective will be the cooperation on the preparation by the partner managing authorities with which the IROP will strive to create shared structures and harmonisation of the instruments so that they are compatible or synergistic, especially making sure there are no centrifugal forces or competition between each other. Any delay on their part (especially in relation to deadlines of ex-ante assessment and discussion, clarification and supplements to their conclusions) may delay all the proposed deadlines presented in the Action Plan. </w:t>
      </w:r>
    </w:p>
    <w:p w:rsidR="00065632" w:rsidRDefault="00065632" w:rsidP="00F36672">
      <w:pPr>
        <w:rPr>
          <w:b/>
          <w:bCs/>
        </w:rPr>
      </w:pPr>
      <w:r>
        <w:rPr>
          <w:b/>
          <w:bCs/>
        </w:rPr>
        <w:t>Similarly, it is necessary to reflect the actual development of the other aforementioned steps and defined risks described in this report (e.g. progress of the MF working group with a feasibility study to the roof structure) and modify, based on the degree of fulfilment of the milestones, the implementation action plan.</w:t>
      </w:r>
    </w:p>
    <w:p w:rsidR="00065632" w:rsidRDefault="00065632" w:rsidP="00F36672">
      <w:r>
        <w:t>The above mentioned action plan is ambitious, but with regard to already accumulated delays in preparations for the new season there is no other option than prevent loosening of activities and strive for the fulfilment of tasks in the shortest possible time, so as to ensure a fast commencement of drawing the funds.</w:t>
      </w:r>
    </w:p>
    <w:p w:rsidR="00065632" w:rsidRDefault="00065632" w:rsidP="001B31DC">
      <w:pPr>
        <w:pStyle w:val="Nadpis4"/>
      </w:pPr>
      <w:bookmarkStart w:id="161" w:name="_Ref416429583"/>
      <w:r>
        <w:t>Risks and barriers to implementation</w:t>
      </w:r>
      <w:bookmarkEnd w:id="161"/>
    </w:p>
    <w:p w:rsidR="00065632" w:rsidRDefault="00065632" w:rsidP="001B31DC">
      <w:r>
        <w:t xml:space="preserve">In the area of draft investment strategy, which should be one of the essential underlying materials for the future set-up of the tender to select the fund manager and set-up of contractual relationships, the Contractor had to proceed to a number of simplifications and work with defined assumptions. The main limitations and open questions, which restrict the level of detail of the stage of completion of this report, include mainly constraints and questions contained in the table below or referred to in the chapter on state aid. </w:t>
      </w:r>
    </w:p>
    <w:p w:rsidR="00065632" w:rsidRDefault="00065632" w:rsidP="001B31DC"/>
    <w:p w:rsidR="00065632" w:rsidRDefault="00065632" w:rsidP="001B31DC">
      <w:pPr>
        <w:spacing w:after="0"/>
        <w:jc w:val="left"/>
        <w:sectPr w:rsidR="00065632" w:rsidSect="00F6327E">
          <w:footerReference w:type="default" r:id="rId32"/>
          <w:pgSz w:w="11906" w:h="16838" w:code="9"/>
          <w:pgMar w:top="1418" w:right="1418" w:bottom="1418" w:left="1418" w:header="709" w:footer="709" w:gutter="0"/>
          <w:paperSrc w:first="15" w:other="15"/>
          <w:cols w:space="708"/>
          <w:docGrid w:linePitch="360"/>
        </w:sectPr>
      </w:pPr>
    </w:p>
    <w:p w:rsidR="00065632" w:rsidRDefault="00065632" w:rsidP="009217C2">
      <w:pPr>
        <w:spacing w:after="0"/>
        <w:jc w:val="left"/>
      </w:pPr>
    </w:p>
    <w:p w:rsidR="00065632" w:rsidRDefault="00065632" w:rsidP="009217C2"/>
    <w:tbl>
      <w:tblPr>
        <w:tblW w:w="5000" w:type="pct"/>
        <w:tblInd w:w="-56" w:type="dxa"/>
        <w:tblBorders>
          <w:bottom w:val="single" w:sz="4" w:space="0" w:color="00A1DE"/>
          <w:insideH w:val="single" w:sz="4" w:space="0" w:color="00A1DE"/>
        </w:tblBorders>
        <w:tblCellMar>
          <w:top w:w="28" w:type="dxa"/>
          <w:left w:w="28" w:type="dxa"/>
          <w:bottom w:w="28" w:type="dxa"/>
          <w:right w:w="28" w:type="dxa"/>
        </w:tblCellMar>
        <w:tblLook w:val="00A0" w:firstRow="1" w:lastRow="0" w:firstColumn="1" w:lastColumn="0" w:noHBand="0" w:noVBand="0"/>
      </w:tblPr>
      <w:tblGrid>
        <w:gridCol w:w="479"/>
        <w:gridCol w:w="2533"/>
        <w:gridCol w:w="5949"/>
        <w:gridCol w:w="5097"/>
      </w:tblGrid>
      <w:tr w:rsidR="00065632" w:rsidRPr="00682752">
        <w:trPr>
          <w:trHeight w:val="122"/>
          <w:tblHeader/>
        </w:trPr>
        <w:tc>
          <w:tcPr>
            <w:tcW w:w="170" w:type="pct"/>
            <w:shd w:val="clear" w:color="auto" w:fill="00A1DE"/>
            <w:vAlign w:val="center"/>
          </w:tcPr>
          <w:p w:rsidR="00065632" w:rsidRPr="00693AAF" w:rsidRDefault="00065632" w:rsidP="00693AAF">
            <w:pPr>
              <w:spacing w:after="0"/>
              <w:jc w:val="left"/>
              <w:rPr>
                <w:b/>
                <w:bCs/>
                <w:color w:val="FFFFFF"/>
              </w:rPr>
            </w:pPr>
            <w:r w:rsidRPr="00693AAF">
              <w:rPr>
                <w:b/>
                <w:bCs/>
                <w:color w:val="FFFFFF"/>
              </w:rPr>
              <w:t>No.</w:t>
            </w:r>
          </w:p>
        </w:tc>
        <w:tc>
          <w:tcPr>
            <w:tcW w:w="901" w:type="pct"/>
            <w:shd w:val="clear" w:color="auto" w:fill="00A1DE"/>
            <w:vAlign w:val="center"/>
          </w:tcPr>
          <w:p w:rsidR="00065632" w:rsidRPr="00693AAF" w:rsidRDefault="00065632" w:rsidP="00693AAF">
            <w:pPr>
              <w:spacing w:after="0"/>
              <w:jc w:val="left"/>
              <w:rPr>
                <w:b/>
                <w:bCs/>
                <w:color w:val="FFFFFF"/>
              </w:rPr>
            </w:pPr>
            <w:r w:rsidRPr="00693AAF">
              <w:rPr>
                <w:b/>
                <w:bCs/>
                <w:color w:val="FFFFFF"/>
              </w:rPr>
              <w:t>Problem/restriction/risk/</w:t>
            </w:r>
            <w:r w:rsidRPr="00693AAF">
              <w:rPr>
                <w:b/>
                <w:bCs/>
                <w:color w:val="FFFFFF"/>
              </w:rPr>
              <w:br/>
              <w:t>open question</w:t>
            </w:r>
          </w:p>
        </w:tc>
        <w:tc>
          <w:tcPr>
            <w:tcW w:w="2116" w:type="pct"/>
            <w:shd w:val="clear" w:color="auto" w:fill="00A1DE"/>
            <w:vAlign w:val="center"/>
          </w:tcPr>
          <w:p w:rsidR="00065632" w:rsidRPr="00693AAF" w:rsidRDefault="00065632" w:rsidP="00693AAF">
            <w:pPr>
              <w:spacing w:after="0"/>
              <w:jc w:val="left"/>
              <w:rPr>
                <w:b/>
                <w:bCs/>
                <w:color w:val="FFFFFF"/>
              </w:rPr>
            </w:pPr>
            <w:r w:rsidRPr="00693AAF">
              <w:rPr>
                <w:b/>
                <w:bCs/>
                <w:color w:val="FFFFFF"/>
              </w:rPr>
              <w:t>Description and impacts on the draft instrument and the draft implementation structure</w:t>
            </w:r>
          </w:p>
        </w:tc>
        <w:tc>
          <w:tcPr>
            <w:tcW w:w="1813" w:type="pct"/>
            <w:shd w:val="clear" w:color="auto" w:fill="00A1DE"/>
            <w:vAlign w:val="center"/>
          </w:tcPr>
          <w:p w:rsidR="00065632" w:rsidRPr="00693AAF" w:rsidRDefault="00065632" w:rsidP="00693AAF">
            <w:pPr>
              <w:spacing w:after="0"/>
              <w:jc w:val="left"/>
              <w:rPr>
                <w:b/>
                <w:bCs/>
                <w:color w:val="FFFFFF"/>
              </w:rPr>
            </w:pPr>
            <w:r w:rsidRPr="00693AAF">
              <w:rPr>
                <w:b/>
                <w:bCs/>
                <w:color w:val="FFFFFF"/>
              </w:rPr>
              <w:t>Proposed corrective measures</w:t>
            </w:r>
          </w:p>
        </w:tc>
      </w:tr>
      <w:tr w:rsidR="00065632" w:rsidRPr="00682752">
        <w:trPr>
          <w:trHeight w:val="171"/>
        </w:trPr>
        <w:tc>
          <w:tcPr>
            <w:tcW w:w="170" w:type="pct"/>
            <w:shd w:val="clear" w:color="auto" w:fill="FFFFFF"/>
          </w:tcPr>
          <w:p w:rsidR="00065632" w:rsidRPr="00693AAF" w:rsidRDefault="00065632" w:rsidP="00693AAF">
            <w:pPr>
              <w:spacing w:after="0"/>
              <w:jc w:val="left"/>
              <w:rPr>
                <w:b/>
                <w:bCs/>
              </w:rPr>
            </w:pPr>
            <w:r w:rsidRPr="00693AAF">
              <w:rPr>
                <w:b/>
                <w:bCs/>
              </w:rPr>
              <w:t>1</w:t>
            </w:r>
          </w:p>
        </w:tc>
        <w:tc>
          <w:tcPr>
            <w:tcW w:w="901" w:type="pct"/>
            <w:shd w:val="clear" w:color="auto" w:fill="FFFFFF"/>
          </w:tcPr>
          <w:p w:rsidR="00065632" w:rsidRPr="00693AAF" w:rsidRDefault="00065632" w:rsidP="00693AAF">
            <w:pPr>
              <w:spacing w:after="0"/>
              <w:jc w:val="left"/>
              <w:rPr>
                <w:b/>
                <w:bCs/>
              </w:rPr>
            </w:pPr>
            <w:r w:rsidRPr="00693AAF">
              <w:rPr>
                <w:b/>
                <w:bCs/>
              </w:rPr>
              <w:t>Unclear eligibility criteria</w:t>
            </w:r>
          </w:p>
        </w:tc>
        <w:tc>
          <w:tcPr>
            <w:tcW w:w="2116" w:type="pct"/>
            <w:shd w:val="clear" w:color="auto" w:fill="FFFFFF"/>
          </w:tcPr>
          <w:p w:rsidR="00065632" w:rsidRPr="00682752" w:rsidRDefault="00065632" w:rsidP="00693AAF">
            <w:pPr>
              <w:spacing w:after="0"/>
              <w:ind w:left="14"/>
              <w:jc w:val="left"/>
            </w:pPr>
            <w:r>
              <w:t>Even relatively fine interventions in the proposal for setting the areas of aided projects can constitute a bias of the conclusions regarding the proposal for instrument setting or implementation structure if necessary. The conclusion applies to both the specific criteria and, for example, any modifications in target groups and beneficiaries, evaluation criteria.</w:t>
            </w:r>
          </w:p>
        </w:tc>
        <w:tc>
          <w:tcPr>
            <w:tcW w:w="1813" w:type="pct"/>
            <w:shd w:val="clear" w:color="auto" w:fill="FFFFFF"/>
          </w:tcPr>
          <w:p w:rsidR="00065632" w:rsidRPr="00682752" w:rsidRDefault="00065632" w:rsidP="00693AAF">
            <w:pPr>
              <w:spacing w:after="0"/>
              <w:jc w:val="left"/>
            </w:pPr>
            <w:r>
              <w:t>Conclusive enshrinement of specific acceptance criteria, target groups and eligible beneficiaries to be evaluated by the managing authority.</w:t>
            </w:r>
          </w:p>
        </w:tc>
      </w:tr>
      <w:tr w:rsidR="00065632" w:rsidRPr="00682752">
        <w:tc>
          <w:tcPr>
            <w:tcW w:w="170" w:type="pct"/>
            <w:shd w:val="clear" w:color="auto" w:fill="FFFFFF"/>
          </w:tcPr>
          <w:p w:rsidR="00065632" w:rsidRPr="00693AAF" w:rsidRDefault="00065632" w:rsidP="00693AAF">
            <w:pPr>
              <w:spacing w:after="0"/>
              <w:jc w:val="left"/>
              <w:rPr>
                <w:b/>
                <w:bCs/>
              </w:rPr>
            </w:pPr>
            <w:r w:rsidRPr="00693AAF">
              <w:rPr>
                <w:b/>
                <w:bCs/>
              </w:rPr>
              <w:t>2</w:t>
            </w:r>
          </w:p>
        </w:tc>
        <w:tc>
          <w:tcPr>
            <w:tcW w:w="901" w:type="pct"/>
            <w:shd w:val="clear" w:color="auto" w:fill="FFFFFF"/>
          </w:tcPr>
          <w:p w:rsidR="00065632" w:rsidRPr="00693AAF" w:rsidRDefault="00065632" w:rsidP="00693AAF">
            <w:pPr>
              <w:spacing w:after="0"/>
              <w:jc w:val="left"/>
              <w:rPr>
                <w:b/>
                <w:bCs/>
              </w:rPr>
            </w:pPr>
            <w:r w:rsidRPr="00693AAF">
              <w:rPr>
                <w:b/>
                <w:bCs/>
              </w:rPr>
              <w:t>Unclear allocation for financial instruments</w:t>
            </w:r>
          </w:p>
        </w:tc>
        <w:tc>
          <w:tcPr>
            <w:tcW w:w="2116" w:type="pct"/>
            <w:shd w:val="clear" w:color="auto" w:fill="FFFFFF"/>
          </w:tcPr>
          <w:p w:rsidR="00065632" w:rsidRPr="00682752" w:rsidRDefault="00065632" w:rsidP="00693AAF">
            <w:pPr>
              <w:spacing w:after="0"/>
              <w:ind w:left="14"/>
            </w:pPr>
            <w:r>
              <w:t>Any changes in the proposal for the distribution of the allocation among specific objectives or changes in the proposal for preliminary amount of the allocation earmarked for the use of financial instruments deflect the conclusions of instrument benefit modelling and can be detrimental to the validity of the selected recommendations of the ex-ante assessment.</w:t>
            </w:r>
          </w:p>
          <w:p w:rsidR="00065632" w:rsidRPr="00682752" w:rsidRDefault="00065632" w:rsidP="00693AAF">
            <w:pPr>
              <w:spacing w:after="0"/>
              <w:ind w:left="14"/>
            </w:pPr>
            <w:r>
              <w:t xml:space="preserve">The breakdown of allocation for specific objectives into particular measures, or activities with geographic limitation is not known (the original definition of bargain on aid provided to areas with exceeded limits of </w:t>
            </w:r>
            <w:proofErr w:type="spellStart"/>
            <w:r>
              <w:t>benzo</w:t>
            </w:r>
            <w:proofErr w:type="spellEnd"/>
            <w:r>
              <w:t>(a)</w:t>
            </w:r>
            <w:proofErr w:type="spellStart"/>
            <w:r>
              <w:t>pyrene</w:t>
            </w:r>
            <w:proofErr w:type="spellEnd"/>
            <w:r>
              <w:t>; currently considered bargain for socially excluded or similarly disadvantaged localities).</w:t>
            </w:r>
          </w:p>
        </w:tc>
        <w:tc>
          <w:tcPr>
            <w:tcW w:w="1813" w:type="pct"/>
            <w:shd w:val="clear" w:color="auto" w:fill="FFFFFF"/>
          </w:tcPr>
          <w:p w:rsidR="00065632" w:rsidRPr="00682752" w:rsidRDefault="00065632" w:rsidP="00693AAF">
            <w:pPr>
              <w:spacing w:after="0"/>
              <w:ind w:left="11"/>
            </w:pPr>
            <w:r>
              <w:t>Finalisation of allocation for individual specific objectives / activities by the MA.</w:t>
            </w:r>
          </w:p>
          <w:p w:rsidR="00065632" w:rsidRPr="00682752" w:rsidRDefault="00065632" w:rsidP="00693AAF">
            <w:pPr>
              <w:spacing w:after="0"/>
              <w:ind w:left="11"/>
            </w:pPr>
          </w:p>
          <w:p w:rsidR="00065632" w:rsidRPr="00682752" w:rsidRDefault="00065632" w:rsidP="00693AAF">
            <w:pPr>
              <w:spacing w:after="0"/>
              <w:ind w:left="11"/>
            </w:pPr>
            <w:r>
              <w:t>Reflection of a plan of split-off of advantages (e.g. by keeping in a subsidy scheme or a higher subsidy component within a financial instrument) depending on defined, if applicable, prioritisation of selected localities.</w:t>
            </w:r>
          </w:p>
          <w:p w:rsidR="00065632" w:rsidRPr="00682752" w:rsidRDefault="00065632" w:rsidP="00693AAF">
            <w:pPr>
              <w:spacing w:after="0"/>
              <w:ind w:left="11"/>
            </w:pPr>
            <w:r>
              <w:t>Reflection of introduction, if applicable, of securitization in indicators, modelling of the use of allocation within a specific objective, etc.</w:t>
            </w:r>
          </w:p>
        </w:tc>
      </w:tr>
      <w:tr w:rsidR="00065632" w:rsidRPr="00682752">
        <w:tc>
          <w:tcPr>
            <w:tcW w:w="170" w:type="pct"/>
            <w:shd w:val="clear" w:color="auto" w:fill="FFFFFF"/>
          </w:tcPr>
          <w:p w:rsidR="00065632" w:rsidRPr="00693AAF" w:rsidRDefault="00065632" w:rsidP="00693AAF">
            <w:pPr>
              <w:spacing w:after="0"/>
              <w:jc w:val="left"/>
              <w:rPr>
                <w:b/>
                <w:bCs/>
              </w:rPr>
            </w:pPr>
            <w:r w:rsidRPr="00693AAF">
              <w:rPr>
                <w:b/>
                <w:bCs/>
              </w:rPr>
              <w:t>3</w:t>
            </w:r>
          </w:p>
        </w:tc>
        <w:tc>
          <w:tcPr>
            <w:tcW w:w="901" w:type="pct"/>
            <w:shd w:val="clear" w:color="auto" w:fill="FFFFFF"/>
          </w:tcPr>
          <w:p w:rsidR="00065632" w:rsidRPr="00693AAF" w:rsidRDefault="00065632" w:rsidP="00693AAF">
            <w:pPr>
              <w:spacing w:after="0"/>
              <w:jc w:val="left"/>
              <w:rPr>
                <w:b/>
                <w:bCs/>
              </w:rPr>
            </w:pPr>
            <w:r w:rsidRPr="00693AAF">
              <w:rPr>
                <w:b/>
                <w:bCs/>
              </w:rPr>
              <w:t>Absence of the clarification of the approach of the Czech Republic to the "roof of implementation structure"</w:t>
            </w:r>
          </w:p>
        </w:tc>
        <w:tc>
          <w:tcPr>
            <w:tcW w:w="2116" w:type="pct"/>
            <w:shd w:val="clear" w:color="auto" w:fill="FFFFFF"/>
          </w:tcPr>
          <w:p w:rsidR="00065632" w:rsidRPr="00682752" w:rsidRDefault="00065632" w:rsidP="00693AAF">
            <w:pPr>
              <w:spacing w:after="0"/>
              <w:ind w:left="14"/>
            </w:pPr>
            <w:r>
              <w:t>The absence of the clarification of the approach of the Czech Republic to the (de)centralisation of the management of financial instrument administration makes it impossible to make binding recommendations regarding the suitable form of the implementation structure for IROP.</w:t>
            </w:r>
          </w:p>
          <w:p w:rsidR="00065632" w:rsidRPr="00682752" w:rsidRDefault="00065632" w:rsidP="00693AAF">
            <w:pPr>
              <w:spacing w:after="0"/>
              <w:ind w:left="14"/>
            </w:pPr>
          </w:p>
          <w:p w:rsidR="00065632" w:rsidRPr="00682752" w:rsidRDefault="00065632" w:rsidP="00693AAF">
            <w:pPr>
              <w:spacing w:after="0"/>
              <w:ind w:left="14"/>
            </w:pPr>
            <w:r>
              <w:t>Unresolved issue of the possibility to provide funds among individual implementation structure entities with regard to restrictions in Act No. 218/2000 Sb.</w:t>
            </w:r>
          </w:p>
        </w:tc>
        <w:tc>
          <w:tcPr>
            <w:tcW w:w="1813" w:type="pct"/>
            <w:shd w:val="clear" w:color="auto" w:fill="FFFFFF"/>
          </w:tcPr>
          <w:p w:rsidR="00065632" w:rsidRPr="00682752" w:rsidRDefault="00065632" w:rsidP="00693AAF">
            <w:pPr>
              <w:spacing w:after="0"/>
            </w:pPr>
            <w:r>
              <w:t>Immediate adoption of the decision regarding the roof structure of financial instruments at the national level. Measures under the responsibility of the Ministry of Finance. Risk reduced by Governmental Resolution No. 85/2015; however, a range of information still missing on how the roof structure will be built and interconnected to the individual operational programmes. The Contractor proposes to work closely with the Working Group that will prepare the solution to the roof structure under the Ministry of Finance.</w:t>
            </w:r>
          </w:p>
          <w:p w:rsidR="00065632" w:rsidRPr="00682752" w:rsidRDefault="00065632" w:rsidP="00693AAF">
            <w:pPr>
              <w:spacing w:after="0"/>
            </w:pPr>
          </w:p>
          <w:p w:rsidR="00065632" w:rsidRPr="00682752" w:rsidRDefault="00065632" w:rsidP="00693AAF">
            <w:pPr>
              <w:spacing w:after="0"/>
            </w:pPr>
            <w:r>
              <w:t>Amendment to Act No. 218/2000 Sb.</w:t>
            </w:r>
          </w:p>
        </w:tc>
      </w:tr>
      <w:tr w:rsidR="00065632" w:rsidRPr="00682752">
        <w:tc>
          <w:tcPr>
            <w:tcW w:w="170" w:type="pct"/>
            <w:shd w:val="clear" w:color="auto" w:fill="FFFFFF"/>
          </w:tcPr>
          <w:p w:rsidR="00065632" w:rsidRPr="00693AAF" w:rsidRDefault="00065632" w:rsidP="00693AAF">
            <w:pPr>
              <w:spacing w:after="0"/>
              <w:jc w:val="left"/>
              <w:rPr>
                <w:b/>
                <w:bCs/>
              </w:rPr>
            </w:pPr>
            <w:r w:rsidRPr="00693AAF">
              <w:rPr>
                <w:b/>
                <w:bCs/>
              </w:rPr>
              <w:t>4</w:t>
            </w:r>
          </w:p>
        </w:tc>
        <w:tc>
          <w:tcPr>
            <w:tcW w:w="901" w:type="pct"/>
            <w:shd w:val="clear" w:color="auto" w:fill="FFFFFF"/>
          </w:tcPr>
          <w:p w:rsidR="00065632" w:rsidRPr="00693AAF" w:rsidRDefault="00065632" w:rsidP="00693AAF">
            <w:pPr>
              <w:spacing w:after="0"/>
              <w:jc w:val="left"/>
              <w:rPr>
                <w:b/>
                <w:bCs/>
              </w:rPr>
            </w:pPr>
            <w:r w:rsidRPr="00693AAF">
              <w:rPr>
                <w:b/>
                <w:bCs/>
              </w:rPr>
              <w:t xml:space="preserve">A lack of clarity as regards the MRD-NCA methodological </w:t>
            </w:r>
            <w:r w:rsidRPr="00693AAF">
              <w:rPr>
                <w:b/>
                <w:bCs/>
              </w:rPr>
              <w:lastRenderedPageBreak/>
              <w:t>recommendation</w:t>
            </w:r>
          </w:p>
        </w:tc>
        <w:tc>
          <w:tcPr>
            <w:tcW w:w="2116" w:type="pct"/>
            <w:shd w:val="clear" w:color="auto" w:fill="FFFFFF"/>
          </w:tcPr>
          <w:p w:rsidR="00065632" w:rsidRPr="00682752" w:rsidRDefault="00065632" w:rsidP="00693AAF">
            <w:pPr>
              <w:spacing w:after="0"/>
              <w:ind w:left="14"/>
            </w:pPr>
            <w:r>
              <w:lastRenderedPageBreak/>
              <w:t xml:space="preserve">The MRD-NCA's methodological recommendation governing the implementation of financial instruments in the programming period from 2014 to 2020 clarifies a number of areas; however, it does not </w:t>
            </w:r>
            <w:r>
              <w:lastRenderedPageBreak/>
              <w:t>address other continuous problems, where even the level of EU methodology is too general. Examples include:</w:t>
            </w:r>
          </w:p>
          <w:p w:rsidR="00065632" w:rsidRPr="00682752" w:rsidRDefault="00065632" w:rsidP="00065632">
            <w:pPr>
              <w:pStyle w:val="Odstavecseseznamem"/>
              <w:numPr>
                <w:ilvl w:val="0"/>
                <w:numId w:val="19"/>
              </w:numPr>
              <w:spacing w:after="0"/>
              <w:ind w:left="723"/>
            </w:pPr>
            <w:r>
              <w:t>Absence of the elaboration of rules for proposal for the solution to the back flow of funds among the beneficiary, financial intermediary, fund of funds and managing authority;</w:t>
            </w:r>
          </w:p>
          <w:p w:rsidR="00065632" w:rsidRPr="00682752" w:rsidRDefault="00065632" w:rsidP="00065632">
            <w:pPr>
              <w:pStyle w:val="Odstavecseseznamem"/>
              <w:numPr>
                <w:ilvl w:val="0"/>
                <w:numId w:val="19"/>
              </w:numPr>
              <w:spacing w:after="0"/>
              <w:ind w:left="723"/>
            </w:pPr>
            <w:r>
              <w:t>Low level of detail to specific setting options</w:t>
            </w:r>
            <w:r>
              <w:br/>
              <w:t>for tailor-made instruments, without the need for notification duty;</w:t>
            </w:r>
          </w:p>
          <w:p w:rsidR="00065632" w:rsidRPr="00682752" w:rsidRDefault="00065632" w:rsidP="00065632">
            <w:pPr>
              <w:pStyle w:val="Odstavecseseznamem"/>
              <w:numPr>
                <w:ilvl w:val="0"/>
                <w:numId w:val="19"/>
              </w:numPr>
              <w:spacing w:after="0"/>
              <w:ind w:left="723"/>
            </w:pPr>
            <w:r>
              <w:t>The output policy and the closing of instrument/fund are described on a very general basis although this is one of the key items to be specified by MA prior to the initiation of the selection of manager and prior to the establishment of instruments/funds;</w:t>
            </w:r>
          </w:p>
          <w:p w:rsidR="00065632" w:rsidRPr="00682752" w:rsidRDefault="00065632" w:rsidP="00065632">
            <w:pPr>
              <w:pStyle w:val="Odstavecseseznamem"/>
              <w:numPr>
                <w:ilvl w:val="0"/>
                <w:numId w:val="19"/>
              </w:numPr>
              <w:spacing w:after="0"/>
              <w:ind w:left="723"/>
            </w:pPr>
            <w:r>
              <w:t>The methodology does not elaborate the details to the possibility of setting the combined/shared implementation structures and possible constraint such as split of decision-making powers, ownerships and setting of financial flows for the cases where one instrument/fund is used by more than one MA at once;</w:t>
            </w:r>
          </w:p>
          <w:p w:rsidR="00065632" w:rsidRPr="00682752" w:rsidRDefault="00065632" w:rsidP="00065632">
            <w:pPr>
              <w:pStyle w:val="Odstavecseseznamem"/>
              <w:numPr>
                <w:ilvl w:val="0"/>
                <w:numId w:val="19"/>
              </w:numPr>
              <w:spacing w:after="0"/>
              <w:ind w:left="723"/>
            </w:pPr>
            <w:r>
              <w:t>The methodology does not elaborate the conditions and possibilities of combining the grant aid and the aid through financial instruments.</w:t>
            </w:r>
          </w:p>
        </w:tc>
        <w:tc>
          <w:tcPr>
            <w:tcW w:w="1813" w:type="pct"/>
            <w:shd w:val="clear" w:color="auto" w:fill="FFFFFF"/>
          </w:tcPr>
          <w:p w:rsidR="00065632" w:rsidRPr="00682752" w:rsidRDefault="00065632" w:rsidP="00693AAF">
            <w:pPr>
              <w:spacing w:after="0"/>
            </w:pPr>
            <w:r>
              <w:lastRenderedPageBreak/>
              <w:t xml:space="preserve">The Contractor recommends </w:t>
            </w:r>
            <w:proofErr w:type="gramStart"/>
            <w:r>
              <w:t>the that</w:t>
            </w:r>
            <w:proofErr w:type="gramEnd"/>
            <w:r>
              <w:t xml:space="preserve"> the managing authority consult the above areas as well as the conclusions of the ex-ante assessment (as required by the </w:t>
            </w:r>
            <w:r>
              <w:lastRenderedPageBreak/>
              <w:t>methodology) with MRD-NCA and PCA. In the event of the absence of the clarification of several questions at the national level, the Contractor recommends formulating and presenting the questions directly to the European Commission.</w:t>
            </w:r>
          </w:p>
        </w:tc>
      </w:tr>
      <w:tr w:rsidR="00065632" w:rsidRPr="00682752">
        <w:tc>
          <w:tcPr>
            <w:tcW w:w="170" w:type="pct"/>
            <w:shd w:val="clear" w:color="auto" w:fill="FFFFFF"/>
          </w:tcPr>
          <w:p w:rsidR="00065632" w:rsidRPr="00693AAF" w:rsidRDefault="00065632" w:rsidP="00693AAF">
            <w:pPr>
              <w:spacing w:after="0"/>
              <w:jc w:val="left"/>
              <w:rPr>
                <w:b/>
                <w:bCs/>
              </w:rPr>
            </w:pPr>
            <w:r w:rsidRPr="00693AAF">
              <w:rPr>
                <w:b/>
                <w:bCs/>
              </w:rPr>
              <w:lastRenderedPageBreak/>
              <w:t>5</w:t>
            </w:r>
          </w:p>
        </w:tc>
        <w:tc>
          <w:tcPr>
            <w:tcW w:w="901" w:type="pct"/>
            <w:shd w:val="clear" w:color="auto" w:fill="FFFFFF"/>
          </w:tcPr>
          <w:p w:rsidR="00065632" w:rsidRPr="00693AAF" w:rsidRDefault="00065632" w:rsidP="00693AAF">
            <w:pPr>
              <w:spacing w:after="0"/>
              <w:jc w:val="left"/>
              <w:rPr>
                <w:b/>
                <w:bCs/>
              </w:rPr>
            </w:pPr>
            <w:r w:rsidRPr="00693AAF">
              <w:rPr>
                <w:b/>
                <w:bCs/>
              </w:rPr>
              <w:t>Time constraint – interest shown by MA without any delay to start drawing a new period of time</w:t>
            </w:r>
          </w:p>
        </w:tc>
        <w:tc>
          <w:tcPr>
            <w:tcW w:w="2116" w:type="pct"/>
            <w:shd w:val="clear" w:color="auto" w:fill="FFFFFF"/>
          </w:tcPr>
          <w:p w:rsidR="00065632" w:rsidRPr="00682752" w:rsidRDefault="00065632" w:rsidP="00693AAF">
            <w:pPr>
              <w:spacing w:after="0"/>
            </w:pPr>
            <w:r>
              <w:t xml:space="preserve">A number of managing authorities does not want to wait any longer to start drawing on the funds under the operational programme. It is generally thought that the financial instruments cannot be launched before January 2016, while the subsidies can be probably launched in summer 2015. </w:t>
            </w:r>
          </w:p>
          <w:p w:rsidR="00065632" w:rsidRPr="00693AAF" w:rsidRDefault="00065632" w:rsidP="00693AAF">
            <w:pPr>
              <w:spacing w:after="0"/>
              <w:rPr>
                <w:i/>
                <w:iCs/>
              </w:rPr>
            </w:pPr>
            <w:r>
              <w:t>Where MA shows interest in funding the selected areas through IFI, it has no interest in further delaying the launch of calls</w:t>
            </w:r>
            <w:r w:rsidRPr="00693AAF">
              <w:rPr>
                <w:i/>
                <w:iCs/>
              </w:rPr>
              <w:t>.</w:t>
            </w:r>
          </w:p>
          <w:p w:rsidR="00065632" w:rsidRPr="00682752" w:rsidRDefault="00065632" w:rsidP="00693AAF">
            <w:pPr>
              <w:spacing w:after="0"/>
              <w:ind w:left="114"/>
            </w:pPr>
          </w:p>
        </w:tc>
        <w:tc>
          <w:tcPr>
            <w:tcW w:w="1813" w:type="pct"/>
            <w:shd w:val="clear" w:color="auto" w:fill="FFFFFF"/>
          </w:tcPr>
          <w:p w:rsidR="00065632" w:rsidRPr="00682752" w:rsidRDefault="00065632" w:rsidP="00693AAF">
            <w:pPr>
              <w:spacing w:after="0"/>
            </w:pPr>
            <w:r>
              <w:t>A decision should be adopted at the MA level on the implementation of aid calls in a period prior to the initiation of the implementation of financial instruments and, where appropriate, with regard to the delay in drawing in the relevant areas after putting into place the financial instruments.</w:t>
            </w:r>
          </w:p>
          <w:p w:rsidR="00065632" w:rsidRPr="00682752" w:rsidRDefault="00065632" w:rsidP="00693AAF">
            <w:pPr>
              <w:spacing w:after="0"/>
            </w:pPr>
            <w:r>
              <w:t>As for the launch of aid calls, it is recommended to evaluate the feasibility and associated risks (impact on the absorption, process-administrative risks, etc.).</w:t>
            </w:r>
          </w:p>
          <w:p w:rsidR="00065632" w:rsidRPr="00682752" w:rsidRDefault="00065632" w:rsidP="00693AAF">
            <w:pPr>
              <w:spacing w:after="0"/>
            </w:pPr>
          </w:p>
          <w:p w:rsidR="00065632" w:rsidRPr="00682752" w:rsidRDefault="00065632" w:rsidP="00693AAF">
            <w:pPr>
              <w:spacing w:after="0"/>
            </w:pPr>
            <w:r>
              <w:t xml:space="preserve">The phase of putting the financial instruments into place at the MA level may be accelerated by creating implementation structures for IFI prior to the (possible) </w:t>
            </w:r>
            <w:r>
              <w:lastRenderedPageBreak/>
              <w:t xml:space="preserve">putting into place of the fund of funds at the national level. </w:t>
            </w:r>
          </w:p>
          <w:p w:rsidR="00065632" w:rsidRPr="00682752" w:rsidRDefault="00065632" w:rsidP="00693AAF">
            <w:pPr>
              <w:spacing w:after="0"/>
            </w:pPr>
          </w:p>
          <w:p w:rsidR="00065632" w:rsidRPr="00682752" w:rsidRDefault="00065632" w:rsidP="00693AAF">
            <w:pPr>
              <w:spacing w:after="0"/>
            </w:pPr>
            <w:r>
              <w:t xml:space="preserve">The creation of "roof" structure at the national level may be accelerated by involving EIB. In the event of EIB involvement, the possibility of subsequent transfer to the national entities may be agreed upon. </w:t>
            </w:r>
          </w:p>
          <w:p w:rsidR="00065632" w:rsidRPr="00682752" w:rsidRDefault="00065632" w:rsidP="00693AAF">
            <w:pPr>
              <w:spacing w:after="0"/>
            </w:pPr>
          </w:p>
          <w:p w:rsidR="00065632" w:rsidRPr="00682752" w:rsidRDefault="00065632" w:rsidP="00693AAF">
            <w:pPr>
              <w:spacing w:after="0"/>
            </w:pPr>
            <w:r>
              <w:t>The feasibility of all the above recommendations should be consulted with MRD-NCA and directly with EC, if necessary.</w:t>
            </w:r>
          </w:p>
        </w:tc>
      </w:tr>
      <w:tr w:rsidR="00065632" w:rsidRPr="00682752">
        <w:tc>
          <w:tcPr>
            <w:tcW w:w="170" w:type="pct"/>
            <w:shd w:val="clear" w:color="auto" w:fill="FFFFFF"/>
          </w:tcPr>
          <w:p w:rsidR="00065632" w:rsidRPr="00693AAF" w:rsidRDefault="00065632" w:rsidP="00693AAF">
            <w:pPr>
              <w:spacing w:after="0"/>
              <w:jc w:val="left"/>
              <w:rPr>
                <w:b/>
                <w:bCs/>
              </w:rPr>
            </w:pPr>
            <w:r w:rsidRPr="00693AAF">
              <w:rPr>
                <w:b/>
                <w:bCs/>
              </w:rPr>
              <w:lastRenderedPageBreak/>
              <w:t>6</w:t>
            </w:r>
          </w:p>
        </w:tc>
        <w:tc>
          <w:tcPr>
            <w:tcW w:w="901" w:type="pct"/>
            <w:shd w:val="clear" w:color="auto" w:fill="FFFFFF"/>
          </w:tcPr>
          <w:p w:rsidR="00065632" w:rsidRPr="00693AAF" w:rsidRDefault="00065632" w:rsidP="00693AAF">
            <w:pPr>
              <w:spacing w:after="0"/>
              <w:jc w:val="left"/>
              <w:rPr>
                <w:b/>
                <w:bCs/>
              </w:rPr>
            </w:pPr>
            <w:r w:rsidRPr="00693AAF">
              <w:rPr>
                <w:b/>
                <w:bCs/>
              </w:rPr>
              <w:t>Possible significant reduction in the absorption capacity due to uncontrolled information campaign</w:t>
            </w:r>
          </w:p>
        </w:tc>
        <w:tc>
          <w:tcPr>
            <w:tcW w:w="2116" w:type="pct"/>
            <w:shd w:val="clear" w:color="auto" w:fill="FFFFFF"/>
          </w:tcPr>
          <w:p w:rsidR="00065632" w:rsidRPr="00682752" w:rsidRDefault="00065632" w:rsidP="00693AAF">
            <w:pPr>
              <w:spacing w:after="0"/>
            </w:pPr>
            <w:r>
              <w:t xml:space="preserve"> Due to applicant concerns about the new and unknown method of funding in combination with possible advantage compared to the purely subsidy-based funding, there is a risk of decrease in absorption capacity.  </w:t>
            </w:r>
          </w:p>
          <w:p w:rsidR="00065632" w:rsidRPr="00682752" w:rsidRDefault="00065632" w:rsidP="00693AAF">
            <w:pPr>
              <w:spacing w:after="0"/>
              <w:ind w:left="255"/>
            </w:pPr>
          </w:p>
        </w:tc>
        <w:tc>
          <w:tcPr>
            <w:tcW w:w="1813" w:type="pct"/>
            <w:shd w:val="clear" w:color="auto" w:fill="FFFFFF"/>
          </w:tcPr>
          <w:p w:rsidR="00065632" w:rsidRPr="00682752" w:rsidRDefault="00065632" w:rsidP="00693AAF">
            <w:pPr>
              <w:spacing w:after="0"/>
            </w:pPr>
            <w:r>
              <w:t>MA can successfully limit the effect of the downturn in aid demand by implementing systematic awareness-raising and targeted information campaign, targeted on potential applicants involved. The positive impact of PR activities may be strengthened by coordinating the activities across the managing authorities planning the implementation of FI with the concurrent intensive aid by MRD-NCA. The implementation of information campaign should be addressed well – at least half-year – in advance prior to the launch of calls in the form of financial instruments.</w:t>
            </w:r>
          </w:p>
          <w:p w:rsidR="00065632" w:rsidRPr="00682752" w:rsidRDefault="00065632" w:rsidP="00693AAF">
            <w:pPr>
              <w:spacing w:after="0"/>
            </w:pPr>
          </w:p>
          <w:p w:rsidR="00065632" w:rsidRPr="00682752" w:rsidRDefault="00065632" w:rsidP="00693AAF">
            <w:pPr>
              <w:spacing w:after="0"/>
            </w:pPr>
            <w:r>
              <w:t xml:space="preserve">The Contractor recommends to systematically </w:t>
            </w:r>
            <w:proofErr w:type="gramStart"/>
            <w:r>
              <w:t>manage</w:t>
            </w:r>
            <w:proofErr w:type="gramEnd"/>
            <w:r>
              <w:t xml:space="preserve"> risks associated with the putting into place innovative financial instruments and setting of mechanisms in case of failure. Solution options in case of end-applicant resistance and occurrence of risk of not drawing the allocation, the Contractor recommends to consult MRD-NCA or representatives of the Commission, if necessary.</w:t>
            </w:r>
          </w:p>
        </w:tc>
      </w:tr>
      <w:tr w:rsidR="00065632" w:rsidRPr="00682752">
        <w:tc>
          <w:tcPr>
            <w:tcW w:w="170" w:type="pct"/>
            <w:shd w:val="clear" w:color="auto" w:fill="FFFFFF"/>
          </w:tcPr>
          <w:p w:rsidR="00065632" w:rsidRPr="00693AAF" w:rsidRDefault="00065632" w:rsidP="00693AAF">
            <w:pPr>
              <w:spacing w:after="0"/>
              <w:jc w:val="left"/>
              <w:rPr>
                <w:b/>
                <w:bCs/>
              </w:rPr>
            </w:pPr>
            <w:r w:rsidRPr="00693AAF">
              <w:rPr>
                <w:b/>
                <w:bCs/>
              </w:rPr>
              <w:t>7</w:t>
            </w:r>
          </w:p>
        </w:tc>
        <w:tc>
          <w:tcPr>
            <w:tcW w:w="901" w:type="pct"/>
            <w:shd w:val="clear" w:color="auto" w:fill="FFFFFF"/>
          </w:tcPr>
          <w:p w:rsidR="00065632" w:rsidRPr="00693AAF" w:rsidRDefault="00065632" w:rsidP="00693AAF">
            <w:pPr>
              <w:spacing w:after="0"/>
              <w:jc w:val="left"/>
              <w:rPr>
                <w:b/>
                <w:bCs/>
              </w:rPr>
            </w:pPr>
            <w:r w:rsidRPr="00693AAF">
              <w:rPr>
                <w:b/>
                <w:bCs/>
              </w:rPr>
              <w:t>Inconsistent strategies of thematically related operational programmes and national aids</w:t>
            </w:r>
          </w:p>
        </w:tc>
        <w:tc>
          <w:tcPr>
            <w:tcW w:w="2116" w:type="pct"/>
            <w:shd w:val="clear" w:color="auto" w:fill="FFFFFF"/>
          </w:tcPr>
          <w:p w:rsidR="00065632" w:rsidRPr="00682752" w:rsidRDefault="00065632" w:rsidP="00693AAF">
            <w:pPr>
              <w:spacing w:after="0"/>
            </w:pPr>
            <w:r>
              <w:t xml:space="preserve">Risk of insufficient coordination of the forms of aid for individual operational programmes and national programmes. If this risk is fulfilled, more favourable programmes will "cannibalise" the demand for less favourable programmes, thus failing to draw the allocation of such programmes. </w:t>
            </w:r>
          </w:p>
        </w:tc>
        <w:tc>
          <w:tcPr>
            <w:tcW w:w="1813" w:type="pct"/>
            <w:shd w:val="clear" w:color="auto" w:fill="FFFFFF"/>
          </w:tcPr>
          <w:p w:rsidR="00065632" w:rsidRPr="00682752" w:rsidRDefault="00065632" w:rsidP="00693AAF">
            <w:pPr>
              <w:spacing w:after="0"/>
            </w:pPr>
            <w:r>
              <w:t>In the process of proposing and setting the financial instruments, we recommend a systematic coordinated preparation of financial instruments across the managing authorities and the authorities implementing the national programmes to avoid aid overlap for identical beneficiaries under considerably different conditions.</w:t>
            </w:r>
          </w:p>
        </w:tc>
      </w:tr>
      <w:tr w:rsidR="00065632" w:rsidRPr="00682752">
        <w:tc>
          <w:tcPr>
            <w:tcW w:w="170" w:type="pct"/>
            <w:shd w:val="clear" w:color="auto" w:fill="FFFFFF"/>
          </w:tcPr>
          <w:p w:rsidR="00065632" w:rsidRPr="00693AAF" w:rsidRDefault="00065632" w:rsidP="00693AAF">
            <w:pPr>
              <w:spacing w:after="0"/>
              <w:jc w:val="left"/>
              <w:rPr>
                <w:b/>
                <w:bCs/>
              </w:rPr>
            </w:pPr>
            <w:r w:rsidRPr="00693AAF">
              <w:rPr>
                <w:b/>
                <w:bCs/>
              </w:rPr>
              <w:t>8</w:t>
            </w:r>
          </w:p>
        </w:tc>
        <w:tc>
          <w:tcPr>
            <w:tcW w:w="901" w:type="pct"/>
            <w:shd w:val="clear" w:color="auto" w:fill="FFFFFF"/>
          </w:tcPr>
          <w:p w:rsidR="00065632" w:rsidRPr="00693AAF" w:rsidRDefault="00065632" w:rsidP="00693AAF">
            <w:pPr>
              <w:spacing w:after="0"/>
              <w:jc w:val="left"/>
              <w:rPr>
                <w:b/>
                <w:bCs/>
              </w:rPr>
            </w:pPr>
            <w:r w:rsidRPr="00693AAF">
              <w:rPr>
                <w:b/>
                <w:bCs/>
              </w:rPr>
              <w:t xml:space="preserve">Missing experience of </w:t>
            </w:r>
            <w:r w:rsidRPr="00693AAF">
              <w:rPr>
                <w:b/>
                <w:bCs/>
              </w:rPr>
              <w:lastRenderedPageBreak/>
              <w:t>applicants and risk of the error rate resulting from this</w:t>
            </w:r>
          </w:p>
        </w:tc>
        <w:tc>
          <w:tcPr>
            <w:tcW w:w="2116" w:type="pct"/>
            <w:shd w:val="clear" w:color="auto" w:fill="FFFFFF"/>
          </w:tcPr>
          <w:p w:rsidR="00065632" w:rsidRPr="00682752" w:rsidRDefault="00065632" w:rsidP="00693AAF">
            <w:pPr>
              <w:spacing w:after="0"/>
            </w:pPr>
            <w:r>
              <w:lastRenderedPageBreak/>
              <w:t xml:space="preserve">Given that the aid through financial instruments will be new for </w:t>
            </w:r>
            <w:r>
              <w:lastRenderedPageBreak/>
              <w:t xml:space="preserve">applicants, there is a risk that they will miss information and a high error rate will occur in individual phases.  </w:t>
            </w:r>
          </w:p>
        </w:tc>
        <w:tc>
          <w:tcPr>
            <w:tcW w:w="1813" w:type="pct"/>
            <w:shd w:val="clear" w:color="auto" w:fill="FFFFFF"/>
          </w:tcPr>
          <w:p w:rsidR="00065632" w:rsidRPr="00682752" w:rsidRDefault="00065632" w:rsidP="00693AAF">
            <w:pPr>
              <w:spacing w:after="0"/>
            </w:pPr>
            <w:r>
              <w:lastRenderedPageBreak/>
              <w:t xml:space="preserve">The Contractor recommends the managing authority to set </w:t>
            </w:r>
            <w:r>
              <w:lastRenderedPageBreak/>
              <w:t>comprehensive and exhaustive Rules for applicants governing the procedures for granting the aid through financial instruments. At the same time, the Contractor recommends to implement a systematic information campaign on the possibilities and conditions for the use of funding through financial instruments and to ensure a systematic support for the applicants in all phases of drawing the financial instrument. Experience from provision of aid under the JESSICA programme can be applied with regard to the IROP focus.</w:t>
            </w:r>
          </w:p>
        </w:tc>
      </w:tr>
      <w:tr w:rsidR="00065632" w:rsidRPr="00682752">
        <w:tc>
          <w:tcPr>
            <w:tcW w:w="170" w:type="pct"/>
            <w:shd w:val="clear" w:color="auto" w:fill="FFFFFF"/>
          </w:tcPr>
          <w:p w:rsidR="00065632" w:rsidRPr="00693AAF" w:rsidRDefault="00065632" w:rsidP="00693AAF">
            <w:pPr>
              <w:spacing w:after="0"/>
              <w:jc w:val="left"/>
              <w:rPr>
                <w:b/>
                <w:bCs/>
              </w:rPr>
            </w:pPr>
            <w:r w:rsidRPr="00693AAF">
              <w:rPr>
                <w:b/>
                <w:bCs/>
              </w:rPr>
              <w:lastRenderedPageBreak/>
              <w:t>9</w:t>
            </w:r>
          </w:p>
        </w:tc>
        <w:tc>
          <w:tcPr>
            <w:tcW w:w="901" w:type="pct"/>
            <w:shd w:val="clear" w:color="auto" w:fill="FFFFFF"/>
          </w:tcPr>
          <w:p w:rsidR="00065632" w:rsidRPr="00693AAF" w:rsidRDefault="00065632" w:rsidP="00693AAF">
            <w:pPr>
              <w:spacing w:after="0"/>
              <w:jc w:val="left"/>
              <w:rPr>
                <w:b/>
                <w:bCs/>
              </w:rPr>
            </w:pPr>
            <w:r w:rsidRPr="00693AAF">
              <w:rPr>
                <w:b/>
                <w:bCs/>
              </w:rPr>
              <w:t>Risk of errors on the part of entities implementing financial instruments</w:t>
            </w:r>
          </w:p>
        </w:tc>
        <w:tc>
          <w:tcPr>
            <w:tcW w:w="2116" w:type="pct"/>
            <w:shd w:val="clear" w:color="auto" w:fill="FFFFFF"/>
          </w:tcPr>
          <w:p w:rsidR="00065632" w:rsidRPr="00682752" w:rsidRDefault="00065632" w:rsidP="00693AAF">
            <w:pPr>
              <w:spacing w:after="0"/>
            </w:pPr>
            <w:r>
              <w:t>As in the case of applicants, the provision of financial instruments will be new also for the entities of the implementation structure (MA, ZS, newly involved entities); a higher error rate may be also expected on their part and, where appropriate, time necessary for individual activities longer than in case of the implemented system of the granting of subsidies.</w:t>
            </w:r>
          </w:p>
        </w:tc>
        <w:tc>
          <w:tcPr>
            <w:tcW w:w="1813" w:type="pct"/>
            <w:shd w:val="clear" w:color="auto" w:fill="FFFFFF"/>
          </w:tcPr>
          <w:p w:rsidR="00065632" w:rsidRPr="00682752" w:rsidRDefault="00065632" w:rsidP="00693AAF">
            <w:pPr>
              <w:spacing w:after="0"/>
            </w:pPr>
            <w:r>
              <w:t xml:space="preserve">Consistent process and organization setting on the part of entities implementing financial instruments in the preparatory phase prior to the introduction of financial instrument. </w:t>
            </w:r>
          </w:p>
          <w:p w:rsidR="00065632" w:rsidRPr="00682752" w:rsidRDefault="00065632" w:rsidP="00693AAF">
            <w:pPr>
              <w:spacing w:after="0"/>
            </w:pPr>
            <w:r>
              <w:t>Maximum use of existing processes and structures (in the case of IROP, consult or use SFHD), or use an experienced partner – e.g. EIB/EIF.</w:t>
            </w:r>
          </w:p>
          <w:p w:rsidR="00065632" w:rsidRPr="00682752" w:rsidRDefault="00065632" w:rsidP="00693AAF">
            <w:pPr>
              <w:spacing w:after="0"/>
            </w:pPr>
            <w:r>
              <w:t>Consistent training and awareness for the staff of entities of the implementation structure.</w:t>
            </w:r>
          </w:p>
        </w:tc>
      </w:tr>
      <w:tr w:rsidR="00065632" w:rsidRPr="00682752">
        <w:tc>
          <w:tcPr>
            <w:tcW w:w="170" w:type="pct"/>
            <w:shd w:val="clear" w:color="auto" w:fill="FFFFFF"/>
          </w:tcPr>
          <w:p w:rsidR="00065632" w:rsidRPr="00693AAF" w:rsidRDefault="00065632" w:rsidP="00693AAF">
            <w:pPr>
              <w:spacing w:after="0"/>
              <w:jc w:val="left"/>
              <w:rPr>
                <w:b/>
                <w:bCs/>
              </w:rPr>
            </w:pPr>
            <w:r w:rsidRPr="00693AAF">
              <w:rPr>
                <w:b/>
                <w:bCs/>
              </w:rPr>
              <w:t>10</w:t>
            </w:r>
          </w:p>
        </w:tc>
        <w:tc>
          <w:tcPr>
            <w:tcW w:w="901" w:type="pct"/>
            <w:shd w:val="clear" w:color="auto" w:fill="FFFFFF"/>
          </w:tcPr>
          <w:p w:rsidR="00065632" w:rsidRPr="00693AAF" w:rsidRDefault="00065632" w:rsidP="00693AAF">
            <w:pPr>
              <w:spacing w:after="0"/>
              <w:jc w:val="left"/>
              <w:rPr>
                <w:b/>
                <w:bCs/>
              </w:rPr>
            </w:pPr>
            <w:r w:rsidRPr="00693AAF">
              <w:rPr>
                <w:b/>
                <w:bCs/>
              </w:rPr>
              <w:t>What are the possibilities of providing IFIs and what are its sub-components of classical subsidy?</w:t>
            </w:r>
          </w:p>
        </w:tc>
        <w:tc>
          <w:tcPr>
            <w:tcW w:w="2116" w:type="pct"/>
            <w:shd w:val="clear" w:color="auto" w:fill="FFFFFF"/>
          </w:tcPr>
          <w:p w:rsidR="00065632" w:rsidRPr="00682752" w:rsidRDefault="00065632" w:rsidP="00693AAF">
            <w:pPr>
              <w:spacing w:after="0"/>
              <w:ind w:left="14"/>
            </w:pPr>
            <w:r>
              <w:t>According to the preliminary statement of the European Commission to the question raised through MRD-NCA, it is obvious that where the subsidy will be used along with the financial instrument, it will be mandatory to charge and report such aid as two operations, i.e. the different purpose of granting the aid must be distinguished. Clarification should be provided by issue of a guidance note, which should be, according to unofficial information, completed and published at the turn of March/April 2015.</w:t>
            </w:r>
          </w:p>
        </w:tc>
        <w:tc>
          <w:tcPr>
            <w:tcW w:w="1813" w:type="pct"/>
            <w:shd w:val="clear" w:color="auto" w:fill="FFFFFF"/>
          </w:tcPr>
          <w:p w:rsidR="00065632" w:rsidRPr="00682752" w:rsidRDefault="00065632" w:rsidP="00693AAF">
            <w:pPr>
              <w:spacing w:after="0"/>
            </w:pPr>
            <w:r>
              <w:t>The Contractor recommends that MA waits for the guidance note; if still in doubt, obtain the clear opinion from MRD-NCA, ÚOHS and the Commission, if necessary.</w:t>
            </w:r>
          </w:p>
          <w:p w:rsidR="00065632" w:rsidRPr="00682752" w:rsidRDefault="00065632" w:rsidP="00693AAF">
            <w:pPr>
              <w:spacing w:after="0"/>
            </w:pPr>
          </w:p>
          <w:p w:rsidR="00065632" w:rsidRPr="00682752" w:rsidRDefault="00065632" w:rsidP="00693AAF">
            <w:pPr>
              <w:spacing w:after="0"/>
            </w:pPr>
          </w:p>
        </w:tc>
      </w:tr>
      <w:tr w:rsidR="00065632" w:rsidRPr="00682752">
        <w:tc>
          <w:tcPr>
            <w:tcW w:w="170" w:type="pct"/>
            <w:shd w:val="clear" w:color="auto" w:fill="FFFFFF"/>
          </w:tcPr>
          <w:p w:rsidR="00065632" w:rsidRPr="00693AAF" w:rsidRDefault="00065632" w:rsidP="00693AAF">
            <w:pPr>
              <w:spacing w:after="0"/>
              <w:jc w:val="left"/>
              <w:rPr>
                <w:b/>
                <w:bCs/>
              </w:rPr>
            </w:pPr>
            <w:r w:rsidRPr="00693AAF">
              <w:rPr>
                <w:b/>
                <w:bCs/>
              </w:rPr>
              <w:t>11</w:t>
            </w:r>
          </w:p>
        </w:tc>
        <w:tc>
          <w:tcPr>
            <w:tcW w:w="901" w:type="pct"/>
            <w:shd w:val="clear" w:color="auto" w:fill="FFFFFF"/>
          </w:tcPr>
          <w:p w:rsidR="00065632" w:rsidRPr="00693AAF" w:rsidRDefault="00065632" w:rsidP="00693AAF">
            <w:pPr>
              <w:spacing w:after="0"/>
              <w:jc w:val="left"/>
              <w:rPr>
                <w:b/>
                <w:bCs/>
              </w:rPr>
            </w:pPr>
            <w:r w:rsidRPr="00693AAF">
              <w:rPr>
                <w:b/>
                <w:bCs/>
              </w:rPr>
              <w:t>Issuing bonds</w:t>
            </w:r>
          </w:p>
        </w:tc>
        <w:tc>
          <w:tcPr>
            <w:tcW w:w="2116" w:type="pct"/>
            <w:shd w:val="clear" w:color="auto" w:fill="FFFFFF"/>
          </w:tcPr>
          <w:p w:rsidR="00065632" w:rsidRPr="00682752" w:rsidRDefault="00065632" w:rsidP="00693AAF">
            <w:pPr>
              <w:spacing w:after="0"/>
              <w:ind w:left="14"/>
            </w:pPr>
            <w:r>
              <w:t>Are there any constraints on how the ESIF resources in IFIs can be used for leveraging through issuing bonds by their managing fund?</w:t>
            </w:r>
          </w:p>
        </w:tc>
        <w:tc>
          <w:tcPr>
            <w:tcW w:w="1813" w:type="pct"/>
            <w:shd w:val="clear" w:color="auto" w:fill="FFFFFF"/>
          </w:tcPr>
          <w:p w:rsidR="00065632" w:rsidRPr="00682752" w:rsidRDefault="00065632" w:rsidP="00693AAF">
            <w:pPr>
              <w:spacing w:after="0"/>
            </w:pPr>
            <w:r>
              <w:t>The Contractor recommends that MA obtain a clear opinion from MRD-NCA, OPC, or the Commission.</w:t>
            </w:r>
          </w:p>
        </w:tc>
      </w:tr>
    </w:tbl>
    <w:p w:rsidR="00065632" w:rsidRPr="00682752" w:rsidRDefault="00065632" w:rsidP="009217C2">
      <w:pPr>
        <w:pStyle w:val="Titulek"/>
      </w:pPr>
      <w:bookmarkStart w:id="162" w:name="_Toc417655509"/>
      <w:bookmarkStart w:id="163" w:name="_Toc426033920"/>
      <w:r>
        <w:t xml:space="preserve">Table </w:t>
      </w:r>
      <w:r w:rsidRPr="00682752">
        <w:fldChar w:fldCharType="begin"/>
      </w:r>
      <w:r w:rsidRPr="00682752">
        <w:instrText xml:space="preserve"> SEQ Tabulka \* ARABIC </w:instrText>
      </w:r>
      <w:r w:rsidRPr="00682752">
        <w:fldChar w:fldCharType="separate"/>
      </w:r>
      <w:r w:rsidRPr="00682752">
        <w:rPr>
          <w:noProof/>
        </w:rPr>
        <w:t>11</w:t>
      </w:r>
      <w:r w:rsidRPr="00682752">
        <w:fldChar w:fldCharType="end"/>
      </w:r>
      <w:r>
        <w:t>: Overview of constraints and open questions restricting the level of detail of the ex-ante assessment</w:t>
      </w:r>
      <w:bookmarkEnd w:id="162"/>
      <w:bookmarkEnd w:id="163"/>
    </w:p>
    <w:p w:rsidR="00065632" w:rsidRPr="00682752" w:rsidRDefault="00065632">
      <w:pPr>
        <w:spacing w:after="0"/>
        <w:jc w:val="left"/>
        <w:sectPr w:rsidR="00065632" w:rsidRPr="00682752" w:rsidSect="00F6327E">
          <w:footerReference w:type="default" r:id="rId33"/>
          <w:pgSz w:w="16838" w:h="11906" w:orient="landscape" w:code="9"/>
          <w:pgMar w:top="1418" w:right="1418" w:bottom="1418" w:left="1418" w:header="709" w:footer="709" w:gutter="0"/>
          <w:paperSrc w:first="15" w:other="15"/>
          <w:cols w:space="708"/>
          <w:docGrid w:linePitch="360"/>
        </w:sectPr>
      </w:pPr>
      <w:r>
        <w:t>In addition to the above risks and barriers, the Contractor separately specifies the identified possible barriers of legislative character:</w:t>
      </w:r>
    </w:p>
    <w:p w:rsidR="00065632" w:rsidRPr="00682752" w:rsidRDefault="00065632" w:rsidP="005C7438">
      <w:pPr>
        <w:pStyle w:val="CaptionIntroductionparagraph"/>
      </w:pPr>
      <w:bookmarkStart w:id="164" w:name="_Toc400580841"/>
      <w:bookmarkStart w:id="165" w:name="_Toc409637247"/>
      <w:r>
        <w:lastRenderedPageBreak/>
        <w:t>Restrictions associated with Act No. 218/2000 Sb., on budgetary rules</w:t>
      </w:r>
    </w:p>
    <w:p w:rsidR="00065632" w:rsidRPr="00682752" w:rsidRDefault="00065632" w:rsidP="0036274B">
      <w:pPr>
        <w:spacing w:after="0"/>
        <w:ind w:left="14"/>
      </w:pPr>
      <w:r>
        <w:t xml:space="preserve">The current version of the act on budgetary rules does not allow transfer of operational programme funds to the manager of a financial instrument in a returnable form; currently it is only possible to provide funds through a subsidy (grant decision), i.e. the transferee entirely decides on their use (limited by a delegation or other agreement) and </w:t>
      </w:r>
      <w:proofErr w:type="spellStart"/>
      <w:r>
        <w:t>their are</w:t>
      </w:r>
      <w:proofErr w:type="spellEnd"/>
      <w:r>
        <w:t xml:space="preserve"> owned by the transferee. The law is being amended and discussion is held which would allow a change in the direction usual in other countries which already have more experience with provision of aid through financial instruments. A suitable form would be insertion of special state budget expenditure under section 7 of Act No. 218/2000 Sb, namely "expenditure for deposit to a financial instrument", with a reference to the Common Provisions Regulation (as a directly applicable EU regulation).</w:t>
      </w:r>
    </w:p>
    <w:p w:rsidR="00065632" w:rsidRPr="00682752" w:rsidRDefault="00065632" w:rsidP="0036274B">
      <w:pPr>
        <w:spacing w:after="0"/>
        <w:ind w:left="14"/>
      </w:pPr>
    </w:p>
    <w:p w:rsidR="00065632" w:rsidRPr="00682752" w:rsidRDefault="00065632" w:rsidP="0036274B">
      <w:pPr>
        <w:spacing w:after="0"/>
        <w:ind w:left="14"/>
        <w:rPr>
          <w:b/>
          <w:bCs/>
        </w:rPr>
      </w:pPr>
      <w:r>
        <w:t xml:space="preserve">If the amended provision is introduced, funds would again be transferred outside the reach of the managing authority, however, this time it would be a "trust" form and the managing authority would have final decision-making power over the returned funds. The Contractor recommends that the managing authority support this change during inter-ministerial discussion of the act in consideration as this change would allow for an easier, more transparent and more efficient manner of management of resources, which will be made through functioning of a returnable form of aid, in the case of IROP of a loan character. </w:t>
      </w:r>
      <w:r>
        <w:rPr>
          <w:b/>
          <w:bCs/>
        </w:rPr>
        <w:t>Attention should be paid mainly to the particular form of the new provision to avoid only half-way solution, i.e. funds were "entrusted" to the financial instrument manager, but it is not possible to reclaim them and decide on them.</w:t>
      </w:r>
      <w:r>
        <w:t xml:space="preserve"> </w:t>
      </w:r>
      <w:r>
        <w:rPr>
          <w:b/>
          <w:bCs/>
        </w:rPr>
        <w:t>To mitigate the risks arising from the fact that this is management of the Commission budget resources, it would be advisable to seek a final form of the amendment which does not pose a threat of future corrections due to incorrect implementation of IFIs in the CR.</w:t>
      </w:r>
    </w:p>
    <w:p w:rsidR="00065632" w:rsidRPr="00682752" w:rsidRDefault="00065632" w:rsidP="0036274B">
      <w:pPr>
        <w:spacing w:after="0"/>
        <w:ind w:left="14"/>
      </w:pPr>
    </w:p>
    <w:p w:rsidR="00065632" w:rsidRPr="00682752" w:rsidRDefault="00065632" w:rsidP="0036274B">
      <w:pPr>
        <w:spacing w:after="0"/>
      </w:pPr>
      <w:r>
        <w:t>A statutory limitation is also the fact that state organisation units may not, under section 49 of Act no. 218/2000 Sb., provide loans. This provision in facts eliminates the possibility to use the implementation arrangement under Art. 38(4</w:t>
      </w:r>
      <w:proofErr w:type="gramStart"/>
      <w:r>
        <w:t>)(</w:t>
      </w:r>
      <w:proofErr w:type="gramEnd"/>
      <w:r>
        <w:t>c) of the Common Provisions Regulation. Specifically, in this case the ministry would have to create an independent entity to allow for performance of financial instrument management, which eliminates the advantage "MA managing alone", or the advantage of utilisation of existing public institutions.</w:t>
      </w:r>
    </w:p>
    <w:p w:rsidR="00065632" w:rsidRPr="00682752" w:rsidRDefault="00065632" w:rsidP="005C7438">
      <w:pPr>
        <w:pStyle w:val="CaptionIntroductionparagraph"/>
      </w:pPr>
    </w:p>
    <w:p w:rsidR="00065632" w:rsidRPr="00682752" w:rsidRDefault="00065632" w:rsidP="005C7438">
      <w:pPr>
        <w:pStyle w:val="CaptionIntroductionparagraph"/>
      </w:pPr>
      <w:r>
        <w:t>Restrictions associated with Act No. 137/2006 Sb., on public procurement</w:t>
      </w:r>
    </w:p>
    <w:p w:rsidR="00065632" w:rsidRPr="00682752" w:rsidRDefault="00065632" w:rsidP="0036274B">
      <w:pPr>
        <w:spacing w:after="0"/>
        <w:ind w:left="14"/>
      </w:pPr>
      <w:r>
        <w:t>In preparing the implementation structure, it is necessary to decide whether the implementation tasks associated with operation of the financial instrument are to be carried out by the managing authority itself, whether they will be entrusted to a suitable international institution (EIB/EIF) or whether a national entity governed by public or private law will be selected. As regards selection of a national public-law entity, three possible options were analyses – entrusting the acts to the CMZRB, SEF or SFHD.</w:t>
      </w:r>
    </w:p>
    <w:p w:rsidR="00065632" w:rsidRPr="00682752" w:rsidRDefault="00065632" w:rsidP="0036274B">
      <w:pPr>
        <w:spacing w:after="0"/>
        <w:ind w:left="14"/>
      </w:pPr>
    </w:p>
    <w:p w:rsidR="00065632" w:rsidRPr="00682752" w:rsidRDefault="00065632" w:rsidP="0036274B">
      <w:pPr>
        <w:spacing w:after="0"/>
        <w:ind w:left="14"/>
      </w:pPr>
      <w:r>
        <w:t>The option with involvement of the State Fund for Housing Infrastructure was identified by the Contractor as the best option in terms of who could carry out the implementation tasks associated with ensuring the financial instrument operation. This institution, in addition to advantages and disadvantages analyses previously in chapter 5.1.4, can, due to the fact it is a legal entity fully controlled by the State and under the responsibility of the Ministry of Regional Development of the CR, be selected without a need for a tender.</w:t>
      </w:r>
    </w:p>
    <w:p w:rsidR="00065632" w:rsidRPr="00682752" w:rsidRDefault="00065632" w:rsidP="0036274B">
      <w:pPr>
        <w:spacing w:after="0"/>
        <w:ind w:left="14"/>
      </w:pPr>
    </w:p>
    <w:p w:rsidR="00065632" w:rsidRPr="00682752" w:rsidRDefault="00065632" w:rsidP="0036274B">
      <w:pPr>
        <w:spacing w:after="0"/>
        <w:ind w:left="14"/>
      </w:pPr>
      <w:r>
        <w:t>As regards the applicability of the law, it is important to pay increased attention to rights and obligations which must be observed by the managing authority or the financial instrument manager in case it seeks to implement the recommended option of instrument No. 1, which envisages an open framework cooperation with several complying entities in the role of the co-financing entity. The proposed concept of framework cooperation with several banking houses simultaneously is a previously tested model of use of loan financial instruments in Great Britain. If fundamental conditions are set which in case of being met openly allow cooperation of all banks on the provision of soft loans under identical conditions, it is not necessary to comply with the Public Procurement Act. The principle of provision of aid through building savings works by analogy: the State adds contributions directly to natural persons but through accounts of building savings societies (although there is special legislation on this form of aid).</w:t>
      </w:r>
    </w:p>
    <w:p w:rsidR="00065632" w:rsidRPr="00682752" w:rsidRDefault="00065632" w:rsidP="0036274B">
      <w:pPr>
        <w:spacing w:after="0"/>
        <w:ind w:left="14"/>
      </w:pPr>
    </w:p>
    <w:p w:rsidR="00065632" w:rsidRPr="00682752" w:rsidRDefault="00065632" w:rsidP="0036274B">
      <w:pPr>
        <w:spacing w:after="0"/>
        <w:ind w:left="14"/>
      </w:pPr>
      <w:r>
        <w:t xml:space="preserve">Despite the above experience with similar operation of building savings, the concept is still a somewhat innovative approach, mainly in terms of involved financial resources (volumes in CZK billions). </w:t>
      </w:r>
      <w:r>
        <w:rPr>
          <w:b/>
          <w:bCs/>
        </w:rPr>
        <w:t>With regard to the fact that the Public Procurement Act does not explicitly prohibit or allow this procedure, preliminary consultations with the Office for the Protection of Competition should be sought</w:t>
      </w:r>
      <w:r>
        <w:t xml:space="preserve">. The </w:t>
      </w:r>
      <w:r>
        <w:lastRenderedPageBreak/>
        <w:t>Contractor verified the validity of the aforementioned concept through a judicial decision in a similar situation, when the prerequisites of possible operation of a given model were carried forth without the need to implement concession proceedings. However, to ensure full legal certainty, the Contractor recommends entering into preliminary consultation on the topic with the Office.</w:t>
      </w:r>
    </w:p>
    <w:p w:rsidR="00065632" w:rsidRPr="00682752" w:rsidRDefault="00065632" w:rsidP="0036274B">
      <w:pPr>
        <w:spacing w:after="0"/>
        <w:ind w:left="14"/>
      </w:pPr>
    </w:p>
    <w:p w:rsidR="00065632" w:rsidRDefault="00065632" w:rsidP="0036274B">
      <w:pPr>
        <w:spacing w:after="0"/>
        <w:ind w:left="14"/>
      </w:pPr>
      <w:r>
        <w:t>Finally, it should be noted yet another area of the law applicability which directly influences the draft financial instrument – the current version of the law lays down an obligation of public bodies to select the provider of a financial service through a tender procedure in the case that defined thresholds have been exceeded. However, this area of law is discussed in the preparation of the amendment, and it follows from current discussions that this obligation will be removed with the applicability of the new law (the new law is expected to enter into effect on 1 April 2016), i.e. this restriction should not apply to the financial instrument which is being prepared within IROP. In effect, this is a significant simplification because beneficiaries will no longer need to tender suppliers (this obligation does not follows from EU regulations for financial instruments), and it will therefore be able to go much faster through the entire process of aid granting, i.e. the process from application submission to project completion, in comparison with procedures applicable to subsidy-based financing.</w:t>
      </w:r>
    </w:p>
    <w:p w:rsidR="00065632" w:rsidRDefault="00065632" w:rsidP="0036274B">
      <w:pPr>
        <w:spacing w:after="0"/>
        <w:jc w:val="left"/>
      </w:pPr>
      <w:r>
        <w:br w:type="page"/>
      </w:r>
    </w:p>
    <w:p w:rsidR="00065632" w:rsidRDefault="00065632" w:rsidP="00A40D00">
      <w:pPr>
        <w:pStyle w:val="Nadpis2"/>
      </w:pPr>
      <w:bookmarkStart w:id="166" w:name="_Toc418767157"/>
      <w:bookmarkStart w:id="167" w:name="_Toc426033667"/>
      <w:r>
        <w:lastRenderedPageBreak/>
        <w:t>Proposed investment strategy</w:t>
      </w:r>
      <w:bookmarkEnd w:id="164"/>
      <w:bookmarkEnd w:id="165"/>
      <w:bookmarkEnd w:id="166"/>
      <w:bookmarkEnd w:id="167"/>
    </w:p>
    <w:p w:rsidR="00065632" w:rsidRDefault="00065632" w:rsidP="00A40D00">
      <w:pPr>
        <w:pStyle w:val="Nadpis3"/>
      </w:pPr>
      <w:bookmarkStart w:id="168" w:name="_Toc400580842"/>
      <w:bookmarkStart w:id="169" w:name="_Toc409637248"/>
      <w:bookmarkStart w:id="170" w:name="_Toc418767158"/>
      <w:bookmarkStart w:id="171" w:name="_Toc426033668"/>
      <w:r>
        <w:t>Description of the original situation</w:t>
      </w:r>
      <w:bookmarkEnd w:id="168"/>
      <w:bookmarkEnd w:id="169"/>
      <w:bookmarkEnd w:id="170"/>
      <w:bookmarkEnd w:id="171"/>
    </w:p>
    <w:p w:rsidR="00065632" w:rsidRDefault="00065632" w:rsidP="0034783B">
      <w:pPr>
        <w:rPr>
          <w:b/>
          <w:bCs/>
        </w:rPr>
      </w:pPr>
      <w:r>
        <w:t xml:space="preserve">This chapter aims to summarize the basic attributes associated with the setting of the financial instruments proposed in the area of aid for projects of residential buildings energy efficiency, i.e. the only area where the IROP confirmed a market failure and the suitability of the transfer of the subsidy-based scheme to an alternative form. The Contractor elaborated a draft financial instrument, which endeavours to clarify key issues regarding the possibility of its implementation. </w:t>
      </w:r>
      <w:r>
        <w:rPr>
          <w:b/>
          <w:bCs/>
        </w:rPr>
        <w:t>The proposed instrument is tailor-made; the use of model off-the-shelf Commission instruments is not proposed.</w:t>
      </w:r>
    </w:p>
    <w:p w:rsidR="00065632" w:rsidRDefault="00065632" w:rsidP="001B31DC">
      <w:pPr>
        <w:rPr>
          <w:b/>
          <w:bCs/>
        </w:rPr>
      </w:pPr>
      <w:r>
        <w:t xml:space="preserve">In addition, the Contractor of the ex-ante assessment specifies steps which are considered desirable to comply with the objective to attain principles of an optimally functioning market environment in the monitored specific objective IROP 2.5. </w:t>
      </w:r>
      <w:r>
        <w:rPr>
          <w:b/>
          <w:bCs/>
        </w:rPr>
        <w:t xml:space="preserve">The Contractor also gives a brief description of an instrument considered suitable for the correction of market failures in the monitored area – for more details see the chapter in investment strategies. </w:t>
      </w:r>
    </w:p>
    <w:p w:rsidR="00065632" w:rsidRDefault="00065632" w:rsidP="001B31DC">
      <w:r>
        <w:t xml:space="preserve">According to the Contractor's data, allocation of CZK 16.8 billion is earmarked for area of intervention SO 2.5 – provided that </w:t>
      </w:r>
      <w:r>
        <w:rPr>
          <w:b/>
          <w:bCs/>
        </w:rPr>
        <w:t xml:space="preserve">a subsidy is provided under Art. 39 of the GBER with </w:t>
      </w:r>
      <w:proofErr w:type="gramStart"/>
      <w:r>
        <w:rPr>
          <w:b/>
          <w:bCs/>
        </w:rPr>
        <w:t>a maximum</w:t>
      </w:r>
      <w:proofErr w:type="gramEnd"/>
      <w:r>
        <w:rPr>
          <w:b/>
          <w:bCs/>
        </w:rPr>
        <w:t xml:space="preserve"> aid intensity 70%, investments of up to CZK 24 billion can be implemented</w:t>
      </w:r>
      <w:r>
        <w:t>.</w:t>
      </w:r>
      <w:r>
        <w:rPr>
          <w:rStyle w:val="Znakapoznpodarou"/>
          <w:b/>
          <w:bCs/>
        </w:rPr>
        <w:footnoteReference w:id="11"/>
      </w:r>
      <w:r>
        <w:t xml:space="preserve"> If an area is kept in a subsidy-based aid scheme, the volume of generated investments will be considerably lower </w:t>
      </w:r>
      <w:proofErr w:type="spellStart"/>
      <w:r>
        <w:t>that</w:t>
      </w:r>
      <w:proofErr w:type="spellEnd"/>
      <w:r>
        <w:t xml:space="preserve"> the expected total absorption capacity, or the quantified market failure (tens to hundreds of billions CZK).</w:t>
      </w:r>
      <w:r>
        <w:rPr>
          <w:rStyle w:val="Znakapoznpodarou"/>
        </w:rPr>
        <w:footnoteReference w:id="12"/>
      </w:r>
      <w:r>
        <w:t xml:space="preserve"> With regard to the above and with regard to the positive assessment of the economic return (profitability) of the projects considered, the Contractor </w:t>
      </w:r>
      <w:r>
        <w:rPr>
          <w:b/>
          <w:bCs/>
        </w:rPr>
        <w:t>recommends excluding this area from the subsidy-based funding and transferring its allocation into the financial instrument</w:t>
      </w:r>
      <w:r>
        <w:t xml:space="preserve">. </w:t>
      </w:r>
    </w:p>
    <w:p w:rsidR="00065632" w:rsidRDefault="00065632" w:rsidP="001B31DC">
      <w:r>
        <w:t>By using suitable financial instruments, a higher number of projects in the monitored area will be satisfied thanks to the multiplier effect and the revolving effect of rate of return of the provided funds. The measures should result in overcoming major barriers preventing accessibility of financial sources so that good quality projects can be implemented in this area. It should also be noted that a transfer of an area from subsidy-based financing to aid through a financial instrument always brings about loss of part of absorption capacities. However, the questionnaire survey conclusions and the experience with use of the JESSICA programme within IOP show that involvement of an adequately set-up financial instrument can finds entities interested in this type of financing, i.e. that the decline in absorption will not threaten the full implementation of the available allocation.</w:t>
      </w:r>
    </w:p>
    <w:p w:rsidR="00065632" w:rsidRDefault="00065632" w:rsidP="001B31DC">
      <w:r>
        <w:rPr>
          <w:b/>
          <w:bCs/>
        </w:rPr>
        <w:t>The monitored area can generally use either a guarantee or a loan IFI</w:t>
      </w:r>
      <w:r>
        <w:t xml:space="preserve">, which could help overcome the monitored market failures.  The instrument of equity investments is not suitable for this area of intervention, not even following an analysis of foreign experience. A guarantee instrument could be used but it does not aim, based on the conclusions of the analysis of its use, at market failure correction. Only one tenth of respondents in the questionnaire survey listed guarantee instruments as a suitable form of aid. Analysis of previous experience (JESSICA, PANEL) also shows that the default rate of the portfolio of projects implemented is almost zero. Credit risk is therefore not a problem in provision of loans. The proposed instrument, dealt with in the text below and in the proposal chapter, also includes a guarantee component. The MA thus may decide whether to use it and include it in the instrument.  </w:t>
      </w:r>
    </w:p>
    <w:p w:rsidR="00065632" w:rsidRDefault="00065632" w:rsidP="001B31DC">
      <w:r>
        <w:t xml:space="preserve">Following discussions with representatives of the professional public, representatives of the financial sector and analysis of similar foreign practice, </w:t>
      </w:r>
      <w:r>
        <w:rPr>
          <w:b/>
          <w:bCs/>
        </w:rPr>
        <w:t>the Contractor proposed using an instrument approximately based on the off-the-shelf solution Renovation Loan</w:t>
      </w:r>
      <w:r>
        <w:t xml:space="preserve">. This is a loan instrument targeted at securing sharing of risk arising from a possible default, its provision among financial resources of a financial instrument, resources of a selected financial intermediary (entity implementing specific financial instrument) and participating co-financing entities. Typical benefits of establishment of the instrument include provision of subsidised loans, ideally together with provision of adequate project consultancy – aiming at ensuring support for comprehensive projects. </w:t>
      </w:r>
    </w:p>
    <w:p w:rsidR="00065632" w:rsidRPr="00EB588E" w:rsidRDefault="00065632" w:rsidP="001B31DC">
      <w:pPr>
        <w:rPr>
          <w:b/>
          <w:bCs/>
        </w:rPr>
      </w:pPr>
      <w:r>
        <w:rPr>
          <w:b/>
          <w:bCs/>
        </w:rPr>
        <w:lastRenderedPageBreak/>
        <w:t xml:space="preserve">Depending on the specifics of market conditions and the MA's plan, both the instrument and subsidy may be used, based on the character of the beneficiary and the project, or based on other distribution matrices used within IROP  (excluded localities, pollution, CLLD, etc.).  </w:t>
      </w:r>
    </w:p>
    <w:p w:rsidR="00065632" w:rsidRPr="00EB588E" w:rsidRDefault="00065632" w:rsidP="001B31DC">
      <w:r>
        <w:t>The Contractor further verified, through selected questions in a questionnaire survey, the potential of interest in using the proposed form of aid through a soft loan.</w:t>
      </w:r>
    </w:p>
    <w:p w:rsidR="00065632" w:rsidRDefault="00560258" w:rsidP="001B31DC">
      <w:pPr>
        <w:pStyle w:val="Titulek"/>
        <w:spacing w:after="0" w:afterAutospacing="0"/>
        <w:jc w:val="center"/>
      </w:pPr>
      <w:r>
        <w:rPr>
          <w:noProof/>
          <w:lang w:val="cs-CZ" w:eastAsia="cs-CZ"/>
        </w:rPr>
        <w:drawing>
          <wp:inline distT="0" distB="0" distL="0" distR="0">
            <wp:extent cx="5505450" cy="2381250"/>
            <wp:effectExtent l="0" t="0" r="0" b="0"/>
            <wp:docPr id="20" name="Obrázek 7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17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505450" cy="2381250"/>
                    </a:xfrm>
                    <a:prstGeom prst="rect">
                      <a:avLst/>
                    </a:prstGeom>
                    <a:noFill/>
                    <a:ln>
                      <a:noFill/>
                    </a:ln>
                  </pic:spPr>
                </pic:pic>
              </a:graphicData>
            </a:graphic>
          </wp:inline>
        </w:drawing>
      </w:r>
    </w:p>
    <w:p w:rsidR="00065632" w:rsidRDefault="00065632" w:rsidP="001B31DC">
      <w:pPr>
        <w:pStyle w:val="Titulek"/>
      </w:pPr>
      <w:bookmarkStart w:id="172" w:name="_Toc417655527"/>
      <w:bookmarkStart w:id="173" w:name="_Toc426033938"/>
      <w:r>
        <w:t xml:space="preserve">Figure </w:t>
      </w:r>
      <w:r>
        <w:fldChar w:fldCharType="begin"/>
      </w:r>
      <w:r>
        <w:instrText xml:space="preserve"> SEQ Obrázek \* ARABIC </w:instrText>
      </w:r>
      <w:r>
        <w:fldChar w:fldCharType="separate"/>
      </w:r>
      <w:r>
        <w:rPr>
          <w:noProof/>
        </w:rPr>
        <w:t>13</w:t>
      </w:r>
      <w:r>
        <w:fldChar w:fldCharType="end"/>
      </w:r>
      <w:r>
        <w:t>: Questionnaire survey conclusions – interest in IROP aid through a soft loan</w:t>
      </w:r>
      <w:bookmarkEnd w:id="172"/>
      <w:bookmarkEnd w:id="173"/>
    </w:p>
    <w:p w:rsidR="00065632" w:rsidRDefault="00065632" w:rsidP="00912E5D"/>
    <w:p w:rsidR="00065632" w:rsidRPr="00912E5D" w:rsidRDefault="00065632" w:rsidP="00912E5D">
      <w:pPr>
        <w:rPr>
          <w:highlight w:val="yellow"/>
        </w:rPr>
      </w:pPr>
      <w:r w:rsidRPr="00912E5D">
        <w:rPr>
          <w:highlight w:val="yellow"/>
        </w:rPr>
        <w:t>Would you be interested in financing your investment project with aid if it involved a soft loan (with a fixed interest rate 0.5–1.5%)?</w:t>
      </w:r>
    </w:p>
    <w:p w:rsidR="00065632" w:rsidRPr="00912E5D" w:rsidRDefault="00065632" w:rsidP="00912E5D">
      <w:pPr>
        <w:rPr>
          <w:highlight w:val="yellow"/>
        </w:rPr>
      </w:pPr>
    </w:p>
    <w:p w:rsidR="00065632" w:rsidRPr="0057251F" w:rsidRDefault="00065632" w:rsidP="00912E5D">
      <w:r w:rsidRPr="00912E5D">
        <w:rPr>
          <w:highlight w:val="yellow"/>
        </w:rPr>
        <w:t>Definitely yes – Probably yes – Probably no – Definitely no</w:t>
      </w:r>
    </w:p>
    <w:p w:rsidR="00065632" w:rsidRPr="0057251F" w:rsidRDefault="00065632" w:rsidP="00912E5D"/>
    <w:p w:rsidR="00065632" w:rsidRPr="00912E5D" w:rsidRDefault="00065632" w:rsidP="00912E5D"/>
    <w:p w:rsidR="00065632" w:rsidRDefault="00560258" w:rsidP="001B31DC">
      <w:pPr>
        <w:jc w:val="center"/>
      </w:pPr>
      <w:r>
        <w:rPr>
          <w:noProof/>
          <w:lang w:val="cs-CZ" w:eastAsia="cs-CZ"/>
        </w:rPr>
        <w:drawing>
          <wp:inline distT="0" distB="0" distL="0" distR="0">
            <wp:extent cx="5400675" cy="2352675"/>
            <wp:effectExtent l="0" t="0" r="9525" b="9525"/>
            <wp:docPr id="21" name="Obrázek 7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17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400675" cy="2352675"/>
                    </a:xfrm>
                    <a:prstGeom prst="rect">
                      <a:avLst/>
                    </a:prstGeom>
                    <a:noFill/>
                    <a:ln>
                      <a:noFill/>
                    </a:ln>
                  </pic:spPr>
                </pic:pic>
              </a:graphicData>
            </a:graphic>
          </wp:inline>
        </w:drawing>
      </w:r>
    </w:p>
    <w:p w:rsidR="00065632" w:rsidRDefault="00065632" w:rsidP="001B31DC">
      <w:pPr>
        <w:pStyle w:val="Titulek"/>
      </w:pPr>
      <w:bookmarkStart w:id="174" w:name="_Toc417655528"/>
      <w:bookmarkStart w:id="175" w:name="_Toc426033939"/>
      <w:r>
        <w:t xml:space="preserve">Figure </w:t>
      </w:r>
      <w:r>
        <w:fldChar w:fldCharType="begin"/>
      </w:r>
      <w:r>
        <w:instrText xml:space="preserve"> SEQ Obrázek \* ARABIC </w:instrText>
      </w:r>
      <w:r>
        <w:fldChar w:fldCharType="separate"/>
      </w:r>
      <w:r>
        <w:rPr>
          <w:noProof/>
        </w:rPr>
        <w:t>14</w:t>
      </w:r>
      <w:r>
        <w:fldChar w:fldCharType="end"/>
      </w:r>
      <w:r>
        <w:t>: Questionnaire survey conclusions – interest in IROP aid through a soft loan with possible subsidy component</w:t>
      </w:r>
      <w:bookmarkEnd w:id="174"/>
      <w:bookmarkEnd w:id="175"/>
    </w:p>
    <w:p w:rsidR="00065632" w:rsidRDefault="00065632" w:rsidP="00912E5D"/>
    <w:p w:rsidR="00065632" w:rsidRPr="0057251F" w:rsidRDefault="00065632" w:rsidP="00912E5D"/>
    <w:p w:rsidR="00065632" w:rsidRPr="00912E5D" w:rsidRDefault="00065632" w:rsidP="00912E5D">
      <w:pPr>
        <w:rPr>
          <w:highlight w:val="yellow"/>
        </w:rPr>
      </w:pPr>
      <w:r w:rsidRPr="00912E5D">
        <w:rPr>
          <w:highlight w:val="yellow"/>
        </w:rPr>
        <w:lastRenderedPageBreak/>
        <w:t xml:space="preserve">If you answered </w:t>
      </w:r>
      <w:proofErr w:type="gramStart"/>
      <w:r w:rsidRPr="00912E5D">
        <w:rPr>
          <w:highlight w:val="yellow"/>
        </w:rPr>
        <w:t>Probably</w:t>
      </w:r>
      <w:proofErr w:type="gramEnd"/>
      <w:r w:rsidRPr="00912E5D">
        <w:rPr>
          <w:highlight w:val="yellow"/>
        </w:rPr>
        <w:t xml:space="preserve"> no/Definitely no, would your answer change if the soft loan included a promise of limited subsidy support of 5–25% </w:t>
      </w:r>
      <w:proofErr w:type="spellStart"/>
      <w:r w:rsidRPr="00912E5D">
        <w:rPr>
          <w:highlight w:val="yellow"/>
        </w:rPr>
        <w:t>o</w:t>
      </w:r>
      <w:proofErr w:type="spellEnd"/>
      <w:r w:rsidRPr="00912E5D">
        <w:rPr>
          <w:highlight w:val="yellow"/>
        </w:rPr>
        <w:t xml:space="preserve"> the total eligible investment based on the savings achieved?</w:t>
      </w:r>
    </w:p>
    <w:p w:rsidR="00065632" w:rsidRPr="00912E5D" w:rsidRDefault="00065632" w:rsidP="00912E5D">
      <w:pPr>
        <w:rPr>
          <w:highlight w:val="yellow"/>
        </w:rPr>
      </w:pPr>
    </w:p>
    <w:p w:rsidR="00065632" w:rsidRPr="0057251F" w:rsidRDefault="00065632" w:rsidP="00912E5D">
      <w:r w:rsidRPr="00912E5D">
        <w:rPr>
          <w:highlight w:val="yellow"/>
        </w:rPr>
        <w:t>Definitely yes – Probably yes – Probably no – Definitely no</w:t>
      </w:r>
    </w:p>
    <w:p w:rsidR="00065632" w:rsidRPr="00912E5D" w:rsidRDefault="00065632" w:rsidP="00912E5D"/>
    <w:p w:rsidR="00065632" w:rsidRDefault="00065632" w:rsidP="001B31DC">
      <w:r>
        <w:t xml:space="preserve">The answers to the monitored questions show that not every potential final beneficiary favours aid through soft loans.  On the other hand, only 7% of respondents definitely refused a claim that they are certainly not interested in a loan financial instrument. This type of aid would probably convince 55% of respondents to implement a project. </w:t>
      </w:r>
    </w:p>
    <w:p w:rsidR="00065632" w:rsidRPr="00086040" w:rsidRDefault="00065632" w:rsidP="001B31DC">
      <w:pPr>
        <w:rPr>
          <w:b/>
          <w:bCs/>
        </w:rPr>
      </w:pPr>
      <w:r>
        <w:rPr>
          <w:b/>
          <w:bCs/>
        </w:rPr>
        <w:t>To ensure fulfilment of the IROP objectives and the related drawing, it is necessary for the benefits of establishment of the financial instrument to be intensively yet simply communicated – to make the undecided 38%, who answered "rather not", interested. If the conditions of soft loans with a subsidy component are adequately set, it may be inferred that up to 89% of respondents would be interest in such instrument</w:t>
      </w:r>
      <w:r>
        <w:t>.</w:t>
      </w:r>
    </w:p>
    <w:p w:rsidR="00065632" w:rsidRDefault="00065632" w:rsidP="0077225E">
      <w:pPr>
        <w:sectPr w:rsidR="00065632" w:rsidSect="0034783B">
          <w:pgSz w:w="11906" w:h="16838" w:code="9"/>
          <w:pgMar w:top="1418" w:right="1418" w:bottom="1418" w:left="1418" w:header="709" w:footer="709" w:gutter="0"/>
          <w:paperSrc w:first="15" w:other="15"/>
          <w:cols w:space="708"/>
          <w:docGrid w:linePitch="360"/>
        </w:sectPr>
      </w:pPr>
    </w:p>
    <w:p w:rsidR="00065632" w:rsidRDefault="00065632" w:rsidP="002819BC">
      <w:pPr>
        <w:pStyle w:val="Nadpis4"/>
      </w:pPr>
      <w:r>
        <w:lastRenderedPageBreak/>
        <w:t>Justification for the selection of the area of intervention and the proposal for an instrument</w:t>
      </w:r>
    </w:p>
    <w:p w:rsidR="00065632" w:rsidRPr="00B86382" w:rsidRDefault="00065632" w:rsidP="003606C3">
      <w:r>
        <w:t>The monitored area showed, in a pre-screening survey, attribute values which signalled high potential for verification of suitability of involvement of aid using financial instruments – contacted experts and the Contractor agreed on conclusions that the demand for funds exceeds the supply of financial resources, the projects exhibit a positive annual cash flow, a suitable amount of allocation for involvement of financial instruments is prepared for the area, etc.</w:t>
      </w:r>
    </w:p>
    <w:p w:rsidR="00065632" w:rsidRPr="00606CD4" w:rsidRDefault="00065632" w:rsidP="00606CD4">
      <w:r>
        <w:t xml:space="preserve">According to the conclusion of an analysis of market characteristics, the area shows signs of long-term under-funding; the potential demand is a multiple of the amount of the earmarked allocation for the programme, moreover, without public intervention only few projects are implemented each year. Conclusions of the analysis point to the fact that the financial sector is willing and able to finance renovation projects if the requirements to maintain the purpose of use are met, if they have a reasonable payback period (up to 15 years of return), or if subsidy funding is involved. Since the specified conditions are not acceptable or achievable for potential beneficiaries, there are situations of significant amount of wasted capital, simultaneously with the existence of high-quality </w:t>
      </w:r>
      <w:proofErr w:type="spellStart"/>
      <w:r>
        <w:t>uncommenced</w:t>
      </w:r>
      <w:proofErr w:type="spellEnd"/>
      <w:r>
        <w:t xml:space="preserve"> (returnable) projects.</w:t>
      </w:r>
    </w:p>
    <w:p w:rsidR="00065632" w:rsidRDefault="00065632" w:rsidP="003606C3">
      <w:r>
        <w:t xml:space="preserve">The conclusions of the market failure analysis confirmed the existence of major market failures and the need to stimulate investment activities through a suitable state aid instrument. The analysis of a typical example showed (see chapter 5.1.5) that the system of subsidy-based aid provides beneficiaries with disproportionately high competitive advantage; on the other hand, aid through a soft loan may be also interesting and it is functional as confirmed by conclusions regarding operation of the JESSICA programme. With regard to the fact that security is not the market failure in the monitored sector, a guarantee instrument is not proposed. Since equity investment is not suitable in this case for technical reasons, it is not further elaborated on. </w:t>
      </w:r>
      <w:r>
        <w:rPr>
          <w:b/>
          <w:bCs/>
        </w:rPr>
        <w:t>In the Contractor's view, a suitable form of state aid is the use of loan instruments, in justified cases including a subsidy component</w:t>
      </w:r>
      <w:r>
        <w:t>. The proposal for a particular design of the instrument and the implementation procedure was repeatedly discussed with experts in the area, and it was consulted with potential co-financing entities. Moreover, the Contractor elaborated two basic options of the possible instrument:</w:t>
      </w:r>
    </w:p>
    <w:p w:rsidR="00065632" w:rsidRDefault="00065632" w:rsidP="00065632">
      <w:pPr>
        <w:pStyle w:val="Odstavecseseznamem"/>
        <w:numPr>
          <w:ilvl w:val="0"/>
          <w:numId w:val="56"/>
        </w:numPr>
      </w:pPr>
      <w:r>
        <w:rPr>
          <w:b/>
          <w:bCs/>
        </w:rPr>
        <w:t>OPTION 1: Proposal for the instrument design in the form of jointly provided loan</w:t>
      </w:r>
      <w:r>
        <w:t>. This option was repeatedly consulted with the professional public, with responsible parties and the representatives of the Czech Banking Association, who confirmed, that the model is interesting and suitable for involvement of commercial banks; however, it is necessary to clarify a number of technical details of the considered implementation arrangement, mainly the issue of drawing of possible subsidy component. This option is more complicated for preparation and management in terms of the managing authority and its involved partners, but it has greater potential of raising interest in final beneficiaries because it offers a possibility to cover up to 100% of investment and to draw a subsidy component.</w:t>
      </w:r>
    </w:p>
    <w:p w:rsidR="00065632" w:rsidRPr="00B86382" w:rsidRDefault="00065632" w:rsidP="00065632">
      <w:pPr>
        <w:pStyle w:val="Odstavecseseznamem"/>
        <w:numPr>
          <w:ilvl w:val="0"/>
          <w:numId w:val="56"/>
        </w:numPr>
      </w:pPr>
      <w:r>
        <w:rPr>
          <w:b/>
          <w:bCs/>
        </w:rPr>
        <w:t>OPTION 2: Proposal for the instrument design in the form of separately provided soft loan</w:t>
      </w:r>
      <w:r>
        <w:t>. This option is suitable mainly with regard to the possibility of faster introduction; it does not require coordination with several partners during addressing the issue of division of received payments from the final beneficiary, and it follows on the previous experience with operation of the JESSICA programme. This proposal will probably be less attractive for the final beneficiaries because 100% of investment cannot be covered, i.e. many recipients will have to look for financing of the remaining not covered amount from other sources (typically using an ordinary commercial loan if the beneficiary does not have sufficient savings). This instrument option does not directly generate leverage.</w:t>
      </w:r>
    </w:p>
    <w:p w:rsidR="00065632" w:rsidRDefault="00065632" w:rsidP="003606C3">
      <w:r>
        <w:t xml:space="preserve">The proposed instrument options were designed with regard to the need to simultaneously stimulate interest in the aided type projects by the representatives of potential co-financing entities and by the potential beneficiaries. The stimulating element for unlocking financing of prepared projects includes the involvement of European investment funds as well as the possible introduction of a preferential remuneration of co-financing entities through </w:t>
      </w:r>
      <w:r>
        <w:rPr>
          <w:i/>
          <w:iCs/>
        </w:rPr>
        <w:t>asymmetric sharing of profits</w:t>
      </w:r>
      <w:r>
        <w:t xml:space="preserve"> and </w:t>
      </w:r>
      <w:r>
        <w:rPr>
          <w:i/>
          <w:iCs/>
        </w:rPr>
        <w:t>asymmetric distribution of losses</w:t>
      </w:r>
      <w:r>
        <w:t>.</w:t>
      </w:r>
    </w:p>
    <w:p w:rsidR="00065632" w:rsidRDefault="00065632" w:rsidP="00DA246E">
      <w:pPr>
        <w:pStyle w:val="Nadpis3"/>
      </w:pPr>
      <w:bookmarkStart w:id="176" w:name="_Toc418767159"/>
      <w:bookmarkStart w:id="177" w:name="_Toc426033669"/>
      <w:r>
        <w:lastRenderedPageBreak/>
        <w:t>Description of the objectives of the financial instrument</w:t>
      </w:r>
      <w:bookmarkEnd w:id="176"/>
      <w:bookmarkEnd w:id="177"/>
    </w:p>
    <w:p w:rsidR="00065632" w:rsidRDefault="00065632" w:rsidP="005B770E">
      <w:r>
        <w:t xml:space="preserve">To enable the implementation of projects under IROP specific objective 2.5 which would not be implemented without the public aid – to eliminate the defined market gap in the availability/acceptability of financing for the final beneficiary. To ensure the rate of return of funds that will allow repeated addressing of the respective projects even after the end of the programming period. </w:t>
      </w:r>
      <w:proofErr w:type="gramStart"/>
      <w:r>
        <w:t>Maximisation of environmental benefits with limited resources with the aim to significantly contribute to the fulfilment of objectives of the Energy Efficiency Directive.</w:t>
      </w:r>
      <w:proofErr w:type="gramEnd"/>
    </w:p>
    <w:p w:rsidR="00065632" w:rsidRDefault="00065632" w:rsidP="00DA246E">
      <w:pPr>
        <w:pStyle w:val="Nadpis3"/>
      </w:pPr>
      <w:bookmarkStart w:id="178" w:name="_Toc418767160"/>
      <w:bookmarkStart w:id="179" w:name="_Toc426033670"/>
      <w:r>
        <w:t>Implementation structure characteristics</w:t>
      </w:r>
      <w:bookmarkEnd w:id="178"/>
      <w:bookmarkEnd w:id="179"/>
    </w:p>
    <w:p w:rsidR="00065632" w:rsidRPr="002819BC" w:rsidRDefault="00065632" w:rsidP="002819BC">
      <w:r>
        <w:t>(</w:t>
      </w:r>
      <w:proofErr w:type="gramStart"/>
      <w:r>
        <w:t>is</w:t>
      </w:r>
      <w:proofErr w:type="gramEnd"/>
      <w:r>
        <w:t xml:space="preserve"> the content of chapter 5.1) </w:t>
      </w:r>
    </w:p>
    <w:p w:rsidR="00065632" w:rsidRDefault="00065632" w:rsidP="00DA246E">
      <w:pPr>
        <w:pStyle w:val="Nadpis3"/>
      </w:pPr>
      <w:bookmarkStart w:id="180" w:name="_Toc418767161"/>
      <w:bookmarkStart w:id="181" w:name="_Toc426033671"/>
      <w:r>
        <w:t>Basic parameters of the financial instrument and diagram of operation – proposal for a specific financial instrument</w:t>
      </w:r>
      <w:bookmarkEnd w:id="180"/>
      <w:bookmarkEnd w:id="181"/>
    </w:p>
    <w:tbl>
      <w:tblPr>
        <w:tblW w:w="0" w:type="auto"/>
        <w:tblInd w:w="-56" w:type="dxa"/>
        <w:tblBorders>
          <w:top w:val="single" w:sz="4" w:space="0" w:color="92D400"/>
          <w:bottom w:val="single" w:sz="4" w:space="0" w:color="92D400"/>
          <w:insideH w:val="single" w:sz="4" w:space="0" w:color="92D400"/>
        </w:tblBorders>
        <w:tblCellMar>
          <w:top w:w="28" w:type="dxa"/>
          <w:left w:w="28" w:type="dxa"/>
          <w:bottom w:w="28" w:type="dxa"/>
          <w:right w:w="28" w:type="dxa"/>
        </w:tblCellMar>
        <w:tblLook w:val="00A0" w:firstRow="1" w:lastRow="0" w:firstColumn="1" w:lastColumn="0" w:noHBand="0" w:noVBand="0"/>
      </w:tblPr>
      <w:tblGrid>
        <w:gridCol w:w="1729"/>
        <w:gridCol w:w="7371"/>
      </w:tblGrid>
      <w:tr w:rsidR="00065632">
        <w:tc>
          <w:tcPr>
            <w:tcW w:w="9100" w:type="dxa"/>
            <w:gridSpan w:val="2"/>
            <w:shd w:val="clear" w:color="auto" w:fill="ECFFC3"/>
          </w:tcPr>
          <w:p w:rsidR="00065632" w:rsidRPr="00693AAF" w:rsidRDefault="00065632" w:rsidP="00693AAF">
            <w:pPr>
              <w:spacing w:after="0"/>
              <w:ind w:left="38"/>
              <w:rPr>
                <w:b/>
                <w:bCs/>
              </w:rPr>
            </w:pPr>
            <w:r w:rsidRPr="00693AAF">
              <w:rPr>
                <w:b/>
                <w:bCs/>
              </w:rPr>
              <w:t>OPTION 1: Proposal for the instrument design in the form of jointly provided loan</w:t>
            </w:r>
          </w:p>
        </w:tc>
      </w:tr>
      <w:tr w:rsidR="00065632">
        <w:tc>
          <w:tcPr>
            <w:tcW w:w="1729" w:type="dxa"/>
            <w:shd w:val="clear" w:color="auto" w:fill="92D400"/>
            <w:noWrap/>
          </w:tcPr>
          <w:p w:rsidR="00065632" w:rsidRPr="00693AAF" w:rsidRDefault="00065632" w:rsidP="00693AAF">
            <w:pPr>
              <w:spacing w:after="0"/>
              <w:jc w:val="left"/>
              <w:rPr>
                <w:b/>
                <w:bCs/>
                <w:color w:val="FFFFFF"/>
              </w:rPr>
            </w:pPr>
            <w:r w:rsidRPr="00693AAF">
              <w:rPr>
                <w:b/>
                <w:bCs/>
                <w:color w:val="FFFFFF"/>
              </w:rPr>
              <w:t>Focus of the area of intervention</w:t>
            </w:r>
          </w:p>
        </w:tc>
        <w:tc>
          <w:tcPr>
            <w:tcW w:w="7371" w:type="dxa"/>
            <w:shd w:val="clear" w:color="auto" w:fill="FFFFFF"/>
            <w:noWrap/>
          </w:tcPr>
          <w:p w:rsidR="00065632" w:rsidRDefault="00065632" w:rsidP="00693AAF">
            <w:pPr>
              <w:spacing w:after="0"/>
            </w:pPr>
            <w:r>
              <w:t>Reduction in energy consumption in the housing sector; according to the programming document, eligible beneficiaries may be owners of residential buildings and associations of apartment owners – buildings with four and more apartments.</w:t>
            </w:r>
          </w:p>
          <w:p w:rsidR="00065632" w:rsidRDefault="00065632" w:rsidP="00693AAF">
            <w:pPr>
              <w:spacing w:after="0"/>
            </w:pPr>
          </w:p>
          <w:p w:rsidR="00065632" w:rsidRPr="00693AAF" w:rsidRDefault="00065632" w:rsidP="00693AAF">
            <w:pPr>
              <w:spacing w:after="0"/>
              <w:rPr>
                <w:b/>
                <w:bCs/>
              </w:rPr>
            </w:pPr>
            <w:r w:rsidRPr="00693AAF">
              <w:rPr>
                <w:b/>
                <w:bCs/>
              </w:rPr>
              <w:t xml:space="preserve">The tools is designed for use in all areas of intervention of IROP specific objective 2.5 – the MA is considering introduction of a specific regime for a selected groups of projects according to a geographic matrix which have higher priority and urgency of solution. The Contractor agrees with setting different rules for such group of projects – either provision of direct subsidy or offering of an identical financial instrument but with a bonus (subsidy component). </w:t>
            </w:r>
          </w:p>
        </w:tc>
      </w:tr>
      <w:tr w:rsidR="00065632">
        <w:tc>
          <w:tcPr>
            <w:tcW w:w="1729" w:type="dxa"/>
            <w:shd w:val="clear" w:color="auto" w:fill="92D400"/>
            <w:noWrap/>
          </w:tcPr>
          <w:p w:rsidR="00065632" w:rsidRPr="00693AAF" w:rsidRDefault="00065632" w:rsidP="00693AAF">
            <w:pPr>
              <w:spacing w:after="0"/>
              <w:jc w:val="left"/>
              <w:rPr>
                <w:b/>
                <w:bCs/>
                <w:color w:val="FFFFFF"/>
              </w:rPr>
            </w:pPr>
            <w:r w:rsidRPr="00693AAF">
              <w:rPr>
                <w:b/>
                <w:bCs/>
                <w:color w:val="FFFFFF"/>
              </w:rPr>
              <w:t>Form of aid</w:t>
            </w:r>
          </w:p>
        </w:tc>
        <w:tc>
          <w:tcPr>
            <w:tcW w:w="7371" w:type="dxa"/>
            <w:shd w:val="clear" w:color="auto" w:fill="FFFFFF"/>
            <w:noWrap/>
          </w:tcPr>
          <w:p w:rsidR="00065632" w:rsidRDefault="00065632" w:rsidP="00693AAF">
            <w:pPr>
              <w:spacing w:after="0"/>
            </w:pPr>
            <w:r>
              <w:t>One soft loan with a reduced interest rate, combining the resources of the IROP and the co-financing entities, covering up to 100% of the eligible expenditure of an investment project.</w:t>
            </w:r>
          </w:p>
          <w:p w:rsidR="00065632" w:rsidRDefault="00065632" w:rsidP="00065632">
            <w:pPr>
              <w:pStyle w:val="Odstavecseseznamem"/>
              <w:numPr>
                <w:ilvl w:val="0"/>
                <w:numId w:val="20"/>
              </w:numPr>
              <w:spacing w:after="0"/>
              <w:ind w:left="412" w:hanging="141"/>
            </w:pPr>
            <w:r>
              <w:t>Possible complementation of the instrument with a subsidy element, with suitable motivational set-up in order to fulfil the project objectives and indicators;</w:t>
            </w:r>
          </w:p>
          <w:p w:rsidR="00065632" w:rsidRDefault="00065632" w:rsidP="00065632">
            <w:pPr>
              <w:pStyle w:val="Odstavecseseznamem"/>
              <w:numPr>
                <w:ilvl w:val="0"/>
                <w:numId w:val="20"/>
              </w:numPr>
              <w:spacing w:after="0"/>
              <w:ind w:left="412" w:hanging="141"/>
            </w:pPr>
            <w:r>
              <w:t>Possible subsidy-based aid up to a set limit of associated technical expenditure on project preparation (project documentation, etc.).</w:t>
            </w:r>
          </w:p>
          <w:p w:rsidR="00065632" w:rsidRDefault="00065632" w:rsidP="00693AAF">
            <w:pPr>
              <w:spacing w:after="0"/>
            </w:pPr>
          </w:p>
          <w:p w:rsidR="00065632" w:rsidRPr="00EB56AC" w:rsidRDefault="00065632" w:rsidP="00693AAF">
            <w:pPr>
              <w:spacing w:after="0"/>
            </w:pPr>
            <w:r w:rsidRPr="00693AAF">
              <w:rPr>
                <w:b/>
                <w:bCs/>
              </w:rPr>
              <w:t>The Contractor proposes that "syndicated" soft loans should be provided through co-financing entities (typically commercial banks), which cooperate with the financial instrument manager</w:t>
            </w:r>
            <w:r>
              <w:t xml:space="preserve"> ("Fund") based on framework agreement on involvement in provision of IROP aid, after demonstration of fulfilment of the basic criteria laid down by the instrument manager. </w:t>
            </w:r>
          </w:p>
        </w:tc>
      </w:tr>
      <w:tr w:rsidR="00065632">
        <w:tc>
          <w:tcPr>
            <w:tcW w:w="1729" w:type="dxa"/>
            <w:shd w:val="clear" w:color="auto" w:fill="92D400"/>
            <w:noWrap/>
          </w:tcPr>
          <w:p w:rsidR="00065632" w:rsidRPr="00693AAF" w:rsidRDefault="00065632" w:rsidP="00693AAF">
            <w:pPr>
              <w:spacing w:after="0"/>
              <w:jc w:val="left"/>
              <w:rPr>
                <w:b/>
                <w:bCs/>
                <w:color w:val="FFFFFF"/>
              </w:rPr>
            </w:pPr>
            <w:r w:rsidRPr="00693AAF">
              <w:rPr>
                <w:b/>
                <w:bCs/>
                <w:color w:val="FFFFFF"/>
              </w:rPr>
              <w:t>State aid</w:t>
            </w:r>
          </w:p>
        </w:tc>
        <w:tc>
          <w:tcPr>
            <w:tcW w:w="7371" w:type="dxa"/>
            <w:shd w:val="clear" w:color="auto" w:fill="FFFFFF"/>
            <w:noWrap/>
          </w:tcPr>
          <w:p w:rsidR="00065632" w:rsidRDefault="00065632" w:rsidP="00693AAF">
            <w:pPr>
              <w:spacing w:after="0"/>
            </w:pPr>
            <w:r>
              <w:t>Based on the materials received from the Contractor and the follow-up discussion in personal meetings, the plan to use Art. 38 and 39 of the GBER was confirmed.</w:t>
            </w:r>
          </w:p>
          <w:p w:rsidR="00065632" w:rsidRPr="00F61B77" w:rsidRDefault="00065632" w:rsidP="00065632">
            <w:pPr>
              <w:pStyle w:val="Odstavecseseznamem"/>
              <w:numPr>
                <w:ilvl w:val="0"/>
                <w:numId w:val="20"/>
              </w:numPr>
              <w:spacing w:after="0"/>
              <w:ind w:left="412" w:hanging="141"/>
            </w:pPr>
            <w:r>
              <w:t>Under Art. 38 of the GBER, the aid intensity shall not exceed 30% of the eligible costs; a bonus of +10% or +20% for SME may be achieved, and a bonus of 15% for investments located in especially assisted areas;</w:t>
            </w:r>
            <w:r>
              <w:rPr>
                <w:rStyle w:val="Znakapoznpodarou"/>
              </w:rPr>
              <w:footnoteReference w:id="13"/>
            </w:r>
          </w:p>
          <w:p w:rsidR="00065632" w:rsidRPr="008E587B" w:rsidRDefault="00065632" w:rsidP="00065632">
            <w:pPr>
              <w:pStyle w:val="Odstavecseseznamem"/>
              <w:numPr>
                <w:ilvl w:val="0"/>
                <w:numId w:val="20"/>
              </w:numPr>
              <w:spacing w:after="0"/>
              <w:ind w:left="412" w:hanging="141"/>
            </w:pPr>
            <w:r>
              <w:t>Under Art. 39 of the GBER, aid shall leverage additional investment from private investors at the level of a minimum of 30% of the total financing provided to a given project; the nominal value of the loan shall not exceed EUR 10 million per project at the level of the final beneficiaries; and in the case of asymmetric loss-sharing, the first loss assumed by the public investor shall be capped at 25 % of the total investment.</w:t>
            </w:r>
          </w:p>
          <w:p w:rsidR="00065632" w:rsidRDefault="00065632" w:rsidP="00693AAF">
            <w:pPr>
              <w:spacing w:after="0"/>
            </w:pPr>
          </w:p>
          <w:p w:rsidR="00065632" w:rsidRPr="00FD10BA" w:rsidRDefault="00065632" w:rsidP="00693AAF">
            <w:pPr>
              <w:spacing w:after="0"/>
            </w:pPr>
            <w:r>
              <w:lastRenderedPageBreak/>
              <w:t xml:space="preserve">Article 38 of the GBER is not designed for the use of financial instruments, therefore we recommend using Art. 39 of the GBER. In using Art. 39, it is necessary to comply primarily with the condition of at least 30% participation of private investors; in using Art. 38, </w:t>
            </w:r>
            <w:r w:rsidRPr="00693AAF">
              <w:rPr>
                <w:b/>
                <w:bCs/>
              </w:rPr>
              <w:t>it must be notes that the restriction of the aid intensity is applicable to actually provided advantage through public intervention, which is expresses as the gross grant equivalent</w:t>
            </w:r>
            <w:r>
              <w:t xml:space="preserve"> (GGE). GGE calculation is determined by the difference between the market interest rate and the soft loan interest rate in relation to the investment volume. The Contractor made model calculation for a typical project in the IROP monitored area – the results are presented in chapter 5.4.5. It may be noted that with regard to the results of modelling, aid using the </w:t>
            </w:r>
            <w:r w:rsidRPr="00693AAF">
              <w:rPr>
                <w:i/>
                <w:iCs/>
              </w:rPr>
              <w:t>de minimis</w:t>
            </w:r>
            <w:r>
              <w:t xml:space="preserve"> scheme may be involved.</w:t>
            </w:r>
            <w:r>
              <w:rPr>
                <w:rStyle w:val="Znakapoznpodarou"/>
              </w:rPr>
              <w:footnoteReference w:id="14"/>
            </w:r>
          </w:p>
        </w:tc>
      </w:tr>
      <w:tr w:rsidR="00065632">
        <w:tc>
          <w:tcPr>
            <w:tcW w:w="1729" w:type="dxa"/>
            <w:shd w:val="clear" w:color="auto" w:fill="92D400"/>
            <w:noWrap/>
          </w:tcPr>
          <w:p w:rsidR="00065632" w:rsidRPr="00693AAF" w:rsidRDefault="00065632" w:rsidP="00693AAF">
            <w:pPr>
              <w:spacing w:after="0"/>
              <w:jc w:val="left"/>
              <w:rPr>
                <w:b/>
                <w:bCs/>
                <w:color w:val="FFFFFF"/>
              </w:rPr>
            </w:pPr>
            <w:r w:rsidRPr="00693AAF">
              <w:rPr>
                <w:b/>
                <w:bCs/>
                <w:color w:val="FFFFFF"/>
              </w:rPr>
              <w:lastRenderedPageBreak/>
              <w:t>Amount of aid</w:t>
            </w:r>
          </w:p>
        </w:tc>
        <w:tc>
          <w:tcPr>
            <w:tcW w:w="7371" w:type="dxa"/>
            <w:shd w:val="clear" w:color="auto" w:fill="FFFFFF"/>
            <w:noWrap/>
          </w:tcPr>
          <w:p w:rsidR="00065632" w:rsidRDefault="00065632" w:rsidP="00693AAF">
            <w:pPr>
              <w:spacing w:after="0"/>
            </w:pPr>
            <w:r>
              <w:t xml:space="preserve">Technically, the Fund may finance up to 100% of investment with s soft loan from IROP resources (or with a subsidy component where applicable) and the rules of state aid are still met. </w:t>
            </w:r>
            <w:r w:rsidRPr="00693AAF">
              <w:rPr>
                <w:b/>
                <w:bCs/>
              </w:rPr>
              <w:t>With regard to the priority of involvement of the greatest possible leverage and with the obligation to avoid possible crowding-out effect, the Contractor recommends targeting of the share of IROP resources in a smaller than 50% ratio of eligible expenditure</w:t>
            </w:r>
            <w:r>
              <w:t>; the remaining part of investment will be covered either using resources from co-financing entities or applicants' own resources.</w:t>
            </w:r>
          </w:p>
          <w:p w:rsidR="00065632" w:rsidRDefault="00065632" w:rsidP="00693AAF">
            <w:pPr>
              <w:spacing w:after="0"/>
            </w:pPr>
          </w:p>
          <w:p w:rsidR="00065632" w:rsidRPr="00693AAF" w:rsidRDefault="00065632" w:rsidP="00693AAF">
            <w:pPr>
              <w:spacing w:after="0"/>
              <w:rPr>
                <w:b/>
                <w:bCs/>
              </w:rPr>
            </w:pPr>
            <w:r>
              <w:t xml:space="preserve">The proportion of involvement of Fund's resources in the investment should be chosen so as to achieve such target interest rate for final beneficiaries </w:t>
            </w:r>
            <w:proofErr w:type="gramStart"/>
            <w:r>
              <w:t>which</w:t>
            </w:r>
            <w:proofErr w:type="gramEnd"/>
            <w:r>
              <w:t xml:space="preserve"> will be motivational for the implementation of the monitored plans. </w:t>
            </w:r>
            <w:r w:rsidRPr="00693AAF">
              <w:rPr>
                <w:b/>
                <w:bCs/>
              </w:rPr>
              <w:t>With regard to the current situation in the market and in view of the previous experience with operation of financial instruments JESSICA and the national programme PANEL, we suggest setting a maximum limit of 1.5% of this target rate</w:t>
            </w:r>
            <w:r>
              <w:t xml:space="preserve">, which may be achieved through a variable arrangement of the proportion of involved resources of the IROP Fund and resources of the co-financing entities and the applicant. </w:t>
            </w:r>
            <w:r w:rsidRPr="00693AAF">
              <w:rPr>
                <w:b/>
                <w:bCs/>
              </w:rPr>
              <w:t>The proposed limit of 1.5% p.a. may be revised in reflection of the market development so as to always meet the rule that a preferential rate allows efficient reduction in the average market rate by 1.0–1.5 of percentage points.</w:t>
            </w:r>
            <w:r w:rsidRPr="00693AAF">
              <w:rPr>
                <w:rStyle w:val="Znakapoznpodarou"/>
                <w:b/>
                <w:bCs/>
              </w:rPr>
              <w:footnoteReference w:id="15"/>
            </w:r>
          </w:p>
          <w:p w:rsidR="00065632" w:rsidRDefault="00065632" w:rsidP="00693AAF">
            <w:pPr>
              <w:spacing w:after="0"/>
            </w:pPr>
          </w:p>
          <w:p w:rsidR="00065632" w:rsidRDefault="00065632" w:rsidP="00693AAF">
            <w:pPr>
              <w:spacing w:after="0"/>
            </w:pPr>
            <w:r>
              <w:t>To clarify the Contractor's proposal, a detailed specification of the model example was carried out, which is presented under the diagram of operation of the instrument – see chapter 5.2.6 of this report, and modelling was done in Annex 2 hereto. The manager of the IROP Fund disburses 50% of financing of investment with an interest rate of 0.5%, the co-financing entity finances the remaining 50% of eligible expenditure for market valuation of 2.5%, the applicant is a recipient of a loan for 100% of the eligible part of investment with an interest rate of 1.5%, and it uses its own resources for financing ineligible investment expenditure.</w:t>
            </w:r>
            <w:r>
              <w:rPr>
                <w:rStyle w:val="Znakapoznpodarou"/>
              </w:rPr>
              <w:footnoteReference w:id="16"/>
            </w:r>
          </w:p>
          <w:p w:rsidR="00065632" w:rsidRDefault="00065632" w:rsidP="00693AAF">
            <w:pPr>
              <w:spacing w:after="0"/>
            </w:pPr>
          </w:p>
          <w:p w:rsidR="00065632" w:rsidRPr="001B3F1E" w:rsidRDefault="00065632" w:rsidP="00693AAF">
            <w:pPr>
              <w:spacing w:after="0"/>
            </w:pPr>
            <w:r>
              <w:t xml:space="preserve">The procedural linking of the possible provision of subsidy as a subordinate part of the financial instrument must be clarified based on a guidance note published by the European Commission, which will specify the restrictions. Informal answers show that provision of IFI and subsidy must be monitored as two separate operations and must be administered separately. </w:t>
            </w:r>
          </w:p>
        </w:tc>
      </w:tr>
      <w:tr w:rsidR="00065632">
        <w:tc>
          <w:tcPr>
            <w:tcW w:w="1729" w:type="dxa"/>
            <w:shd w:val="clear" w:color="auto" w:fill="92D400"/>
            <w:noWrap/>
          </w:tcPr>
          <w:p w:rsidR="00065632" w:rsidRPr="00693AAF" w:rsidRDefault="00065632" w:rsidP="00693AAF">
            <w:pPr>
              <w:spacing w:after="0"/>
              <w:jc w:val="left"/>
              <w:rPr>
                <w:b/>
                <w:bCs/>
                <w:color w:val="FFFFFF"/>
              </w:rPr>
            </w:pPr>
            <w:r w:rsidRPr="00693AAF">
              <w:rPr>
                <w:b/>
                <w:bCs/>
                <w:color w:val="FFFFFF"/>
              </w:rPr>
              <w:lastRenderedPageBreak/>
              <w:t>Aid parameters</w:t>
            </w:r>
          </w:p>
        </w:tc>
        <w:tc>
          <w:tcPr>
            <w:tcW w:w="7371" w:type="dxa"/>
            <w:shd w:val="clear" w:color="auto" w:fill="FFFFFF"/>
            <w:noWrap/>
          </w:tcPr>
          <w:p w:rsidR="00065632" w:rsidRDefault="00065632" w:rsidP="00693AAF">
            <w:pPr>
              <w:spacing w:after="0"/>
            </w:pPr>
            <w:r>
              <w:t>The repayment of a loan is secured by generated project energy savings. The provided soft loan has the following parameters:</w:t>
            </w:r>
          </w:p>
          <w:p w:rsidR="00065632" w:rsidRDefault="00065632" w:rsidP="00065632">
            <w:pPr>
              <w:pStyle w:val="Odstavecseseznamem"/>
              <w:numPr>
                <w:ilvl w:val="0"/>
                <w:numId w:val="20"/>
              </w:numPr>
              <w:spacing w:after="0"/>
              <w:ind w:left="412" w:hanging="141"/>
            </w:pPr>
            <w:r>
              <w:t>Coverage of eligible expenditure is up to 100% of the eligible part of the investment, in combination of funds from the IROP Fund and the co-financing entities;</w:t>
            </w:r>
          </w:p>
          <w:p w:rsidR="00065632" w:rsidRDefault="00065632" w:rsidP="00065632">
            <w:pPr>
              <w:pStyle w:val="Odstavecseseznamem"/>
              <w:numPr>
                <w:ilvl w:val="0"/>
                <w:numId w:val="20"/>
              </w:numPr>
              <w:spacing w:after="0"/>
              <w:ind w:left="412" w:hanging="141"/>
            </w:pPr>
            <w:r>
              <w:t>Subsidy-based aid for the technical preparation of projects up to 5% of the project's investment costs;</w:t>
            </w:r>
          </w:p>
          <w:p w:rsidR="00065632" w:rsidRDefault="00065632" w:rsidP="00065632">
            <w:pPr>
              <w:pStyle w:val="Odstavecseseznamem"/>
              <w:numPr>
                <w:ilvl w:val="0"/>
                <w:numId w:val="20"/>
              </w:numPr>
              <w:spacing w:after="0"/>
              <w:ind w:left="412" w:hanging="141"/>
            </w:pPr>
            <w:r>
              <w:t>Loan management in one "clearing" place (a co-financing entity selected by the applicant), which divides the repayments under the financing agreement between Fund resources and co-financing entity resources;</w:t>
            </w:r>
          </w:p>
          <w:p w:rsidR="00065632" w:rsidRDefault="00065632" w:rsidP="00065632">
            <w:pPr>
              <w:pStyle w:val="Odstavecseseznamem"/>
              <w:numPr>
                <w:ilvl w:val="0"/>
                <w:numId w:val="20"/>
              </w:numPr>
              <w:spacing w:after="0"/>
              <w:ind w:left="412" w:hanging="141"/>
            </w:pPr>
            <w:r>
              <w:t>Loan maturity period not exceeding 20 years;</w:t>
            </w:r>
            <w:r>
              <w:rPr>
                <w:rStyle w:val="Znakapoznpodarou"/>
              </w:rPr>
              <w:footnoteReference w:id="17"/>
            </w:r>
          </w:p>
          <w:p w:rsidR="00065632" w:rsidRDefault="00065632" w:rsidP="00065632">
            <w:pPr>
              <w:pStyle w:val="Odstavecseseznamem"/>
              <w:numPr>
                <w:ilvl w:val="0"/>
                <w:numId w:val="20"/>
              </w:numPr>
              <w:spacing w:after="0"/>
              <w:ind w:left="412" w:hanging="141"/>
            </w:pPr>
            <w:r>
              <w:t>Interest depending on the "mixture" of the required rates of the Fund and the co-financing entity; the limit for the maximum final interest rate for the beneficiary is 1.5% p.a.;</w:t>
            </w:r>
          </w:p>
          <w:p w:rsidR="00065632" w:rsidRDefault="00065632" w:rsidP="00065632">
            <w:pPr>
              <w:pStyle w:val="Odstavecseseznamem"/>
              <w:numPr>
                <w:ilvl w:val="0"/>
                <w:numId w:val="20"/>
              </w:numPr>
              <w:spacing w:after="0"/>
              <w:ind w:left="412" w:hanging="141"/>
            </w:pPr>
            <w:r>
              <w:t>The principal is payable monthly together with the interest; the funds received are divided into the Fund and the co-financing entity by the bank;</w:t>
            </w:r>
          </w:p>
          <w:p w:rsidR="00065632" w:rsidRDefault="00065632" w:rsidP="00065632">
            <w:pPr>
              <w:pStyle w:val="Odstavecseseznamem"/>
              <w:numPr>
                <w:ilvl w:val="0"/>
                <w:numId w:val="20"/>
              </w:numPr>
              <w:spacing w:after="0"/>
              <w:ind w:left="412" w:hanging="141"/>
            </w:pPr>
            <w:r>
              <w:t>Specific-purpose loans may be used only to cover the eligible expenditure;</w:t>
            </w:r>
          </w:p>
          <w:p w:rsidR="00065632" w:rsidRDefault="00065632" w:rsidP="00065632">
            <w:pPr>
              <w:pStyle w:val="Odstavecseseznamem"/>
              <w:numPr>
                <w:ilvl w:val="0"/>
                <w:numId w:val="20"/>
              </w:numPr>
              <w:spacing w:after="0"/>
              <w:ind w:left="412" w:hanging="141"/>
            </w:pPr>
            <w:r>
              <w:t>Selection of security by agreement based on local conditions.</w:t>
            </w:r>
          </w:p>
        </w:tc>
      </w:tr>
      <w:tr w:rsidR="00065632">
        <w:tc>
          <w:tcPr>
            <w:tcW w:w="1729" w:type="dxa"/>
            <w:shd w:val="clear" w:color="auto" w:fill="92D400"/>
            <w:noWrap/>
          </w:tcPr>
          <w:p w:rsidR="00065632" w:rsidRPr="00693AAF" w:rsidRDefault="00065632" w:rsidP="00693AAF">
            <w:pPr>
              <w:spacing w:after="0"/>
              <w:jc w:val="left"/>
              <w:rPr>
                <w:b/>
                <w:bCs/>
                <w:color w:val="FFFFFF"/>
              </w:rPr>
            </w:pPr>
            <w:r w:rsidRPr="00693AAF">
              <w:rPr>
                <w:b/>
                <w:bCs/>
                <w:color w:val="FFFFFF"/>
              </w:rPr>
              <w:t>Implementation structure and procedural steps</w:t>
            </w:r>
          </w:p>
        </w:tc>
        <w:tc>
          <w:tcPr>
            <w:tcW w:w="7371" w:type="dxa"/>
            <w:shd w:val="clear" w:color="auto" w:fill="FFFFFF"/>
            <w:noWrap/>
          </w:tcPr>
          <w:p w:rsidR="00065632" w:rsidRDefault="00065632" w:rsidP="00693AAF">
            <w:pPr>
              <w:spacing w:after="0"/>
            </w:pPr>
            <w:r>
              <w:t xml:space="preserve">The co-financing entities provide, in the territory of the entire CR except Prague, a possibility to arrange a soft loan in their own branches, they determine the initial rating of the applicant and his project, proposes division of the financing share and the interest rate of the Fund. The fund </w:t>
            </w:r>
            <w:proofErr w:type="gramStart"/>
            <w:r>
              <w:t>manager evaluates the offered share of co-financing, checks the eligibility of project expenditure, assesses compliance with the state aid guidelines and calculate</w:t>
            </w:r>
            <w:proofErr w:type="gramEnd"/>
            <w:r>
              <w:t xml:space="preserve"> the GGE, and evaluates the project's chance for any subsidy bonus. If all aspects are satisfactory, it lets the co-financing entity enter into a contractual relationship with the beneficiary and releases, following the delivery of the loan agreement, the respective tranche to the account of the co-financing entity based on the agreed share of co-financing of the project. The beneficiary is to repay the interest and the principal to the selected financial institution, which carries out "clearing operations" – division of income from the applicant between itself and the Fund.</w:t>
            </w:r>
          </w:p>
          <w:p w:rsidR="00065632" w:rsidRDefault="00065632" w:rsidP="00693AAF">
            <w:pPr>
              <w:spacing w:after="0"/>
            </w:pPr>
          </w:p>
          <w:p w:rsidR="00065632" w:rsidRPr="00EB56AC" w:rsidRDefault="00065632" w:rsidP="00693AAF">
            <w:pPr>
              <w:spacing w:after="0"/>
            </w:pPr>
            <w:r>
              <w:t xml:space="preserve">There may be an unlimited number of co-financing entities as long as they apply for participation in the entire scheme and demonstrate fulfilment of the defined minimum conditions for cooperation. Co-financing entities are not entitled to a management fee for their role – subject to review depending on the availability of free resources up to the limit of 8% for programme allocation. The </w:t>
            </w:r>
            <w:r w:rsidRPr="00693AAF">
              <w:rPr>
                <w:i/>
                <w:iCs/>
              </w:rPr>
              <w:t>first piece loss</w:t>
            </w:r>
            <w:r>
              <w:t xml:space="preserve"> mechanism of coverage of the first losses is negotiated for the bank's project portfolio (not exceeding 25% in accordance with Art. 39 of the GBER).</w:t>
            </w:r>
          </w:p>
        </w:tc>
      </w:tr>
      <w:tr w:rsidR="00065632">
        <w:tc>
          <w:tcPr>
            <w:tcW w:w="1729" w:type="dxa"/>
            <w:shd w:val="clear" w:color="auto" w:fill="92D400"/>
            <w:noWrap/>
          </w:tcPr>
          <w:p w:rsidR="00065632" w:rsidRPr="00693AAF" w:rsidRDefault="00065632" w:rsidP="00693AAF">
            <w:pPr>
              <w:spacing w:after="0"/>
              <w:jc w:val="left"/>
              <w:rPr>
                <w:b/>
                <w:bCs/>
                <w:color w:val="FFFFFF"/>
              </w:rPr>
            </w:pPr>
            <w:r w:rsidRPr="00693AAF">
              <w:rPr>
                <w:b/>
                <w:bCs/>
                <w:color w:val="FFFFFF"/>
              </w:rPr>
              <w:t>Final beneficiaries</w:t>
            </w:r>
          </w:p>
        </w:tc>
        <w:tc>
          <w:tcPr>
            <w:tcW w:w="7371" w:type="dxa"/>
            <w:shd w:val="clear" w:color="auto" w:fill="FFFFFF"/>
            <w:noWrap/>
          </w:tcPr>
          <w:p w:rsidR="00065632" w:rsidRDefault="00065632" w:rsidP="00693AAF">
            <w:pPr>
              <w:spacing w:after="0"/>
            </w:pPr>
            <w:r>
              <w:t>As defined in the IROP programming document:</w:t>
            </w:r>
          </w:p>
          <w:p w:rsidR="00065632" w:rsidRDefault="00065632" w:rsidP="00065632">
            <w:pPr>
              <w:pStyle w:val="Odstavecseseznamem"/>
              <w:numPr>
                <w:ilvl w:val="0"/>
                <w:numId w:val="20"/>
              </w:numPr>
              <w:spacing w:after="0"/>
              <w:ind w:left="412" w:hanging="141"/>
            </w:pPr>
            <w:r>
              <w:t xml:space="preserve">owners of residential buildings and associations of apartment owners—buildings </w:t>
            </w:r>
            <w:r>
              <w:lastRenderedPageBreak/>
              <w:t>with four and more apartments;</w:t>
            </w:r>
          </w:p>
          <w:p w:rsidR="00065632" w:rsidRDefault="00065632" w:rsidP="00065632">
            <w:pPr>
              <w:pStyle w:val="Odstavecseseznamem"/>
              <w:numPr>
                <w:ilvl w:val="0"/>
                <w:numId w:val="20"/>
              </w:numPr>
              <w:spacing w:after="0"/>
              <w:ind w:left="412" w:hanging="141"/>
            </w:pPr>
            <w:proofErr w:type="gramStart"/>
            <w:r>
              <w:t>aid</w:t>
            </w:r>
            <w:proofErr w:type="gramEnd"/>
            <w:r>
              <w:t xml:space="preserve"> will not be provided in the territory of Prague.</w:t>
            </w:r>
          </w:p>
          <w:p w:rsidR="00065632" w:rsidRDefault="00065632" w:rsidP="00693AAF">
            <w:pPr>
              <w:pStyle w:val="Odstavecseseznamem"/>
              <w:spacing w:after="0"/>
            </w:pPr>
          </w:p>
          <w:p w:rsidR="00065632" w:rsidRPr="00EB56AC" w:rsidRDefault="00065632" w:rsidP="00693AAF">
            <w:pPr>
              <w:spacing w:after="0"/>
            </w:pPr>
            <w:r>
              <w:t xml:space="preserve">The aid intensity may be higher in the case of small and medium-sized enterprises, depending on the selected state aid scheme. </w:t>
            </w:r>
            <w:r w:rsidRPr="00693AAF">
              <w:rPr>
                <w:b/>
                <w:bCs/>
              </w:rPr>
              <w:t>Projects implemented in specially monitored areas will be assisted through a direct subsidy or will receive a bonus of a greater share of the subsidy component</w:t>
            </w:r>
            <w:r>
              <w:t xml:space="preserve"> – the matrix to define these special prioritised localities is being specified by the MA.</w:t>
            </w:r>
          </w:p>
        </w:tc>
      </w:tr>
      <w:tr w:rsidR="00065632">
        <w:tc>
          <w:tcPr>
            <w:tcW w:w="1729" w:type="dxa"/>
            <w:shd w:val="clear" w:color="auto" w:fill="92D400"/>
            <w:noWrap/>
          </w:tcPr>
          <w:p w:rsidR="00065632" w:rsidRPr="00693AAF" w:rsidRDefault="00065632" w:rsidP="00693AAF">
            <w:pPr>
              <w:spacing w:after="0"/>
              <w:jc w:val="left"/>
              <w:rPr>
                <w:b/>
                <w:bCs/>
                <w:color w:val="FFFFFF"/>
              </w:rPr>
            </w:pPr>
            <w:r w:rsidRPr="00693AAF">
              <w:rPr>
                <w:b/>
                <w:bCs/>
                <w:color w:val="FFFFFF"/>
              </w:rPr>
              <w:lastRenderedPageBreak/>
              <w:t>Motivational instruments for the co-financing entity</w:t>
            </w:r>
          </w:p>
        </w:tc>
        <w:tc>
          <w:tcPr>
            <w:tcW w:w="7371" w:type="dxa"/>
            <w:shd w:val="clear" w:color="auto" w:fill="FFFFFF"/>
            <w:noWrap/>
          </w:tcPr>
          <w:p w:rsidR="00065632" w:rsidRDefault="00065632" w:rsidP="00693AAF">
            <w:pPr>
              <w:spacing w:after="0"/>
            </w:pPr>
            <w:r>
              <w:t xml:space="preserve">A proposal to earmark an allocation exceeding CZK 16 billion for the use of financial instruments and connected provision of an information campaign by the IROP MA will allow for a creation of a portfolio of projects that will compete for loans in a situation where representatives of the financial sector repeatedly describe that they have a great volume of funds they would like to obtain returns on; there is rather a lack of interest on the side of investors. In this situation, the actual establishment of the fund and the proposed structures is a strong incentive for financial houses to participate in the functioning of the structures which are being built. Previous discussions with stakeholders in the preparation of IROP 2014–2020 also identified a need to encourage the potential co-financing entities to participate in the structures which are being built, because these are new forms of aid provided by the State, and a greater part of tasks associated with investment decision making is delegated precisely to </w:t>
            </w:r>
            <w:proofErr w:type="spellStart"/>
            <w:r>
              <w:t>there</w:t>
            </w:r>
            <w:proofErr w:type="spellEnd"/>
            <w:r>
              <w:t xml:space="preserve"> co-financing entities.</w:t>
            </w:r>
            <w:r>
              <w:rPr>
                <w:rStyle w:val="Znakapoznpodarou"/>
              </w:rPr>
              <w:footnoteReference w:id="18"/>
            </w:r>
            <w:r>
              <w:t xml:space="preserve"> With regard to the limits of the maximum share of managerial remuneration in the total allocation of instruments under preparation, we can expect that these resources will be exhausted within managing structures (manager of the fund of funds, fund manager) – the Contractor expects that this kind of fixed remuneration will not be used for involved co-financing entities, it will not be available. If there was space, within the aforementioned limits, for payment of share in the fee also for these entities (this will be clear after contracting remuneration for the managers of the FF and the IROP Fund), this approach may be applied as another motivational instrument for the involvement of co-financing entities.</w:t>
            </w:r>
            <w:r>
              <w:rPr>
                <w:rStyle w:val="Znakapoznpodarou"/>
              </w:rPr>
              <w:footnoteReference w:id="19"/>
            </w:r>
          </w:p>
          <w:p w:rsidR="00065632" w:rsidRDefault="00065632" w:rsidP="00693AAF">
            <w:pPr>
              <w:spacing w:after="0"/>
            </w:pPr>
          </w:p>
          <w:p w:rsidR="00065632" w:rsidRDefault="00065632" w:rsidP="00693AAF">
            <w:pPr>
              <w:spacing w:after="0"/>
            </w:pPr>
            <w:r>
              <w:t>The Contractor proposes utilisation of the following instruments of motivation for involvement of co-financing entities:</w:t>
            </w:r>
          </w:p>
          <w:p w:rsidR="00065632" w:rsidRDefault="00065632" w:rsidP="00065632">
            <w:pPr>
              <w:pStyle w:val="Odstavecseseznamem"/>
              <w:numPr>
                <w:ilvl w:val="0"/>
                <w:numId w:val="20"/>
              </w:numPr>
              <w:spacing w:after="0"/>
              <w:ind w:left="412" w:hanging="141"/>
            </w:pPr>
            <w:r>
              <w:t>An open possibility of selection of set-up of the rate of co-financing of loan cases with regard to the bank's approach to the given project (the proposal is subject to approval by the Fund);</w:t>
            </w:r>
          </w:p>
          <w:p w:rsidR="00065632" w:rsidRDefault="00065632" w:rsidP="00065632">
            <w:pPr>
              <w:pStyle w:val="Odstavecseseznamem"/>
              <w:numPr>
                <w:ilvl w:val="0"/>
                <w:numId w:val="20"/>
              </w:numPr>
              <w:spacing w:after="0"/>
              <w:ind w:left="412" w:hanging="141"/>
            </w:pPr>
            <w:r>
              <w:t>Uneven distribution of profit in the form of interest rate – the Fund always requires an interest rate of only 0.5% p.a., the co-financing entity selects its own rate, but it is limited by the target combined rate not exceeding 1.5% p.a.;</w:t>
            </w:r>
          </w:p>
          <w:p w:rsidR="00065632" w:rsidRPr="0087054E" w:rsidRDefault="00065632" w:rsidP="00065632">
            <w:pPr>
              <w:pStyle w:val="Odstavecseseznamem"/>
              <w:numPr>
                <w:ilvl w:val="0"/>
                <w:numId w:val="20"/>
              </w:numPr>
              <w:spacing w:after="0"/>
              <w:ind w:left="412" w:hanging="141"/>
            </w:pPr>
            <w:r>
              <w:t xml:space="preserve">The Fund provides guarantee for any </w:t>
            </w:r>
            <w:proofErr w:type="spellStart"/>
            <w:r>
              <w:t>looses</w:t>
            </w:r>
            <w:proofErr w:type="spellEnd"/>
            <w:r>
              <w:t xml:space="preserve"> in the portfolio of projects of the co-financing entity up to the amount of the agreed limit of </w:t>
            </w:r>
            <w:r w:rsidRPr="00693AAF">
              <w:rPr>
                <w:i/>
                <w:iCs/>
              </w:rPr>
              <w:t>first piece loss</w:t>
            </w:r>
            <w:r>
              <w:t xml:space="preserve"> – the Contractor proposes 10%.</w:t>
            </w:r>
          </w:p>
        </w:tc>
      </w:tr>
      <w:tr w:rsidR="00065632">
        <w:tc>
          <w:tcPr>
            <w:tcW w:w="1729" w:type="dxa"/>
            <w:shd w:val="clear" w:color="auto" w:fill="92D400"/>
            <w:noWrap/>
          </w:tcPr>
          <w:p w:rsidR="00065632" w:rsidRPr="00693AAF" w:rsidRDefault="00065632" w:rsidP="00693AAF">
            <w:pPr>
              <w:spacing w:after="0"/>
              <w:jc w:val="left"/>
              <w:rPr>
                <w:b/>
                <w:bCs/>
                <w:color w:val="FFFFFF"/>
              </w:rPr>
            </w:pPr>
            <w:r w:rsidRPr="00693AAF">
              <w:rPr>
                <w:b/>
                <w:bCs/>
                <w:color w:val="FFFFFF"/>
              </w:rPr>
              <w:t>Expected allocation</w:t>
            </w:r>
          </w:p>
        </w:tc>
        <w:tc>
          <w:tcPr>
            <w:tcW w:w="7371" w:type="dxa"/>
            <w:shd w:val="clear" w:color="auto" w:fill="FFFFFF"/>
            <w:noWrap/>
          </w:tcPr>
          <w:p w:rsidR="00065632" w:rsidRPr="00EB56AC" w:rsidRDefault="00065632" w:rsidP="00693AAF">
            <w:pPr>
              <w:spacing w:after="0"/>
            </w:pPr>
            <w:r>
              <w:t>CZK 16.8 billion (from EU resources, without funds from national co-financing) minus resources that will be earmarked to support projects in priority localities (if they are earmarked for aid through subsidy-based form). The Contractor proposes drawing the entire volume of allocation for the provision of soft loans; these funds will be used in the revolving form for the same purpose also after the end of the programming period. It will be possible to draw a marginal part of the allocation through provision of a subsidy bonus (up to 10% of the allocation) in the case it has been introduced).</w:t>
            </w:r>
          </w:p>
        </w:tc>
      </w:tr>
      <w:tr w:rsidR="00065632">
        <w:tc>
          <w:tcPr>
            <w:tcW w:w="1729" w:type="dxa"/>
            <w:shd w:val="clear" w:color="auto" w:fill="92D400"/>
            <w:noWrap/>
          </w:tcPr>
          <w:p w:rsidR="00065632" w:rsidRPr="00693AAF" w:rsidRDefault="00065632" w:rsidP="00693AAF">
            <w:pPr>
              <w:spacing w:after="0"/>
              <w:jc w:val="left"/>
              <w:rPr>
                <w:b/>
                <w:bCs/>
                <w:color w:val="FFFFFF"/>
              </w:rPr>
            </w:pPr>
            <w:r w:rsidRPr="00693AAF">
              <w:rPr>
                <w:b/>
                <w:bCs/>
                <w:color w:val="FFFFFF"/>
              </w:rPr>
              <w:t>Rate of drawing</w:t>
            </w:r>
          </w:p>
        </w:tc>
        <w:tc>
          <w:tcPr>
            <w:tcW w:w="7371" w:type="dxa"/>
            <w:shd w:val="clear" w:color="auto" w:fill="FFFFFF"/>
            <w:noWrap/>
          </w:tcPr>
          <w:p w:rsidR="00065632" w:rsidRPr="00A44EF1" w:rsidRDefault="00065632" w:rsidP="00693AAF">
            <w:pPr>
              <w:spacing w:after="0"/>
            </w:pPr>
            <w:r>
              <w:t xml:space="preserve">A continuous call for project submission, there is an assumption of exhaustion of </w:t>
            </w:r>
            <w:r>
              <w:lastRenderedPageBreak/>
              <w:t xml:space="preserve">resources of the investment cycle I within the first 5 years from commencement Resources returned to the financial instrument can be continuously reused without undue delay within the same financial instrument (revolving in the same financial instrument) or, after being paid back to the managing authority or the Fund of Funds, they will be used in accordance with Article 44 of Regulation (EU) No. 1303/2013.  The period for provision of loans under the financial instrument is </w:t>
            </w:r>
            <w:proofErr w:type="gramStart"/>
            <w:r>
              <w:t>set ,with</w:t>
            </w:r>
            <w:proofErr w:type="gramEnd"/>
            <w:r>
              <w:t xml:space="preserve"> regard to the need to ensure that funds from the operational programme (Art. 42 of the Common Provisions Regulation) are used for loans paid end beneficiaries by 31 December 2023.</w:t>
            </w:r>
          </w:p>
        </w:tc>
      </w:tr>
      <w:tr w:rsidR="00065632">
        <w:tc>
          <w:tcPr>
            <w:tcW w:w="1729" w:type="dxa"/>
            <w:shd w:val="clear" w:color="auto" w:fill="92D400"/>
            <w:noWrap/>
          </w:tcPr>
          <w:p w:rsidR="00065632" w:rsidRPr="00693AAF" w:rsidRDefault="00065632" w:rsidP="00693AAF">
            <w:pPr>
              <w:spacing w:after="0"/>
              <w:jc w:val="left"/>
              <w:rPr>
                <w:b/>
                <w:bCs/>
                <w:color w:val="FFFFFF"/>
              </w:rPr>
            </w:pPr>
            <w:r w:rsidRPr="00693AAF">
              <w:rPr>
                <w:b/>
                <w:bCs/>
                <w:color w:val="FFFFFF"/>
              </w:rPr>
              <w:lastRenderedPageBreak/>
              <w:t>Risks and bottlenecks to be resolved</w:t>
            </w:r>
          </w:p>
        </w:tc>
        <w:tc>
          <w:tcPr>
            <w:tcW w:w="7371" w:type="dxa"/>
            <w:shd w:val="clear" w:color="auto" w:fill="FFFFFF"/>
            <w:noWrap/>
          </w:tcPr>
          <w:p w:rsidR="00065632" w:rsidRDefault="00065632" w:rsidP="00065632">
            <w:pPr>
              <w:pStyle w:val="Odstavecseseznamem"/>
              <w:numPr>
                <w:ilvl w:val="0"/>
                <w:numId w:val="20"/>
              </w:numPr>
              <w:spacing w:after="0"/>
              <w:ind w:left="412" w:hanging="141"/>
            </w:pPr>
            <w:r>
              <w:t>Clarify the potential of use of debt financing and increase the multiplier effect of IROP sources.</w:t>
            </w:r>
          </w:p>
          <w:p w:rsidR="00065632" w:rsidRPr="00EB56AC" w:rsidRDefault="00065632" w:rsidP="00065632">
            <w:pPr>
              <w:pStyle w:val="Odstavecseseznamem"/>
              <w:numPr>
                <w:ilvl w:val="0"/>
                <w:numId w:val="20"/>
              </w:numPr>
              <w:spacing w:after="0"/>
              <w:ind w:left="412" w:hanging="141"/>
            </w:pPr>
            <w:r>
              <w:t>It must be clarified with the Office for the Protection of Competition whether it is possible to take advantage of free framework cooperation with banking houses without the need of a public contract (concession proceedings)</w:t>
            </w:r>
          </w:p>
        </w:tc>
      </w:tr>
    </w:tbl>
    <w:p w:rsidR="00065632" w:rsidRDefault="00065632" w:rsidP="00E53A48">
      <w:pPr>
        <w:rPr>
          <w:b/>
          <w:bCs/>
        </w:rPr>
      </w:pPr>
    </w:p>
    <w:p w:rsidR="00065632" w:rsidRDefault="00560258" w:rsidP="000252FB">
      <w:pPr>
        <w:jc w:val="center"/>
      </w:pPr>
      <w:r>
        <w:rPr>
          <w:noProof/>
          <w:lang w:val="cs-CZ" w:eastAsia="cs-CZ"/>
        </w:rPr>
        <w:drawing>
          <wp:inline distT="0" distB="0" distL="0" distR="0">
            <wp:extent cx="4648200" cy="2876550"/>
            <wp:effectExtent l="0" t="0" r="0" b="0"/>
            <wp:docPr id="2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648200" cy="2876550"/>
                    </a:xfrm>
                    <a:prstGeom prst="rect">
                      <a:avLst/>
                    </a:prstGeom>
                    <a:noFill/>
                    <a:ln>
                      <a:noFill/>
                    </a:ln>
                  </pic:spPr>
                </pic:pic>
              </a:graphicData>
            </a:graphic>
          </wp:inline>
        </w:drawing>
      </w:r>
    </w:p>
    <w:p w:rsidR="00065632" w:rsidRDefault="00560258" w:rsidP="000252FB">
      <w:pPr>
        <w:jc w:val="center"/>
      </w:pPr>
      <w:r>
        <w:rPr>
          <w:noProof/>
          <w:lang w:val="cs-CZ" w:eastAsia="cs-CZ"/>
        </w:rPr>
        <w:drawing>
          <wp:inline distT="0" distB="0" distL="0" distR="0">
            <wp:extent cx="4781550" cy="2276475"/>
            <wp:effectExtent l="0" t="0" r="0" b="9525"/>
            <wp:docPr id="2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781550" cy="2276475"/>
                    </a:xfrm>
                    <a:prstGeom prst="rect">
                      <a:avLst/>
                    </a:prstGeom>
                    <a:noFill/>
                    <a:ln>
                      <a:noFill/>
                    </a:ln>
                  </pic:spPr>
                </pic:pic>
              </a:graphicData>
            </a:graphic>
          </wp:inline>
        </w:drawing>
      </w:r>
    </w:p>
    <w:p w:rsidR="00065632" w:rsidRDefault="00065632" w:rsidP="000252FB">
      <w:pPr>
        <w:pStyle w:val="Titulek"/>
        <w:jc w:val="center"/>
      </w:pPr>
      <w:bookmarkStart w:id="182" w:name="_Toc417655529"/>
      <w:bookmarkStart w:id="183" w:name="_Toc426033940"/>
      <w:r>
        <w:t xml:space="preserve">Figure </w:t>
      </w:r>
      <w:r>
        <w:fldChar w:fldCharType="begin"/>
      </w:r>
      <w:r>
        <w:instrText xml:space="preserve"> SEQ Obrázek \* ARABIC </w:instrText>
      </w:r>
      <w:r>
        <w:fldChar w:fldCharType="separate"/>
      </w:r>
      <w:r>
        <w:rPr>
          <w:noProof/>
        </w:rPr>
        <w:t>15</w:t>
      </w:r>
      <w:r>
        <w:fldChar w:fldCharType="end"/>
      </w:r>
      <w:r>
        <w:t>: Model scheme of operation of the financial instrument OPTION 1 Syndicated loan</w:t>
      </w:r>
      <w:bookmarkEnd w:id="182"/>
      <w:bookmarkEnd w:id="183"/>
    </w:p>
    <w:p w:rsidR="00065632" w:rsidRDefault="00065632" w:rsidP="00912E5D"/>
    <w:p w:rsidR="00065632" w:rsidRPr="0057251F" w:rsidRDefault="00065632" w:rsidP="00912E5D"/>
    <w:p w:rsidR="00065632" w:rsidRPr="0057251F" w:rsidRDefault="00065632" w:rsidP="00912E5D"/>
    <w:p w:rsidR="00065632" w:rsidRPr="0057251F" w:rsidRDefault="00065632" w:rsidP="00912E5D"/>
    <w:p w:rsidR="00065632" w:rsidRPr="00912E5D" w:rsidRDefault="00065632" w:rsidP="00912E5D">
      <w:pPr>
        <w:rPr>
          <w:highlight w:val="yellow"/>
        </w:rPr>
      </w:pPr>
      <w:r w:rsidRPr="00912E5D">
        <w:rPr>
          <w:highlight w:val="yellow"/>
        </w:rPr>
        <w:t>Risk sharing: first piece loss 10%</w:t>
      </w:r>
    </w:p>
    <w:p w:rsidR="00065632" w:rsidRPr="00912E5D" w:rsidRDefault="00065632" w:rsidP="00912E5D">
      <w:pPr>
        <w:rPr>
          <w:highlight w:val="yellow"/>
        </w:rPr>
      </w:pPr>
      <w:r w:rsidRPr="00912E5D">
        <w:rPr>
          <w:highlight w:val="yellow"/>
        </w:rPr>
        <w:t>ENERGETIKA fund</w:t>
      </w:r>
    </w:p>
    <w:p w:rsidR="00065632" w:rsidRPr="00912E5D" w:rsidRDefault="00065632" w:rsidP="00065632">
      <w:pPr>
        <w:numPr>
          <w:ilvl w:val="0"/>
          <w:numId w:val="68"/>
        </w:numPr>
        <w:spacing w:after="0"/>
        <w:jc w:val="left"/>
        <w:rPr>
          <w:highlight w:val="yellow"/>
        </w:rPr>
      </w:pPr>
      <w:r w:rsidRPr="00912E5D">
        <w:rPr>
          <w:highlight w:val="yellow"/>
        </w:rPr>
        <w:t>Contribution of 50% of funds</w:t>
      </w:r>
    </w:p>
    <w:p w:rsidR="00065632" w:rsidRPr="00912E5D" w:rsidRDefault="00065632" w:rsidP="00065632">
      <w:pPr>
        <w:numPr>
          <w:ilvl w:val="0"/>
          <w:numId w:val="68"/>
        </w:numPr>
        <w:spacing w:after="0"/>
        <w:jc w:val="left"/>
        <w:rPr>
          <w:highlight w:val="yellow"/>
        </w:rPr>
      </w:pPr>
      <w:r w:rsidRPr="00912E5D">
        <w:rPr>
          <w:highlight w:val="yellow"/>
        </w:rPr>
        <w:t>Interest rate 0.5%</w:t>
      </w:r>
    </w:p>
    <w:p w:rsidR="00065632" w:rsidRPr="00912E5D" w:rsidRDefault="00065632" w:rsidP="00912E5D">
      <w:pPr>
        <w:rPr>
          <w:highlight w:val="yellow"/>
        </w:rPr>
      </w:pPr>
    </w:p>
    <w:p w:rsidR="00065632" w:rsidRPr="00912E5D" w:rsidRDefault="00065632" w:rsidP="00912E5D">
      <w:pPr>
        <w:rPr>
          <w:highlight w:val="yellow"/>
        </w:rPr>
      </w:pPr>
      <w:r w:rsidRPr="00912E5D">
        <w:rPr>
          <w:highlight w:val="yellow"/>
        </w:rPr>
        <w:t>Co-financing entities</w:t>
      </w:r>
    </w:p>
    <w:p w:rsidR="00065632" w:rsidRPr="00912E5D" w:rsidRDefault="00065632" w:rsidP="00065632">
      <w:pPr>
        <w:numPr>
          <w:ilvl w:val="0"/>
          <w:numId w:val="68"/>
        </w:numPr>
        <w:spacing w:after="0"/>
        <w:jc w:val="left"/>
        <w:rPr>
          <w:highlight w:val="yellow"/>
        </w:rPr>
      </w:pPr>
      <w:r w:rsidRPr="00912E5D">
        <w:rPr>
          <w:highlight w:val="yellow"/>
        </w:rPr>
        <w:t>Contribution of 50% of funds</w:t>
      </w:r>
    </w:p>
    <w:p w:rsidR="00065632" w:rsidRPr="00912E5D" w:rsidRDefault="00065632" w:rsidP="00065632">
      <w:pPr>
        <w:numPr>
          <w:ilvl w:val="0"/>
          <w:numId w:val="68"/>
        </w:numPr>
        <w:spacing w:after="0"/>
        <w:jc w:val="left"/>
        <w:rPr>
          <w:highlight w:val="yellow"/>
        </w:rPr>
      </w:pPr>
      <w:r w:rsidRPr="00912E5D">
        <w:rPr>
          <w:highlight w:val="yellow"/>
        </w:rPr>
        <w:t>Interest rate 2.5%</w:t>
      </w:r>
    </w:p>
    <w:p w:rsidR="00065632" w:rsidRPr="00912E5D" w:rsidRDefault="00065632" w:rsidP="00912E5D">
      <w:pPr>
        <w:rPr>
          <w:highlight w:val="yellow"/>
        </w:rPr>
      </w:pPr>
    </w:p>
    <w:p w:rsidR="00065632" w:rsidRPr="00912E5D" w:rsidRDefault="00065632" w:rsidP="00912E5D">
      <w:pPr>
        <w:rPr>
          <w:highlight w:val="yellow"/>
        </w:rPr>
      </w:pPr>
    </w:p>
    <w:p w:rsidR="00065632" w:rsidRPr="00912E5D" w:rsidRDefault="00065632" w:rsidP="00912E5D">
      <w:pPr>
        <w:rPr>
          <w:highlight w:val="yellow"/>
        </w:rPr>
      </w:pPr>
      <w:r w:rsidRPr="00912E5D">
        <w:rPr>
          <w:highlight w:val="yellow"/>
        </w:rPr>
        <w:t>Financing of the investment project</w:t>
      </w:r>
    </w:p>
    <w:p w:rsidR="00065632" w:rsidRPr="00912E5D" w:rsidRDefault="00065632" w:rsidP="00912E5D">
      <w:pPr>
        <w:rPr>
          <w:highlight w:val="yellow"/>
        </w:rPr>
      </w:pPr>
      <w:r w:rsidRPr="00912E5D">
        <w:rPr>
          <w:highlight w:val="yellow"/>
        </w:rPr>
        <w:t>Interest rate 1.5%</w:t>
      </w:r>
    </w:p>
    <w:p w:rsidR="00065632" w:rsidRPr="00912E5D" w:rsidRDefault="00065632" w:rsidP="00912E5D">
      <w:pPr>
        <w:rPr>
          <w:highlight w:val="yellow"/>
        </w:rPr>
      </w:pPr>
    </w:p>
    <w:p w:rsidR="00065632" w:rsidRPr="00912E5D" w:rsidRDefault="00065632" w:rsidP="00912E5D">
      <w:pPr>
        <w:rPr>
          <w:highlight w:val="yellow"/>
        </w:rPr>
      </w:pPr>
    </w:p>
    <w:p w:rsidR="00065632" w:rsidRPr="00912E5D" w:rsidRDefault="00065632" w:rsidP="00912E5D">
      <w:pPr>
        <w:rPr>
          <w:highlight w:val="yellow"/>
        </w:rPr>
      </w:pPr>
      <w:r w:rsidRPr="00912E5D">
        <w:rPr>
          <w:highlight w:val="yellow"/>
        </w:rPr>
        <w:t>APPLICANT’S OWN RESOURCES</w:t>
      </w:r>
    </w:p>
    <w:p w:rsidR="00065632" w:rsidRPr="00912E5D" w:rsidRDefault="00065632" w:rsidP="00912E5D">
      <w:pPr>
        <w:rPr>
          <w:highlight w:val="yellow"/>
        </w:rPr>
      </w:pPr>
      <w:r w:rsidRPr="00912E5D">
        <w:rPr>
          <w:highlight w:val="yellow"/>
        </w:rPr>
        <w:t xml:space="preserve">PANEL+ or JESSICA + </w:t>
      </w:r>
    </w:p>
    <w:p w:rsidR="00065632" w:rsidRPr="00912E5D" w:rsidRDefault="00065632" w:rsidP="00912E5D">
      <w:pPr>
        <w:rPr>
          <w:highlight w:val="yellow"/>
        </w:rPr>
      </w:pPr>
      <w:r w:rsidRPr="00912E5D">
        <w:rPr>
          <w:highlight w:val="yellow"/>
        </w:rPr>
        <w:t>FINANCIAL INSTITUTION</w:t>
      </w:r>
    </w:p>
    <w:p w:rsidR="00065632" w:rsidRPr="00912E5D" w:rsidRDefault="00065632" w:rsidP="00912E5D">
      <w:pPr>
        <w:rPr>
          <w:highlight w:val="yellow"/>
        </w:rPr>
      </w:pPr>
    </w:p>
    <w:p w:rsidR="00065632" w:rsidRPr="00912E5D" w:rsidRDefault="00065632" w:rsidP="00912E5D">
      <w:pPr>
        <w:rPr>
          <w:highlight w:val="yellow"/>
        </w:rPr>
      </w:pPr>
      <w:r w:rsidRPr="00912E5D">
        <w:rPr>
          <w:highlight w:val="yellow"/>
        </w:rPr>
        <w:t>Projects of residential buildings revitalisation</w:t>
      </w:r>
    </w:p>
    <w:p w:rsidR="00065632" w:rsidRPr="00912E5D" w:rsidRDefault="00065632" w:rsidP="00912E5D">
      <w:pPr>
        <w:rPr>
          <w:highlight w:val="yellow"/>
        </w:rPr>
      </w:pPr>
    </w:p>
    <w:p w:rsidR="00065632" w:rsidRPr="00912E5D" w:rsidRDefault="00065632" w:rsidP="00912E5D">
      <w:pPr>
        <w:rPr>
          <w:highlight w:val="yellow"/>
        </w:rPr>
      </w:pPr>
    </w:p>
    <w:p w:rsidR="00065632" w:rsidRPr="00912E5D" w:rsidRDefault="00065632" w:rsidP="00912E5D">
      <w:pPr>
        <w:rPr>
          <w:highlight w:val="yellow"/>
        </w:rPr>
      </w:pPr>
    </w:p>
    <w:p w:rsidR="00065632" w:rsidRPr="00912E5D" w:rsidRDefault="00065632" w:rsidP="00912E5D">
      <w:pPr>
        <w:rPr>
          <w:highlight w:val="yellow"/>
        </w:rPr>
      </w:pPr>
    </w:p>
    <w:p w:rsidR="00065632" w:rsidRPr="00912E5D" w:rsidRDefault="00065632" w:rsidP="00912E5D">
      <w:pPr>
        <w:rPr>
          <w:highlight w:val="yellow"/>
        </w:rPr>
      </w:pPr>
      <w:r w:rsidRPr="00912E5D">
        <w:rPr>
          <w:highlight w:val="yellow"/>
        </w:rPr>
        <w:t>Explanatory notes on the diagram of model functioning</w:t>
      </w:r>
    </w:p>
    <w:p w:rsidR="00065632" w:rsidRPr="00912E5D" w:rsidRDefault="00065632" w:rsidP="00912E5D">
      <w:pPr>
        <w:rPr>
          <w:highlight w:val="yellow"/>
        </w:rPr>
      </w:pPr>
      <w:r w:rsidRPr="00912E5D">
        <w:rPr>
          <w:highlight w:val="yellow"/>
        </w:rPr>
        <w:t>1 Loan application with a financial institution, assessment, proposal of co-financing and interest rate</w:t>
      </w:r>
    </w:p>
    <w:p w:rsidR="00065632" w:rsidRPr="00912E5D" w:rsidRDefault="00065632" w:rsidP="00912E5D">
      <w:pPr>
        <w:rPr>
          <w:highlight w:val="yellow"/>
        </w:rPr>
      </w:pPr>
      <w:r w:rsidRPr="00912E5D">
        <w:rPr>
          <w:highlight w:val="yellow"/>
        </w:rPr>
        <w:t>2 Assessment by the Fund, check and calculation of GGE, evaluation of entitlement to the subsidy component</w:t>
      </w:r>
    </w:p>
    <w:p w:rsidR="00065632" w:rsidRPr="00912E5D" w:rsidRDefault="00065632" w:rsidP="00912E5D">
      <w:pPr>
        <w:rPr>
          <w:highlight w:val="yellow"/>
        </w:rPr>
      </w:pPr>
      <w:r w:rsidRPr="00912E5D">
        <w:rPr>
          <w:highlight w:val="yellow"/>
        </w:rPr>
        <w:t xml:space="preserve">3 Agreement </w:t>
      </w:r>
      <w:proofErr w:type="gramStart"/>
      <w:r w:rsidRPr="00912E5D">
        <w:rPr>
          <w:highlight w:val="yellow"/>
        </w:rPr>
        <w:t>conclusion</w:t>
      </w:r>
      <w:proofErr w:type="gramEnd"/>
      <w:r w:rsidRPr="00912E5D">
        <w:rPr>
          <w:highlight w:val="yellow"/>
        </w:rPr>
        <w:t xml:space="preserve"> with the financial institution</w:t>
      </w:r>
    </w:p>
    <w:p w:rsidR="00065632" w:rsidRPr="00912E5D" w:rsidRDefault="00065632" w:rsidP="00912E5D">
      <w:pPr>
        <w:rPr>
          <w:highlight w:val="yellow"/>
        </w:rPr>
      </w:pPr>
      <w:r w:rsidRPr="00912E5D">
        <w:rPr>
          <w:highlight w:val="yellow"/>
        </w:rPr>
        <w:t xml:space="preserve">4 Agreement </w:t>
      </w:r>
      <w:proofErr w:type="gramStart"/>
      <w:r w:rsidRPr="00912E5D">
        <w:rPr>
          <w:highlight w:val="yellow"/>
        </w:rPr>
        <w:t>conclusion</w:t>
      </w:r>
      <w:proofErr w:type="gramEnd"/>
      <w:r w:rsidRPr="00912E5D">
        <w:rPr>
          <w:highlight w:val="yellow"/>
        </w:rPr>
        <w:t xml:space="preserve"> with the beneficiary</w:t>
      </w:r>
    </w:p>
    <w:p w:rsidR="00065632" w:rsidRPr="00912E5D" w:rsidRDefault="00065632" w:rsidP="00912E5D">
      <w:pPr>
        <w:rPr>
          <w:highlight w:val="yellow"/>
        </w:rPr>
      </w:pPr>
      <w:r w:rsidRPr="00912E5D">
        <w:rPr>
          <w:highlight w:val="yellow"/>
        </w:rPr>
        <w:t>5 Delivery of a copy of the contractual relationship with the beneficiary</w:t>
      </w:r>
    </w:p>
    <w:p w:rsidR="00065632" w:rsidRPr="00912E5D" w:rsidRDefault="00065632" w:rsidP="00912E5D">
      <w:pPr>
        <w:rPr>
          <w:highlight w:val="yellow"/>
        </w:rPr>
      </w:pPr>
      <w:r w:rsidRPr="00912E5D">
        <w:rPr>
          <w:highlight w:val="yellow"/>
        </w:rPr>
        <w:t xml:space="preserve">6 Release of the respective tranches of funds according to the agreed share in co-financing of the project </w:t>
      </w:r>
    </w:p>
    <w:p w:rsidR="00065632" w:rsidRPr="00912E5D" w:rsidRDefault="00065632" w:rsidP="00912E5D">
      <w:pPr>
        <w:rPr>
          <w:highlight w:val="yellow"/>
        </w:rPr>
      </w:pPr>
      <w:r w:rsidRPr="00912E5D">
        <w:rPr>
          <w:highlight w:val="yellow"/>
        </w:rPr>
        <w:t>7 Release of the respective tranches of funds according to contractual arrangements</w:t>
      </w:r>
    </w:p>
    <w:p w:rsidR="00065632" w:rsidRPr="00912E5D" w:rsidRDefault="00065632" w:rsidP="00912E5D">
      <w:pPr>
        <w:rPr>
          <w:highlight w:val="yellow"/>
        </w:rPr>
      </w:pPr>
      <w:r w:rsidRPr="00912E5D">
        <w:rPr>
          <w:highlight w:val="yellow"/>
        </w:rPr>
        <w:t>8 Supplementation of the resources of the applicant, bank or a complementary programme for ineligible expenditure</w:t>
      </w:r>
    </w:p>
    <w:p w:rsidR="00065632" w:rsidRPr="00912E5D" w:rsidRDefault="00065632" w:rsidP="00912E5D">
      <w:pPr>
        <w:rPr>
          <w:highlight w:val="yellow"/>
        </w:rPr>
      </w:pPr>
      <w:r w:rsidRPr="00912E5D">
        <w:rPr>
          <w:highlight w:val="yellow"/>
        </w:rPr>
        <w:t xml:space="preserve">9 Regular </w:t>
      </w:r>
      <w:proofErr w:type="gramStart"/>
      <w:r w:rsidRPr="00912E5D">
        <w:rPr>
          <w:highlight w:val="yellow"/>
        </w:rPr>
        <w:t>payment</w:t>
      </w:r>
      <w:proofErr w:type="gramEnd"/>
      <w:r w:rsidRPr="00912E5D">
        <w:rPr>
          <w:highlight w:val="yellow"/>
        </w:rPr>
        <w:t xml:space="preserve"> of the interest and the principal of the provided soft loan</w:t>
      </w:r>
    </w:p>
    <w:p w:rsidR="00065632" w:rsidRPr="0057251F" w:rsidRDefault="00065632" w:rsidP="00912E5D">
      <w:r w:rsidRPr="00912E5D">
        <w:rPr>
          <w:highlight w:val="yellow"/>
        </w:rPr>
        <w:t>10 Clearing operations—breakdown of the received funds into the share of the financial institution and the Fund</w:t>
      </w:r>
    </w:p>
    <w:p w:rsidR="00065632" w:rsidRPr="0057251F" w:rsidRDefault="00065632" w:rsidP="00912E5D"/>
    <w:p w:rsidR="00065632" w:rsidRPr="0057251F" w:rsidRDefault="00065632" w:rsidP="00912E5D"/>
    <w:p w:rsidR="00065632" w:rsidRPr="0057251F" w:rsidRDefault="00065632" w:rsidP="00912E5D"/>
    <w:p w:rsidR="00065632" w:rsidRPr="0057251F" w:rsidRDefault="00065632" w:rsidP="00912E5D"/>
    <w:p w:rsidR="00065632" w:rsidRPr="00912E5D" w:rsidRDefault="00065632" w:rsidP="00912E5D"/>
    <w:p w:rsidR="00065632" w:rsidRDefault="00065632" w:rsidP="00E53A48">
      <w:pPr>
        <w:rPr>
          <w:b/>
          <w:bCs/>
        </w:rPr>
      </w:pPr>
      <w:r>
        <w:rPr>
          <w:b/>
          <w:bCs/>
        </w:rPr>
        <w:t>The Contractor recommends that the managing authority further work mainly with the above option No. 1 of the financial instrument; however, with regard to the requirements for the preparation of several possible scenarios in case of problems with further progress towards implementation, the Contractor also lists an alternative simpler scheme which is also a suitable form of assisting projects within the monitored specific objective through IROP funds.</w:t>
      </w:r>
    </w:p>
    <w:p w:rsidR="00065632" w:rsidRDefault="00065632" w:rsidP="00E53A48">
      <w:pPr>
        <w:rPr>
          <w:b/>
          <w:bCs/>
        </w:rPr>
      </w:pPr>
    </w:p>
    <w:tbl>
      <w:tblPr>
        <w:tblW w:w="0" w:type="auto"/>
        <w:tblInd w:w="-56" w:type="dxa"/>
        <w:tblBorders>
          <w:top w:val="single" w:sz="4" w:space="0" w:color="92D400"/>
          <w:bottom w:val="single" w:sz="4" w:space="0" w:color="92D400"/>
          <w:insideH w:val="single" w:sz="4" w:space="0" w:color="92D400"/>
        </w:tblBorders>
        <w:tblCellMar>
          <w:top w:w="28" w:type="dxa"/>
          <w:left w:w="28" w:type="dxa"/>
          <w:bottom w:w="28" w:type="dxa"/>
          <w:right w:w="28" w:type="dxa"/>
        </w:tblCellMar>
        <w:tblLook w:val="00A0" w:firstRow="1" w:lastRow="0" w:firstColumn="1" w:lastColumn="0" w:noHBand="0" w:noVBand="0"/>
      </w:tblPr>
      <w:tblGrid>
        <w:gridCol w:w="1729"/>
        <w:gridCol w:w="7371"/>
      </w:tblGrid>
      <w:tr w:rsidR="00065632">
        <w:tc>
          <w:tcPr>
            <w:tcW w:w="9100" w:type="dxa"/>
            <w:gridSpan w:val="2"/>
            <w:shd w:val="clear" w:color="auto" w:fill="ECFFC3"/>
          </w:tcPr>
          <w:p w:rsidR="00065632" w:rsidRPr="00693AAF" w:rsidRDefault="00065632" w:rsidP="00693AAF">
            <w:pPr>
              <w:spacing w:after="0"/>
              <w:ind w:left="38"/>
              <w:rPr>
                <w:b/>
                <w:bCs/>
                <w:color w:val="FFFFFF"/>
              </w:rPr>
            </w:pPr>
            <w:r w:rsidRPr="00693AAF">
              <w:rPr>
                <w:b/>
                <w:bCs/>
              </w:rPr>
              <w:t xml:space="preserve">OPTION 2: Proposal for the instrument design in the form of </w:t>
            </w:r>
            <w:r>
              <w:rPr>
                <w:b/>
                <w:bCs/>
              </w:rPr>
              <w:t xml:space="preserve">a </w:t>
            </w:r>
            <w:r w:rsidRPr="00693AAF">
              <w:rPr>
                <w:b/>
                <w:bCs/>
              </w:rPr>
              <w:t>separately provided soft loan</w:t>
            </w:r>
          </w:p>
        </w:tc>
      </w:tr>
      <w:tr w:rsidR="00065632">
        <w:tc>
          <w:tcPr>
            <w:tcW w:w="1729" w:type="dxa"/>
            <w:shd w:val="clear" w:color="auto" w:fill="92D400"/>
            <w:noWrap/>
          </w:tcPr>
          <w:p w:rsidR="00065632" w:rsidRPr="00693AAF" w:rsidRDefault="00065632" w:rsidP="00693AAF">
            <w:pPr>
              <w:spacing w:after="0"/>
              <w:jc w:val="left"/>
              <w:rPr>
                <w:b/>
                <w:bCs/>
                <w:color w:val="FFFFFF"/>
              </w:rPr>
            </w:pPr>
            <w:r w:rsidRPr="00693AAF">
              <w:rPr>
                <w:b/>
                <w:bCs/>
                <w:color w:val="FFFFFF"/>
              </w:rPr>
              <w:t>Focus of the area of intervention</w:t>
            </w:r>
          </w:p>
        </w:tc>
        <w:tc>
          <w:tcPr>
            <w:tcW w:w="7371" w:type="dxa"/>
            <w:shd w:val="clear" w:color="auto" w:fill="FFFFFF"/>
            <w:noWrap/>
          </w:tcPr>
          <w:p w:rsidR="00065632" w:rsidRDefault="00065632" w:rsidP="00693AAF">
            <w:pPr>
              <w:spacing w:after="0"/>
            </w:pPr>
            <w:r>
              <w:t>Reduction in energy consumption in the housing sector; according to the programming document, eligible beneficiaries may be owners of residential buildings and associations of apartment owners – buildings with four and more apartments.</w:t>
            </w:r>
          </w:p>
          <w:p w:rsidR="00065632" w:rsidRDefault="00065632" w:rsidP="00693AAF">
            <w:pPr>
              <w:spacing w:after="0"/>
            </w:pPr>
          </w:p>
          <w:p w:rsidR="00065632" w:rsidRPr="00693AAF" w:rsidRDefault="00065632" w:rsidP="00693AAF">
            <w:pPr>
              <w:spacing w:after="0"/>
              <w:rPr>
                <w:b/>
                <w:bCs/>
              </w:rPr>
            </w:pPr>
            <w:r w:rsidRPr="00693AAF">
              <w:rPr>
                <w:b/>
                <w:bCs/>
              </w:rPr>
              <w:t xml:space="preserve">The tools is designed for use in all areas of intervention of IROP specific objective 2.5 – the MA is considering introduction of a specific regime for a selected groups of projects according to a geographic matrix which have higher priority and urgency of solution. The Contractor agrees with setting different rules for such group of projects – either provision of direct subsidy or offering of an identical financial instrument but with a bonus (subsidy component, lower interest, better conditions). </w:t>
            </w:r>
          </w:p>
        </w:tc>
      </w:tr>
      <w:tr w:rsidR="00065632">
        <w:tc>
          <w:tcPr>
            <w:tcW w:w="1729" w:type="dxa"/>
            <w:shd w:val="clear" w:color="auto" w:fill="92D400"/>
            <w:noWrap/>
          </w:tcPr>
          <w:p w:rsidR="00065632" w:rsidRPr="00693AAF" w:rsidRDefault="00065632" w:rsidP="00693AAF">
            <w:pPr>
              <w:spacing w:after="0"/>
              <w:jc w:val="left"/>
              <w:rPr>
                <w:b/>
                <w:bCs/>
                <w:color w:val="FFFFFF"/>
              </w:rPr>
            </w:pPr>
            <w:r w:rsidRPr="00693AAF">
              <w:rPr>
                <w:b/>
                <w:bCs/>
                <w:color w:val="FFFFFF"/>
              </w:rPr>
              <w:t>Form of aid</w:t>
            </w:r>
          </w:p>
        </w:tc>
        <w:tc>
          <w:tcPr>
            <w:tcW w:w="7371" w:type="dxa"/>
            <w:shd w:val="clear" w:color="auto" w:fill="FFFFFF"/>
            <w:noWrap/>
          </w:tcPr>
          <w:p w:rsidR="00065632" w:rsidRDefault="00065632" w:rsidP="00693AAF">
            <w:pPr>
              <w:spacing w:after="0"/>
            </w:pPr>
            <w:r>
              <w:t>A soft loan with a reduced interest rate, providing IROP funds up to the limit of allowed intensity of aid for eligible expenditure of an investment project, in recalculation according to the GGE. Possible subsidy-based aid up to a set limit of associated technical expenditure on project preparation (project documentation, etc.).</w:t>
            </w:r>
          </w:p>
          <w:p w:rsidR="00065632" w:rsidRDefault="00065632" w:rsidP="00693AAF">
            <w:pPr>
              <w:spacing w:after="0"/>
            </w:pPr>
          </w:p>
          <w:p w:rsidR="00065632" w:rsidRPr="002A6638" w:rsidRDefault="00065632" w:rsidP="00693AAF">
            <w:pPr>
              <w:spacing w:after="0"/>
            </w:pPr>
            <w:r w:rsidRPr="00693AAF">
              <w:rPr>
                <w:b/>
                <w:bCs/>
              </w:rPr>
              <w:t>This option of the instrument counts with provision of IROP funds by delegation of powers to the fund manager (a new entity within the MA or a selected entity governed by public law) and in cooperation with one co-financing entity (a financial institution selected by a public contract). A possible option is also the fund manager providing aid itself, without involvement of the banking sector.</w:t>
            </w:r>
            <w:r>
              <w:t xml:space="preserve"> This option leaves significantly less space for the multiplier effect and an increase in the potential of assisted projects because the leverage applies to a smaller volume of the project's eligible expenditure (10–30%, depending on the aid scheme used, see below).</w:t>
            </w:r>
          </w:p>
        </w:tc>
      </w:tr>
      <w:tr w:rsidR="00065632">
        <w:tc>
          <w:tcPr>
            <w:tcW w:w="1729" w:type="dxa"/>
            <w:shd w:val="clear" w:color="auto" w:fill="92D400"/>
            <w:noWrap/>
          </w:tcPr>
          <w:p w:rsidR="00065632" w:rsidRPr="00693AAF" w:rsidRDefault="00065632" w:rsidP="00693AAF">
            <w:pPr>
              <w:spacing w:after="0"/>
              <w:jc w:val="left"/>
              <w:rPr>
                <w:b/>
                <w:bCs/>
                <w:color w:val="FFFFFF"/>
              </w:rPr>
            </w:pPr>
            <w:r w:rsidRPr="00693AAF">
              <w:rPr>
                <w:b/>
                <w:bCs/>
                <w:color w:val="FFFFFF"/>
              </w:rPr>
              <w:t>State aid</w:t>
            </w:r>
          </w:p>
        </w:tc>
        <w:tc>
          <w:tcPr>
            <w:tcW w:w="7371" w:type="dxa"/>
            <w:shd w:val="clear" w:color="auto" w:fill="FFFFFF"/>
            <w:noWrap/>
          </w:tcPr>
          <w:p w:rsidR="00065632" w:rsidRDefault="00065632" w:rsidP="00693AAF">
            <w:pPr>
              <w:spacing w:after="0"/>
            </w:pPr>
            <w:r>
              <w:t>Based on the materials received from the Contractor and the follow-up discussion in personal meetings, the plan to use Art. 38 and 39 of the GBER was confirmed.</w:t>
            </w:r>
          </w:p>
          <w:p w:rsidR="00065632" w:rsidRPr="00557C29" w:rsidRDefault="00065632" w:rsidP="00065632">
            <w:pPr>
              <w:pStyle w:val="Odstavecseseznamem"/>
              <w:numPr>
                <w:ilvl w:val="0"/>
                <w:numId w:val="20"/>
              </w:numPr>
              <w:spacing w:after="0"/>
              <w:ind w:left="412" w:hanging="141"/>
            </w:pPr>
            <w:r>
              <w:t>Under Art. 38 of the GBER, the aid intensity shall not exceed 30% of the eligible costs; a bonus of +10% or +20% for SME may be achieved, and a bonus of 15% for investments located in especially assisted areas;</w:t>
            </w:r>
            <w:r>
              <w:rPr>
                <w:rStyle w:val="Znakapoznpodarou"/>
              </w:rPr>
              <w:footnoteReference w:id="20"/>
            </w:r>
          </w:p>
          <w:p w:rsidR="00065632" w:rsidRPr="008E587B" w:rsidRDefault="00065632" w:rsidP="00065632">
            <w:pPr>
              <w:pStyle w:val="Odstavecseseznamem"/>
              <w:numPr>
                <w:ilvl w:val="0"/>
                <w:numId w:val="20"/>
              </w:numPr>
              <w:spacing w:after="0"/>
              <w:ind w:left="412" w:hanging="141"/>
            </w:pPr>
            <w:r>
              <w:t>Under Art. 39 of the GBER, aid shall leverage additional investment from private investors at the level of a minimum of 30% of the total financing provided to a given project; the nominal value of the loan shall not exceed EUR 10 million per project at the level of the final beneficiaries; and in the case of asymmetric loss-sharing, the first loss assumed by the public investor shall be capped at 25 % of the total investment.</w:t>
            </w:r>
          </w:p>
          <w:p w:rsidR="00065632" w:rsidRDefault="00065632" w:rsidP="00693AAF">
            <w:pPr>
              <w:spacing w:after="0"/>
            </w:pPr>
          </w:p>
          <w:p w:rsidR="00065632" w:rsidRDefault="00065632" w:rsidP="00693AAF">
            <w:pPr>
              <w:spacing w:after="0"/>
            </w:pPr>
            <w:r>
              <w:t xml:space="preserve">Article 38 of the GBER is not designed for the use of financial instruments, therefore we recommend using Art. 39 of the GBER. In using Art. 39, it is necessary to comply primarily with the condition of at least 30% participation of private investors; in using Art. 38, </w:t>
            </w:r>
            <w:r w:rsidRPr="00693AAF">
              <w:rPr>
                <w:b/>
                <w:bCs/>
              </w:rPr>
              <w:t>it must be notes that the restriction of the aid intensity is applicable to actually provided advantage through public intervention, which is expresses as the gross grant equivalent</w:t>
            </w:r>
            <w:r>
              <w:t xml:space="preserve"> (GGE). GGE calculation is determined by the difference between the market interest rate and the soft loan interest rate in relation to the </w:t>
            </w:r>
            <w:r>
              <w:lastRenderedPageBreak/>
              <w:t xml:space="preserve">investment volume. The Contractor made model calculation for a typical project in the IROP monitored area – the results are presented in chapter 5.4.5. It may be noted that with regard to the results of modelling, aid using the </w:t>
            </w:r>
            <w:r w:rsidRPr="00693AAF">
              <w:rPr>
                <w:i/>
                <w:iCs/>
              </w:rPr>
              <w:t>de minimis</w:t>
            </w:r>
            <w:r>
              <w:t xml:space="preserve"> scheme may be involved.</w:t>
            </w:r>
            <w:r>
              <w:rPr>
                <w:rStyle w:val="Znakapoznpodarou"/>
              </w:rPr>
              <w:footnoteReference w:id="21"/>
            </w:r>
          </w:p>
          <w:p w:rsidR="00065632" w:rsidRDefault="00065632" w:rsidP="00693AAF">
            <w:pPr>
              <w:spacing w:after="0"/>
            </w:pPr>
          </w:p>
          <w:p w:rsidR="00065632" w:rsidRPr="00693AAF" w:rsidRDefault="00065632" w:rsidP="00693AAF">
            <w:pPr>
              <w:spacing w:after="0"/>
              <w:rPr>
                <w:b/>
                <w:bCs/>
              </w:rPr>
            </w:pPr>
            <w:r w:rsidRPr="00693AAF">
              <w:rPr>
                <w:b/>
                <w:bCs/>
              </w:rPr>
              <w:t xml:space="preserve">If the managing authority planned, despite the Contractor's recommendation, to provide aid only under the </w:t>
            </w:r>
            <w:r w:rsidRPr="00693AAF">
              <w:rPr>
                <w:b/>
                <w:bCs/>
                <w:i/>
                <w:iCs/>
              </w:rPr>
              <w:t>de minimis</w:t>
            </w:r>
            <w:r w:rsidRPr="00693AAF">
              <w:rPr>
                <w:b/>
                <w:bCs/>
              </w:rPr>
              <w:t xml:space="preserve"> scheme, the proposed construction is in accordance with rules for off-the-shelf instrument Renovation Loan. However, beneficiaries who have already exhausted the de minimis limit and beneficiaries that require investments greater than this limit will not be able to participate. </w:t>
            </w:r>
          </w:p>
        </w:tc>
      </w:tr>
      <w:tr w:rsidR="00065632">
        <w:tc>
          <w:tcPr>
            <w:tcW w:w="1729" w:type="dxa"/>
            <w:shd w:val="clear" w:color="auto" w:fill="92D400"/>
            <w:noWrap/>
          </w:tcPr>
          <w:p w:rsidR="00065632" w:rsidRPr="00693AAF" w:rsidRDefault="00065632" w:rsidP="00693AAF">
            <w:pPr>
              <w:spacing w:after="0"/>
              <w:jc w:val="left"/>
              <w:rPr>
                <w:b/>
                <w:bCs/>
                <w:color w:val="FFFFFF"/>
              </w:rPr>
            </w:pPr>
            <w:r w:rsidRPr="00693AAF">
              <w:rPr>
                <w:b/>
                <w:bCs/>
                <w:color w:val="FFFFFF"/>
              </w:rPr>
              <w:lastRenderedPageBreak/>
              <w:t>Amount of aid</w:t>
            </w:r>
          </w:p>
        </w:tc>
        <w:tc>
          <w:tcPr>
            <w:tcW w:w="7371" w:type="dxa"/>
            <w:shd w:val="clear" w:color="auto" w:fill="FFFFFF"/>
            <w:noWrap/>
          </w:tcPr>
          <w:p w:rsidR="00065632" w:rsidRDefault="00065632" w:rsidP="00693AAF">
            <w:pPr>
              <w:spacing w:after="0"/>
            </w:pPr>
            <w:r>
              <w:t>In practice, the Fund may, also in this option, finance up to 100% of the investment from IROP funds by means of a soft loan, and the state aid guidelines will continue to be complied with. At this point it is necessary to point out the issue of decision on the amount of provided aid in the view of absence of actual limits under state aid:</w:t>
            </w:r>
          </w:p>
          <w:p w:rsidR="00065632" w:rsidRDefault="00065632" w:rsidP="00065632">
            <w:pPr>
              <w:pStyle w:val="Odstavecseseznamem"/>
              <w:numPr>
                <w:ilvl w:val="0"/>
                <w:numId w:val="57"/>
              </w:numPr>
              <w:spacing w:after="0"/>
            </w:pPr>
            <w:r>
              <w:t xml:space="preserve">The amount of provided loan may be set at the level of 75–90% of eligible expenditure (as is currently applied in the JESSICA programme). This setting will certainly be interesting for the final beneficiaries, but it limits the potential of leverage (involvement of funds from commercial banks only at the level of 10–25%) and there is a threat of the crowding-out effect. </w:t>
            </w:r>
          </w:p>
          <w:p w:rsidR="00065632" w:rsidRDefault="00065632" w:rsidP="00065632">
            <w:pPr>
              <w:pStyle w:val="Odstavecseseznamem"/>
              <w:numPr>
                <w:ilvl w:val="0"/>
                <w:numId w:val="57"/>
              </w:numPr>
              <w:spacing w:after="0"/>
            </w:pPr>
            <w:r>
              <w:t xml:space="preserve">The amount of a provided loan may be set at the level of 50% of eligible expenditure, which provides more space for leverage though involvement of commercial banks. However, there may be an issue of low activation of projects as it will not appear sufficiently interesting and motivating to them. </w:t>
            </w:r>
          </w:p>
          <w:p w:rsidR="00065632" w:rsidRDefault="00065632" w:rsidP="00693AAF">
            <w:pPr>
              <w:spacing w:after="0"/>
            </w:pPr>
          </w:p>
          <w:p w:rsidR="00065632" w:rsidRPr="00693AAF" w:rsidRDefault="00065632" w:rsidP="00693AAF">
            <w:pPr>
              <w:spacing w:after="0"/>
              <w:rPr>
                <w:b/>
                <w:bCs/>
              </w:rPr>
            </w:pPr>
            <w:r w:rsidRPr="00693AAF">
              <w:rPr>
                <w:b/>
                <w:bCs/>
              </w:rPr>
              <w:t>In light of the positive experience with operation of the JESSICA programme, the Contractor considers it desirable to set the amount of a provided loan at 75% of eligible expenditure, which will eliminate the problem of possible crowing out of funds of commercial banks; the system is sufficiently motivating and, simultaneously, at least minimum average is generated.</w:t>
            </w:r>
          </w:p>
          <w:p w:rsidR="00065632" w:rsidRDefault="00065632" w:rsidP="00693AAF">
            <w:pPr>
              <w:spacing w:after="0"/>
            </w:pPr>
          </w:p>
          <w:p w:rsidR="00065632" w:rsidRPr="001B3F1E" w:rsidRDefault="00065632" w:rsidP="00693AAF">
            <w:pPr>
              <w:spacing w:after="0"/>
            </w:pPr>
            <w:r w:rsidRPr="00693AAF">
              <w:rPr>
                <w:b/>
                <w:bCs/>
              </w:rPr>
              <w:t xml:space="preserve">As regards the amount of required interest rate on IROP funds, with regard to the current market situation and the previous experience with operation of the JESSICA programme, the Contractor proposes to provide funds with an interest rate of 0.7–1.0% p.a. </w:t>
            </w:r>
            <w:r>
              <w:t xml:space="preserve">  </w:t>
            </w:r>
          </w:p>
        </w:tc>
      </w:tr>
      <w:tr w:rsidR="00065632">
        <w:tc>
          <w:tcPr>
            <w:tcW w:w="1729" w:type="dxa"/>
            <w:shd w:val="clear" w:color="auto" w:fill="92D400"/>
            <w:noWrap/>
          </w:tcPr>
          <w:p w:rsidR="00065632" w:rsidRPr="00693AAF" w:rsidRDefault="00065632" w:rsidP="00693AAF">
            <w:pPr>
              <w:spacing w:after="0"/>
              <w:jc w:val="left"/>
              <w:rPr>
                <w:b/>
                <w:bCs/>
                <w:color w:val="FFFFFF"/>
              </w:rPr>
            </w:pPr>
            <w:r w:rsidRPr="00693AAF">
              <w:rPr>
                <w:b/>
                <w:bCs/>
                <w:color w:val="FFFFFF"/>
              </w:rPr>
              <w:t>Aid parameters</w:t>
            </w:r>
          </w:p>
        </w:tc>
        <w:tc>
          <w:tcPr>
            <w:tcW w:w="7371" w:type="dxa"/>
            <w:shd w:val="clear" w:color="auto" w:fill="FFFFFF"/>
            <w:noWrap/>
          </w:tcPr>
          <w:p w:rsidR="00065632" w:rsidRDefault="00065632" w:rsidP="00693AAF">
            <w:pPr>
              <w:spacing w:after="0"/>
            </w:pPr>
            <w:r>
              <w:t>The repayment of a loan is secured by generated project energy savings. The provided soft loan has the following parameters:</w:t>
            </w:r>
          </w:p>
          <w:p w:rsidR="00065632" w:rsidRDefault="00065632" w:rsidP="00065632">
            <w:pPr>
              <w:pStyle w:val="Odstavecseseznamem"/>
              <w:numPr>
                <w:ilvl w:val="0"/>
                <w:numId w:val="20"/>
              </w:numPr>
              <w:spacing w:after="0"/>
              <w:ind w:left="412" w:hanging="141"/>
            </w:pPr>
            <w:r>
              <w:t>Coverage of eligible expenditure up to the defined amount of aid for the eligible part of investment; the remaining part of financing is to be secured by the beneficiaries themselves, independently of the IROP;</w:t>
            </w:r>
          </w:p>
          <w:p w:rsidR="00065632" w:rsidRDefault="00065632" w:rsidP="00065632">
            <w:pPr>
              <w:pStyle w:val="Odstavecseseznamem"/>
              <w:numPr>
                <w:ilvl w:val="0"/>
                <w:numId w:val="20"/>
              </w:numPr>
              <w:spacing w:after="0"/>
              <w:ind w:left="412" w:hanging="141"/>
            </w:pPr>
            <w:r>
              <w:t>Subsidy-based aid for the technical preparation of projects up to 5% of the project's investment costs;</w:t>
            </w:r>
          </w:p>
          <w:p w:rsidR="00065632" w:rsidRDefault="00065632" w:rsidP="00065632">
            <w:pPr>
              <w:pStyle w:val="Odstavecseseznamem"/>
              <w:numPr>
                <w:ilvl w:val="0"/>
                <w:numId w:val="20"/>
              </w:numPr>
              <w:spacing w:after="0"/>
              <w:ind w:left="412" w:hanging="141"/>
            </w:pPr>
            <w:r>
              <w:t>Loan maturity period not exceeding 20 years;</w:t>
            </w:r>
          </w:p>
          <w:p w:rsidR="00065632" w:rsidRDefault="00065632" w:rsidP="00065632">
            <w:pPr>
              <w:pStyle w:val="Odstavecseseznamem"/>
              <w:numPr>
                <w:ilvl w:val="0"/>
                <w:numId w:val="20"/>
              </w:numPr>
              <w:spacing w:after="0"/>
              <w:ind w:left="412" w:hanging="141"/>
            </w:pPr>
            <w:r>
              <w:t>Interest rate on IROP funds of 0.7–1.0% p.a., up to the defined intensity rate;</w:t>
            </w:r>
          </w:p>
          <w:p w:rsidR="00065632" w:rsidRDefault="00065632" w:rsidP="00065632">
            <w:pPr>
              <w:pStyle w:val="Odstavecseseznamem"/>
              <w:numPr>
                <w:ilvl w:val="0"/>
                <w:numId w:val="20"/>
              </w:numPr>
              <w:spacing w:after="0"/>
              <w:ind w:left="412" w:hanging="141"/>
            </w:pPr>
            <w:r>
              <w:t>Principal due along with the interest on a monthly basis;</w:t>
            </w:r>
          </w:p>
          <w:p w:rsidR="00065632" w:rsidRDefault="00065632" w:rsidP="00065632">
            <w:pPr>
              <w:pStyle w:val="Odstavecseseznamem"/>
              <w:numPr>
                <w:ilvl w:val="0"/>
                <w:numId w:val="20"/>
              </w:numPr>
              <w:spacing w:after="0"/>
              <w:ind w:left="412" w:hanging="141"/>
            </w:pPr>
            <w:r>
              <w:t>Specific-purpose loans may be used only to cover the eligible expenditure;</w:t>
            </w:r>
          </w:p>
          <w:p w:rsidR="00065632" w:rsidRDefault="00065632" w:rsidP="00065632">
            <w:pPr>
              <w:pStyle w:val="Odstavecseseznamem"/>
              <w:numPr>
                <w:ilvl w:val="0"/>
                <w:numId w:val="20"/>
              </w:numPr>
              <w:spacing w:after="0"/>
              <w:ind w:left="412" w:hanging="141"/>
            </w:pPr>
            <w:r>
              <w:t>Selection of security by agreement based on local conditions.</w:t>
            </w:r>
          </w:p>
        </w:tc>
      </w:tr>
      <w:tr w:rsidR="00065632">
        <w:tc>
          <w:tcPr>
            <w:tcW w:w="1729" w:type="dxa"/>
            <w:shd w:val="clear" w:color="auto" w:fill="92D400"/>
            <w:noWrap/>
          </w:tcPr>
          <w:p w:rsidR="00065632" w:rsidRPr="00693AAF" w:rsidRDefault="00065632" w:rsidP="00693AAF">
            <w:pPr>
              <w:spacing w:after="0"/>
              <w:jc w:val="left"/>
              <w:rPr>
                <w:b/>
                <w:bCs/>
                <w:color w:val="FFFFFF"/>
              </w:rPr>
            </w:pPr>
            <w:r w:rsidRPr="00693AAF">
              <w:rPr>
                <w:b/>
                <w:bCs/>
                <w:color w:val="FFFFFF"/>
              </w:rPr>
              <w:t>Implementation structure and procedural steps</w:t>
            </w:r>
          </w:p>
        </w:tc>
        <w:tc>
          <w:tcPr>
            <w:tcW w:w="7371" w:type="dxa"/>
            <w:shd w:val="clear" w:color="auto" w:fill="FFFFFF"/>
            <w:noWrap/>
          </w:tcPr>
          <w:p w:rsidR="00065632" w:rsidRDefault="00065632" w:rsidP="00693AAF">
            <w:pPr>
              <w:spacing w:after="0"/>
            </w:pPr>
            <w:r>
              <w:t xml:space="preserve">Soft loans may be requested in any branch of the selected entity which will be selected in a public contract. The selected entity will determine the initial rating of the applicant and his project, check the eligibility of project expenditure, evaluate fulfilment of state aid guidelines and calculate GGE, evaluates the project's entitlement to preferential </w:t>
            </w:r>
            <w:r>
              <w:lastRenderedPageBreak/>
              <w:t>treatment (see the considered introduction of a special regime for a selected group of projects based on a geographic matrix). If all aspects are satisfactory, it enters into a loan relationship with the beneficiary and finances the project from sources entrusted to it in tranches by the manager of the IROP Fund. The beneficiary is to repay the interest and the principal to the selected financial institution, which carries out reporting, based on the agreed periodicity, to the fund manager and makes financial settlement.</w:t>
            </w:r>
          </w:p>
          <w:p w:rsidR="00065632" w:rsidRDefault="00065632" w:rsidP="00693AAF">
            <w:pPr>
              <w:spacing w:after="0"/>
            </w:pPr>
          </w:p>
          <w:p w:rsidR="00065632" w:rsidRPr="00693AAF" w:rsidRDefault="00065632" w:rsidP="00693AAF">
            <w:pPr>
              <w:spacing w:after="0"/>
              <w:rPr>
                <w:b/>
                <w:bCs/>
              </w:rPr>
            </w:pPr>
            <w:r w:rsidRPr="00693AAF">
              <w:rPr>
                <w:b/>
                <w:bCs/>
              </w:rPr>
              <w:t xml:space="preserve">In reflecting on the interest of financial institutions in being involved in the defined role of a provider of soft loans, the list of roles which this entity should </w:t>
            </w:r>
            <w:proofErr w:type="gramStart"/>
            <w:r w:rsidRPr="00693AAF">
              <w:rPr>
                <w:b/>
                <w:bCs/>
              </w:rPr>
              <w:t>assume,</w:t>
            </w:r>
            <w:proofErr w:type="gramEnd"/>
            <w:r w:rsidRPr="00693AAF">
              <w:rPr>
                <w:b/>
                <w:bCs/>
              </w:rPr>
              <w:t xml:space="preserve"> could be modified and the rights and obligations could be divided between this entity and the manager of the IROP fund.</w:t>
            </w:r>
          </w:p>
        </w:tc>
      </w:tr>
      <w:tr w:rsidR="00065632">
        <w:tc>
          <w:tcPr>
            <w:tcW w:w="1729" w:type="dxa"/>
            <w:shd w:val="clear" w:color="auto" w:fill="92D400"/>
            <w:noWrap/>
          </w:tcPr>
          <w:p w:rsidR="00065632" w:rsidRPr="00693AAF" w:rsidRDefault="00065632" w:rsidP="00693AAF">
            <w:pPr>
              <w:spacing w:after="0"/>
              <w:jc w:val="left"/>
              <w:rPr>
                <w:b/>
                <w:bCs/>
                <w:color w:val="FFFFFF"/>
              </w:rPr>
            </w:pPr>
            <w:r w:rsidRPr="00693AAF">
              <w:rPr>
                <w:b/>
                <w:bCs/>
                <w:color w:val="FFFFFF"/>
              </w:rPr>
              <w:lastRenderedPageBreak/>
              <w:t>Final beneficiaries</w:t>
            </w:r>
          </w:p>
        </w:tc>
        <w:tc>
          <w:tcPr>
            <w:tcW w:w="7371" w:type="dxa"/>
            <w:shd w:val="clear" w:color="auto" w:fill="FFFFFF"/>
            <w:noWrap/>
          </w:tcPr>
          <w:p w:rsidR="00065632" w:rsidRDefault="00065632" w:rsidP="00693AAF">
            <w:pPr>
              <w:spacing w:after="0"/>
            </w:pPr>
            <w:r>
              <w:t>As defined in the IROP programming document:</w:t>
            </w:r>
          </w:p>
          <w:p w:rsidR="00065632" w:rsidRDefault="00065632" w:rsidP="00065632">
            <w:pPr>
              <w:pStyle w:val="Odstavecseseznamem"/>
              <w:numPr>
                <w:ilvl w:val="0"/>
                <w:numId w:val="20"/>
              </w:numPr>
              <w:spacing w:after="0"/>
              <w:ind w:left="412" w:hanging="141"/>
            </w:pPr>
            <w:r>
              <w:t>owners of residential buildings and associations of apartment owners—buildings with four and more apartments;</w:t>
            </w:r>
          </w:p>
          <w:p w:rsidR="00065632" w:rsidRDefault="00065632" w:rsidP="00065632">
            <w:pPr>
              <w:pStyle w:val="Odstavecseseznamem"/>
              <w:numPr>
                <w:ilvl w:val="0"/>
                <w:numId w:val="20"/>
              </w:numPr>
              <w:spacing w:after="0"/>
              <w:ind w:left="412" w:hanging="141"/>
            </w:pPr>
            <w:proofErr w:type="gramStart"/>
            <w:r>
              <w:t>aid</w:t>
            </w:r>
            <w:proofErr w:type="gramEnd"/>
            <w:r>
              <w:t xml:space="preserve"> will not be provided in the territory of Prague.</w:t>
            </w:r>
          </w:p>
          <w:p w:rsidR="00065632" w:rsidRDefault="00065632" w:rsidP="00693AAF">
            <w:pPr>
              <w:pStyle w:val="Odstavecseseznamem"/>
              <w:spacing w:after="0"/>
            </w:pPr>
          </w:p>
          <w:p w:rsidR="00065632" w:rsidRPr="00EB56AC" w:rsidRDefault="00065632" w:rsidP="00693AAF">
            <w:pPr>
              <w:spacing w:after="0"/>
            </w:pPr>
            <w:r>
              <w:t xml:space="preserve">The aid intensity may be higher in the case of small and medium-sized enterprises, depending on the selected state aid scheme. </w:t>
            </w:r>
            <w:r w:rsidRPr="00693AAF">
              <w:rPr>
                <w:b/>
                <w:bCs/>
              </w:rPr>
              <w:t>Projects implemented in specially monitored areas will be assisted through a direct subsidy or will receive a bonus</w:t>
            </w:r>
            <w:r>
              <w:t xml:space="preserve"> – the matrix to define these special prioritised localities is being specified by the MA.</w:t>
            </w:r>
          </w:p>
        </w:tc>
      </w:tr>
      <w:tr w:rsidR="00065632">
        <w:tc>
          <w:tcPr>
            <w:tcW w:w="1729" w:type="dxa"/>
            <w:shd w:val="clear" w:color="auto" w:fill="92D400"/>
            <w:noWrap/>
          </w:tcPr>
          <w:p w:rsidR="00065632" w:rsidRPr="00693AAF" w:rsidRDefault="00065632" w:rsidP="00693AAF">
            <w:pPr>
              <w:spacing w:after="0"/>
              <w:jc w:val="left"/>
              <w:rPr>
                <w:b/>
                <w:bCs/>
                <w:color w:val="FFFFFF"/>
              </w:rPr>
            </w:pPr>
            <w:r w:rsidRPr="00693AAF">
              <w:rPr>
                <w:b/>
                <w:bCs/>
                <w:color w:val="FFFFFF"/>
              </w:rPr>
              <w:t>Motivational instruments for the co-financing entity</w:t>
            </w:r>
          </w:p>
        </w:tc>
        <w:tc>
          <w:tcPr>
            <w:tcW w:w="7371" w:type="dxa"/>
            <w:shd w:val="clear" w:color="auto" w:fill="FFFFFF"/>
            <w:noWrap/>
          </w:tcPr>
          <w:p w:rsidR="00065632" w:rsidRDefault="00065632" w:rsidP="00693AAF">
            <w:pPr>
              <w:spacing w:after="0"/>
            </w:pPr>
            <w:r>
              <w:t>A proposal to earmark an allocation exceeding CZK 16 billion for the use of financial instruments and connected provision of an information campaign by the IROP MA will allow for a creation of a portfolio of projects that will compete for loans in a situation where representatives of the financial sector repeatedly describe that they have a great volume of funds they would like to obtain returns on; there is rather a lack of interest on the side of investors. In this situation, the actual establishment of the fund and the proposed structures is a strong incentive for financial houses to apply for the role of an entity which would be the provider of IROP funds.</w:t>
            </w:r>
          </w:p>
          <w:p w:rsidR="00065632" w:rsidRDefault="00065632" w:rsidP="00693AAF">
            <w:pPr>
              <w:spacing w:after="0"/>
            </w:pPr>
          </w:p>
          <w:p w:rsidR="00065632" w:rsidRDefault="00065632" w:rsidP="00693AAF">
            <w:pPr>
              <w:spacing w:after="0"/>
            </w:pPr>
            <w:r>
              <w:t>To motivate the financial sector to participate, the Contractor proposes to pay a share in the management and success fee which will be, within the financial instrument, also paid to the Fund of Funds and the manager of the IROP Fund. With regard to the limits of the maximum share of managerial remuneration in the total allocation of instruments under preparation, we can expect that a considerable amount of these resources will be exhausted within managing structures (manager of the fund of funds, fund manager) – the Contractor expects that a sufficient part of these fees will be allocated to the involved entity so that it is motivating for the financial sector to apply for this role. The final amount of thus paid fee will be the key evaluation criterion of the public contract for the selection of this entity.</w:t>
            </w:r>
          </w:p>
          <w:p w:rsidR="00065632" w:rsidRDefault="00065632" w:rsidP="00693AAF">
            <w:pPr>
              <w:spacing w:after="0"/>
            </w:pPr>
          </w:p>
          <w:p w:rsidR="00065632" w:rsidRPr="00693AAF" w:rsidRDefault="00065632" w:rsidP="00693AAF">
            <w:pPr>
              <w:spacing w:after="0"/>
              <w:rPr>
                <w:b/>
                <w:bCs/>
              </w:rPr>
            </w:pPr>
            <w:r w:rsidRPr="00693AAF">
              <w:rPr>
                <w:b/>
                <w:bCs/>
              </w:rPr>
              <w:t>Under the above assumptions, the Contractor does not identify the need for involvement of additional motivation elements for the selection of an entity providing the IROP funds as justified. One of the possible solution options is that the Fund manager, which should be the SFHD, is the entity providing IROP funds.</w:t>
            </w:r>
          </w:p>
        </w:tc>
      </w:tr>
      <w:tr w:rsidR="00065632">
        <w:tc>
          <w:tcPr>
            <w:tcW w:w="1729" w:type="dxa"/>
            <w:shd w:val="clear" w:color="auto" w:fill="92D400"/>
            <w:noWrap/>
          </w:tcPr>
          <w:p w:rsidR="00065632" w:rsidRPr="00693AAF" w:rsidRDefault="00065632" w:rsidP="00693AAF">
            <w:pPr>
              <w:spacing w:after="0"/>
              <w:jc w:val="left"/>
              <w:rPr>
                <w:b/>
                <w:bCs/>
                <w:color w:val="FFFFFF"/>
              </w:rPr>
            </w:pPr>
            <w:r w:rsidRPr="00693AAF">
              <w:rPr>
                <w:b/>
                <w:bCs/>
                <w:color w:val="FFFFFF"/>
              </w:rPr>
              <w:t>Expected allocation</w:t>
            </w:r>
          </w:p>
        </w:tc>
        <w:tc>
          <w:tcPr>
            <w:tcW w:w="7371" w:type="dxa"/>
            <w:shd w:val="clear" w:color="auto" w:fill="FFFFFF"/>
            <w:noWrap/>
          </w:tcPr>
          <w:p w:rsidR="00065632" w:rsidRPr="00EB56AC" w:rsidRDefault="00065632" w:rsidP="00693AAF">
            <w:pPr>
              <w:spacing w:after="0"/>
            </w:pPr>
            <w:r>
              <w:t xml:space="preserve">CZK 16.8 billion (from EU resources, without funds from national co-financing) minus resources that will be earmarked to support projects in priority localities (if they are earmarked for aid through subsidy-based form). The Contractor proposes drawing the entire volume of allocation for the provision of soft loans; these funds will be used in the revolving form for the same purpose also after the end of the programming period. </w:t>
            </w:r>
          </w:p>
        </w:tc>
      </w:tr>
      <w:tr w:rsidR="00065632">
        <w:tc>
          <w:tcPr>
            <w:tcW w:w="1729" w:type="dxa"/>
            <w:shd w:val="clear" w:color="auto" w:fill="92D400"/>
            <w:noWrap/>
          </w:tcPr>
          <w:p w:rsidR="00065632" w:rsidRPr="00693AAF" w:rsidRDefault="00065632" w:rsidP="00693AAF">
            <w:pPr>
              <w:spacing w:after="0"/>
              <w:jc w:val="left"/>
              <w:rPr>
                <w:b/>
                <w:bCs/>
                <w:color w:val="FFFFFF"/>
              </w:rPr>
            </w:pPr>
            <w:r w:rsidRPr="00693AAF">
              <w:rPr>
                <w:b/>
                <w:bCs/>
                <w:color w:val="FFFFFF"/>
              </w:rPr>
              <w:t>Rate of drawing</w:t>
            </w:r>
          </w:p>
        </w:tc>
        <w:tc>
          <w:tcPr>
            <w:tcW w:w="7371" w:type="dxa"/>
            <w:shd w:val="clear" w:color="auto" w:fill="FFFFFF"/>
            <w:noWrap/>
          </w:tcPr>
          <w:p w:rsidR="00065632" w:rsidRPr="00A44EF1" w:rsidRDefault="00065632" w:rsidP="00693AAF">
            <w:pPr>
              <w:spacing w:after="0"/>
            </w:pPr>
            <w:r>
              <w:t xml:space="preserve">A continuous call for project submission, there is an assumption of exhaustion of resources of the investment cycle I within the first 5 years from commencement Resources returned to the financial instrument can be continuously reused without undue delay within the same financial instrument (revolving in the same financial instrument) or, after being paid back to the managing authority or the Fund of Funds, they will be used in accordance with Article 44 of Regulation (EU) No. 1303/2013.  The period for provision of loans under the financial instrument is </w:t>
            </w:r>
            <w:proofErr w:type="gramStart"/>
            <w:r>
              <w:t>set ,with</w:t>
            </w:r>
            <w:proofErr w:type="gramEnd"/>
            <w:r>
              <w:t xml:space="preserve"> regard to the need to ensure that funds from the operational programme (Art. 42 of the Common </w:t>
            </w:r>
            <w:r>
              <w:lastRenderedPageBreak/>
              <w:t>Provisions Regulation) are used for loans paid end beneficiaries by 31 December 2023.</w:t>
            </w:r>
          </w:p>
        </w:tc>
      </w:tr>
      <w:tr w:rsidR="00065632">
        <w:tc>
          <w:tcPr>
            <w:tcW w:w="1729" w:type="dxa"/>
            <w:shd w:val="clear" w:color="auto" w:fill="92D400"/>
            <w:noWrap/>
          </w:tcPr>
          <w:p w:rsidR="00065632" w:rsidRPr="00693AAF" w:rsidRDefault="00065632" w:rsidP="00693AAF">
            <w:pPr>
              <w:spacing w:after="0"/>
              <w:jc w:val="left"/>
              <w:rPr>
                <w:b/>
                <w:bCs/>
                <w:color w:val="FFFFFF"/>
              </w:rPr>
            </w:pPr>
            <w:r w:rsidRPr="00693AAF">
              <w:rPr>
                <w:b/>
                <w:bCs/>
                <w:color w:val="FFFFFF"/>
              </w:rPr>
              <w:lastRenderedPageBreak/>
              <w:t>Risks and bottlenecks to be resolved</w:t>
            </w:r>
          </w:p>
        </w:tc>
        <w:tc>
          <w:tcPr>
            <w:tcW w:w="7371" w:type="dxa"/>
            <w:shd w:val="clear" w:color="auto" w:fill="FFFFFF"/>
            <w:noWrap/>
          </w:tcPr>
          <w:p w:rsidR="00065632" w:rsidRPr="00EB56AC" w:rsidRDefault="00065632" w:rsidP="00065632">
            <w:pPr>
              <w:pStyle w:val="Odstavecseseznamem"/>
              <w:numPr>
                <w:ilvl w:val="0"/>
                <w:numId w:val="20"/>
              </w:numPr>
              <w:spacing w:after="0"/>
              <w:ind w:left="412" w:hanging="141"/>
            </w:pPr>
            <w:r>
              <w:t>Clarify the potential of use of debt financing and increase the multiplier effect of IROP sources.</w:t>
            </w:r>
          </w:p>
        </w:tc>
      </w:tr>
    </w:tbl>
    <w:p w:rsidR="00065632" w:rsidRDefault="00065632" w:rsidP="00E53A48">
      <w:pPr>
        <w:rPr>
          <w:b/>
          <w:bCs/>
        </w:rPr>
      </w:pPr>
    </w:p>
    <w:p w:rsidR="00065632" w:rsidRDefault="00560258" w:rsidP="00186CD7">
      <w:pPr>
        <w:jc w:val="center"/>
      </w:pPr>
      <w:r>
        <w:rPr>
          <w:noProof/>
          <w:lang w:val="cs-CZ" w:eastAsia="cs-CZ"/>
        </w:rPr>
        <w:drawing>
          <wp:inline distT="0" distB="0" distL="0" distR="0">
            <wp:extent cx="4095750" cy="2305050"/>
            <wp:effectExtent l="0" t="0" r="0" b="0"/>
            <wp:docPr id="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095750" cy="2305050"/>
                    </a:xfrm>
                    <a:prstGeom prst="rect">
                      <a:avLst/>
                    </a:prstGeom>
                    <a:noFill/>
                    <a:ln>
                      <a:noFill/>
                    </a:ln>
                  </pic:spPr>
                </pic:pic>
              </a:graphicData>
            </a:graphic>
          </wp:inline>
        </w:drawing>
      </w:r>
    </w:p>
    <w:p w:rsidR="00065632" w:rsidRDefault="00560258" w:rsidP="00186CD7">
      <w:pPr>
        <w:jc w:val="center"/>
      </w:pPr>
      <w:r>
        <w:rPr>
          <w:noProof/>
          <w:lang w:val="cs-CZ" w:eastAsia="cs-CZ"/>
        </w:rPr>
        <w:drawing>
          <wp:inline distT="0" distB="0" distL="0" distR="0">
            <wp:extent cx="4010025" cy="2162175"/>
            <wp:effectExtent l="0" t="0" r="9525" b="9525"/>
            <wp:docPr id="2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010025" cy="2162175"/>
                    </a:xfrm>
                    <a:prstGeom prst="rect">
                      <a:avLst/>
                    </a:prstGeom>
                    <a:noFill/>
                    <a:ln>
                      <a:noFill/>
                    </a:ln>
                  </pic:spPr>
                </pic:pic>
              </a:graphicData>
            </a:graphic>
          </wp:inline>
        </w:drawing>
      </w:r>
    </w:p>
    <w:p w:rsidR="00065632" w:rsidRDefault="00065632" w:rsidP="000252FB">
      <w:pPr>
        <w:pStyle w:val="Titulek"/>
      </w:pPr>
      <w:bookmarkStart w:id="184" w:name="_Toc417655530"/>
      <w:bookmarkStart w:id="185" w:name="_Toc426033941"/>
      <w:r>
        <w:t xml:space="preserve">Figure </w:t>
      </w:r>
      <w:r>
        <w:fldChar w:fldCharType="begin"/>
      </w:r>
      <w:r>
        <w:instrText xml:space="preserve"> SEQ Obrázek \* ARABIC </w:instrText>
      </w:r>
      <w:r>
        <w:fldChar w:fldCharType="separate"/>
      </w:r>
      <w:r>
        <w:rPr>
          <w:noProof/>
        </w:rPr>
        <w:t>16</w:t>
      </w:r>
      <w:r>
        <w:fldChar w:fldCharType="end"/>
      </w:r>
      <w:r>
        <w:t>: Model scheme of operation of the instrument OPTION 2 Independent soft loan</w:t>
      </w:r>
      <w:bookmarkEnd w:id="184"/>
      <w:bookmarkEnd w:id="185"/>
    </w:p>
    <w:p w:rsidR="00065632" w:rsidRDefault="00065632" w:rsidP="00912E5D"/>
    <w:p w:rsidR="00065632" w:rsidRDefault="00065632" w:rsidP="00912E5D"/>
    <w:p w:rsidR="00065632" w:rsidRPr="00912E5D" w:rsidRDefault="00065632" w:rsidP="00912E5D">
      <w:pPr>
        <w:rPr>
          <w:highlight w:val="yellow"/>
        </w:rPr>
      </w:pPr>
      <w:r w:rsidRPr="00912E5D">
        <w:rPr>
          <w:highlight w:val="yellow"/>
        </w:rPr>
        <w:t>ENERGETIKA fund</w:t>
      </w:r>
      <w:r w:rsidRPr="00912E5D">
        <w:rPr>
          <w:highlight w:val="yellow"/>
        </w:rPr>
        <w:tab/>
      </w:r>
      <w:r w:rsidRPr="00912E5D">
        <w:rPr>
          <w:highlight w:val="yellow"/>
        </w:rPr>
        <w:tab/>
      </w:r>
      <w:r w:rsidRPr="00912E5D">
        <w:rPr>
          <w:highlight w:val="yellow"/>
        </w:rPr>
        <w:tab/>
      </w:r>
      <w:r w:rsidRPr="00912E5D">
        <w:rPr>
          <w:highlight w:val="yellow"/>
        </w:rPr>
        <w:tab/>
        <w:t>Selected ENTITY providing soft loans</w:t>
      </w:r>
    </w:p>
    <w:p w:rsidR="00065632" w:rsidRPr="00912E5D" w:rsidRDefault="00065632" w:rsidP="00912E5D">
      <w:pPr>
        <w:rPr>
          <w:highlight w:val="yellow"/>
        </w:rPr>
      </w:pPr>
    </w:p>
    <w:p w:rsidR="00065632" w:rsidRPr="00912E5D" w:rsidRDefault="00065632" w:rsidP="00912E5D">
      <w:pPr>
        <w:rPr>
          <w:highlight w:val="yellow"/>
        </w:rPr>
      </w:pPr>
    </w:p>
    <w:p w:rsidR="00065632" w:rsidRPr="00912E5D" w:rsidRDefault="00065632" w:rsidP="00912E5D">
      <w:pPr>
        <w:rPr>
          <w:highlight w:val="yellow"/>
        </w:rPr>
      </w:pPr>
      <w:r w:rsidRPr="00912E5D">
        <w:rPr>
          <w:highlight w:val="yellow"/>
        </w:rPr>
        <w:tab/>
      </w:r>
      <w:r w:rsidRPr="00912E5D">
        <w:rPr>
          <w:highlight w:val="yellow"/>
        </w:rPr>
        <w:tab/>
      </w:r>
      <w:r w:rsidRPr="00912E5D">
        <w:rPr>
          <w:highlight w:val="yellow"/>
        </w:rPr>
        <w:tab/>
        <w:t>Soft loan 75–90% of eligible expenditure</w:t>
      </w:r>
    </w:p>
    <w:p w:rsidR="00065632" w:rsidRPr="00912E5D" w:rsidRDefault="00065632" w:rsidP="00912E5D">
      <w:pPr>
        <w:rPr>
          <w:highlight w:val="yellow"/>
        </w:rPr>
      </w:pPr>
      <w:r w:rsidRPr="00912E5D">
        <w:rPr>
          <w:highlight w:val="yellow"/>
        </w:rPr>
        <w:tab/>
      </w:r>
      <w:r w:rsidRPr="00912E5D">
        <w:rPr>
          <w:highlight w:val="yellow"/>
        </w:rPr>
        <w:tab/>
      </w:r>
      <w:r w:rsidRPr="00912E5D">
        <w:rPr>
          <w:highlight w:val="yellow"/>
        </w:rPr>
        <w:tab/>
      </w:r>
    </w:p>
    <w:p w:rsidR="00065632" w:rsidRPr="00912E5D" w:rsidRDefault="00065632" w:rsidP="00912E5D">
      <w:pPr>
        <w:rPr>
          <w:highlight w:val="yellow"/>
        </w:rPr>
      </w:pPr>
      <w:r w:rsidRPr="00912E5D">
        <w:rPr>
          <w:highlight w:val="yellow"/>
        </w:rPr>
        <w:tab/>
      </w:r>
      <w:r w:rsidRPr="00912E5D">
        <w:rPr>
          <w:highlight w:val="yellow"/>
        </w:rPr>
        <w:tab/>
      </w:r>
      <w:r w:rsidRPr="00912E5D">
        <w:rPr>
          <w:highlight w:val="yellow"/>
        </w:rPr>
        <w:tab/>
      </w:r>
      <w:proofErr w:type="gramStart"/>
      <w:r w:rsidRPr="00912E5D">
        <w:rPr>
          <w:highlight w:val="yellow"/>
        </w:rPr>
        <w:t>Interest rate 0.7–1.0% p.a.</w:t>
      </w:r>
      <w:proofErr w:type="gramEnd"/>
    </w:p>
    <w:p w:rsidR="00065632" w:rsidRPr="00912E5D" w:rsidRDefault="00065632" w:rsidP="00912E5D">
      <w:pPr>
        <w:rPr>
          <w:highlight w:val="yellow"/>
        </w:rPr>
      </w:pPr>
    </w:p>
    <w:p w:rsidR="00065632" w:rsidRPr="00912E5D" w:rsidRDefault="00065632" w:rsidP="00912E5D">
      <w:pPr>
        <w:rPr>
          <w:highlight w:val="yellow"/>
        </w:rPr>
      </w:pPr>
    </w:p>
    <w:p w:rsidR="00065632" w:rsidRPr="00912E5D" w:rsidRDefault="00065632" w:rsidP="00912E5D">
      <w:pPr>
        <w:rPr>
          <w:highlight w:val="yellow"/>
        </w:rPr>
      </w:pPr>
      <w:r w:rsidRPr="00912E5D">
        <w:rPr>
          <w:highlight w:val="yellow"/>
        </w:rPr>
        <w:t>APPLICANT’S OWN RESOURCES</w:t>
      </w:r>
    </w:p>
    <w:p w:rsidR="00065632" w:rsidRPr="00912E5D" w:rsidRDefault="00065632" w:rsidP="00912E5D">
      <w:pPr>
        <w:rPr>
          <w:highlight w:val="yellow"/>
        </w:rPr>
      </w:pPr>
      <w:r w:rsidRPr="00912E5D">
        <w:rPr>
          <w:highlight w:val="yellow"/>
        </w:rPr>
        <w:t xml:space="preserve">PANEL+ or JESSICA + </w:t>
      </w:r>
    </w:p>
    <w:p w:rsidR="00065632" w:rsidRPr="00912E5D" w:rsidRDefault="00065632" w:rsidP="00912E5D">
      <w:pPr>
        <w:rPr>
          <w:highlight w:val="yellow"/>
        </w:rPr>
      </w:pPr>
      <w:r w:rsidRPr="00912E5D">
        <w:rPr>
          <w:highlight w:val="yellow"/>
        </w:rPr>
        <w:lastRenderedPageBreak/>
        <w:t>FINANCIAL INSTITUTION</w:t>
      </w:r>
    </w:p>
    <w:p w:rsidR="00065632" w:rsidRPr="00912E5D" w:rsidRDefault="00065632" w:rsidP="00912E5D">
      <w:pPr>
        <w:rPr>
          <w:highlight w:val="yellow"/>
        </w:rPr>
      </w:pPr>
    </w:p>
    <w:p w:rsidR="00065632" w:rsidRPr="00912E5D" w:rsidRDefault="00065632" w:rsidP="00912E5D">
      <w:pPr>
        <w:rPr>
          <w:highlight w:val="yellow"/>
        </w:rPr>
      </w:pPr>
      <w:r w:rsidRPr="00912E5D">
        <w:rPr>
          <w:highlight w:val="yellow"/>
        </w:rPr>
        <w:t>Projects of residential buildings revitalisation</w:t>
      </w:r>
    </w:p>
    <w:p w:rsidR="00065632" w:rsidRPr="00912E5D" w:rsidRDefault="00065632" w:rsidP="00912E5D">
      <w:pPr>
        <w:rPr>
          <w:highlight w:val="yellow"/>
        </w:rPr>
      </w:pPr>
    </w:p>
    <w:p w:rsidR="00065632" w:rsidRPr="00912E5D" w:rsidRDefault="00065632" w:rsidP="00912E5D">
      <w:pPr>
        <w:rPr>
          <w:highlight w:val="yellow"/>
        </w:rPr>
      </w:pPr>
    </w:p>
    <w:p w:rsidR="00065632" w:rsidRPr="00912E5D" w:rsidRDefault="00065632" w:rsidP="00912E5D">
      <w:pPr>
        <w:rPr>
          <w:highlight w:val="yellow"/>
        </w:rPr>
      </w:pPr>
    </w:p>
    <w:p w:rsidR="00065632" w:rsidRPr="00912E5D" w:rsidRDefault="00065632" w:rsidP="00912E5D">
      <w:pPr>
        <w:rPr>
          <w:highlight w:val="yellow"/>
        </w:rPr>
      </w:pPr>
    </w:p>
    <w:p w:rsidR="00065632" w:rsidRPr="00912E5D" w:rsidRDefault="00065632" w:rsidP="00912E5D">
      <w:pPr>
        <w:rPr>
          <w:highlight w:val="yellow"/>
        </w:rPr>
      </w:pPr>
      <w:r w:rsidRPr="00912E5D">
        <w:rPr>
          <w:highlight w:val="yellow"/>
        </w:rPr>
        <w:t>Explanatory notes on the diagram of model functioning</w:t>
      </w:r>
    </w:p>
    <w:p w:rsidR="00065632" w:rsidRPr="00912E5D" w:rsidRDefault="00065632" w:rsidP="00912E5D">
      <w:pPr>
        <w:rPr>
          <w:highlight w:val="yellow"/>
        </w:rPr>
      </w:pPr>
      <w:r w:rsidRPr="00912E5D">
        <w:rPr>
          <w:highlight w:val="yellow"/>
        </w:rPr>
        <w:t>1 Loan application with a financial institution, assessment of the application based on financial rating, check of compliance with IROP rules, calculation of GGE, assessment of entitlement to bonus</w:t>
      </w:r>
    </w:p>
    <w:p w:rsidR="00065632" w:rsidRPr="00912E5D" w:rsidRDefault="00065632" w:rsidP="00912E5D">
      <w:pPr>
        <w:rPr>
          <w:highlight w:val="yellow"/>
        </w:rPr>
      </w:pPr>
      <w:r w:rsidRPr="00912E5D">
        <w:rPr>
          <w:highlight w:val="yellow"/>
        </w:rPr>
        <w:t xml:space="preserve">2 Agreement </w:t>
      </w:r>
      <w:proofErr w:type="gramStart"/>
      <w:r w:rsidRPr="00912E5D">
        <w:rPr>
          <w:highlight w:val="yellow"/>
        </w:rPr>
        <w:t>conclusion</w:t>
      </w:r>
      <w:proofErr w:type="gramEnd"/>
      <w:r w:rsidRPr="00912E5D">
        <w:rPr>
          <w:highlight w:val="yellow"/>
        </w:rPr>
        <w:t xml:space="preserve"> with the beneficiary</w:t>
      </w:r>
    </w:p>
    <w:p w:rsidR="00065632" w:rsidRPr="00912E5D" w:rsidRDefault="00065632" w:rsidP="00912E5D">
      <w:pPr>
        <w:rPr>
          <w:highlight w:val="yellow"/>
        </w:rPr>
      </w:pPr>
      <w:r w:rsidRPr="00912E5D">
        <w:rPr>
          <w:highlight w:val="yellow"/>
        </w:rPr>
        <w:t>3 Release of the respective tranches of funds – according to the agreed financial and time framework</w:t>
      </w:r>
    </w:p>
    <w:p w:rsidR="00065632" w:rsidRPr="00912E5D" w:rsidRDefault="00065632" w:rsidP="00912E5D">
      <w:pPr>
        <w:rPr>
          <w:highlight w:val="yellow"/>
        </w:rPr>
      </w:pPr>
      <w:r w:rsidRPr="00912E5D">
        <w:rPr>
          <w:highlight w:val="yellow"/>
        </w:rPr>
        <w:t>4 Release of the respective tranches of funds according to the contractual arrangements with the final beneficiary</w:t>
      </w:r>
    </w:p>
    <w:p w:rsidR="00065632" w:rsidRPr="00912E5D" w:rsidRDefault="00065632" w:rsidP="00912E5D">
      <w:pPr>
        <w:rPr>
          <w:highlight w:val="yellow"/>
        </w:rPr>
      </w:pPr>
      <w:r w:rsidRPr="00912E5D">
        <w:rPr>
          <w:highlight w:val="yellow"/>
        </w:rPr>
        <w:t>5 Supplementation of the resources of the applicant, bank or a complementary programme for ineligible expenditure</w:t>
      </w:r>
    </w:p>
    <w:p w:rsidR="00065632" w:rsidRPr="00912E5D" w:rsidRDefault="00065632" w:rsidP="00912E5D">
      <w:pPr>
        <w:rPr>
          <w:highlight w:val="yellow"/>
        </w:rPr>
      </w:pPr>
      <w:r w:rsidRPr="00912E5D">
        <w:rPr>
          <w:highlight w:val="yellow"/>
        </w:rPr>
        <w:t xml:space="preserve">6 Regular </w:t>
      </w:r>
      <w:proofErr w:type="gramStart"/>
      <w:r w:rsidRPr="00912E5D">
        <w:rPr>
          <w:highlight w:val="yellow"/>
        </w:rPr>
        <w:t>payment</w:t>
      </w:r>
      <w:proofErr w:type="gramEnd"/>
      <w:r w:rsidRPr="00912E5D">
        <w:rPr>
          <w:highlight w:val="yellow"/>
        </w:rPr>
        <w:t xml:space="preserve"> of the interest and the principal of the provided soft loan</w:t>
      </w:r>
    </w:p>
    <w:p w:rsidR="00065632" w:rsidRPr="00912E5D" w:rsidRDefault="00065632" w:rsidP="00912E5D">
      <w:pPr>
        <w:rPr>
          <w:highlight w:val="yellow"/>
        </w:rPr>
      </w:pPr>
      <w:r w:rsidRPr="00912E5D">
        <w:rPr>
          <w:highlight w:val="yellow"/>
        </w:rPr>
        <w:t>7 Reporting of provided resources and aided projects for the reference period</w:t>
      </w:r>
    </w:p>
    <w:p w:rsidR="00065632" w:rsidRPr="00912E5D" w:rsidRDefault="00065632" w:rsidP="00912E5D">
      <w:pPr>
        <w:rPr>
          <w:highlight w:val="yellow"/>
        </w:rPr>
      </w:pPr>
      <w:r w:rsidRPr="00912E5D">
        <w:rPr>
          <w:highlight w:val="yellow"/>
        </w:rPr>
        <w:t>8 Financial settlement – settlement of the managerial and performance fees, settlement of received instalment of the principal and interests for the reference period</w:t>
      </w:r>
    </w:p>
    <w:p w:rsidR="00065632" w:rsidRPr="00912E5D" w:rsidRDefault="00065632" w:rsidP="00912E5D">
      <w:pPr>
        <w:rPr>
          <w:highlight w:val="yellow"/>
        </w:rPr>
      </w:pPr>
    </w:p>
    <w:p w:rsidR="00065632" w:rsidRPr="00912E5D" w:rsidRDefault="00065632" w:rsidP="00912E5D">
      <w:pPr>
        <w:rPr>
          <w:highlight w:val="yellow"/>
        </w:rPr>
      </w:pPr>
      <w:r w:rsidRPr="00912E5D">
        <w:rPr>
          <w:highlight w:val="yellow"/>
        </w:rPr>
        <w:t>Circulation of documentation (application and annexes, contract)</w:t>
      </w:r>
    </w:p>
    <w:p w:rsidR="00065632" w:rsidRPr="00912E5D" w:rsidRDefault="00065632" w:rsidP="00912E5D">
      <w:pPr>
        <w:rPr>
          <w:highlight w:val="yellow"/>
        </w:rPr>
      </w:pPr>
      <w:r w:rsidRPr="00912E5D">
        <w:rPr>
          <w:highlight w:val="yellow"/>
        </w:rPr>
        <w:t>Provision of soft loan resources</w:t>
      </w:r>
    </w:p>
    <w:p w:rsidR="00065632" w:rsidRDefault="00065632" w:rsidP="00912E5D">
      <w:r w:rsidRPr="00912E5D">
        <w:rPr>
          <w:highlight w:val="yellow"/>
        </w:rPr>
        <w:t>Repayment of provided financial resources</w:t>
      </w:r>
    </w:p>
    <w:p w:rsidR="00065632" w:rsidRDefault="00065632" w:rsidP="00912E5D"/>
    <w:p w:rsidR="00065632" w:rsidRPr="00912E5D" w:rsidRDefault="00065632" w:rsidP="00912E5D"/>
    <w:p w:rsidR="00065632" w:rsidRDefault="00065632" w:rsidP="000252FB">
      <w:pPr>
        <w:rPr>
          <w:b/>
          <w:bCs/>
        </w:rPr>
      </w:pPr>
      <w:r>
        <w:rPr>
          <w:b/>
          <w:bCs/>
        </w:rPr>
        <w:t>The proposal of particular parameters of the financial instrument set-up reflects the current situation in the Czech Republic and the monitored sector of residential living in residential buildings. In case of major changes in the development of the economy and the financial sector in the CR and the EU, or with regard to the unmet expectations as to the pace of drawing and interest in the instrument (on the side of beneficiaries, on the side of co-financing entities), it is necessary to revise the instrument set-up and, if necessary, modify the parameters.</w:t>
      </w:r>
    </w:p>
    <w:p w:rsidR="00065632" w:rsidRDefault="00065632">
      <w:pPr>
        <w:spacing w:after="0"/>
        <w:jc w:val="left"/>
        <w:rPr>
          <w:b/>
          <w:bCs/>
        </w:rPr>
      </w:pPr>
      <w:r>
        <w:br w:type="page"/>
      </w:r>
    </w:p>
    <w:p w:rsidR="00065632" w:rsidRPr="00E53A48" w:rsidRDefault="00065632" w:rsidP="000252FB">
      <w:pPr>
        <w:rPr>
          <w:b/>
          <w:bCs/>
        </w:rPr>
      </w:pPr>
    </w:p>
    <w:p w:rsidR="00065632" w:rsidRDefault="00065632" w:rsidP="00DA246E">
      <w:pPr>
        <w:pStyle w:val="Nadpis3"/>
      </w:pPr>
      <w:bookmarkStart w:id="186" w:name="_Toc418767162"/>
      <w:bookmarkStart w:id="187" w:name="_Toc426033672"/>
      <w:r>
        <w:t>Evaluation of options of the financial instrument operation</w:t>
      </w:r>
      <w:bookmarkEnd w:id="186"/>
      <w:bookmarkEnd w:id="187"/>
    </w:p>
    <w:p w:rsidR="00065632" w:rsidRDefault="00065632" w:rsidP="00325494">
      <w:r>
        <w:t>The above described options of financial loan instruments can be used for IROP specific objective 2.5, but they greatly differ in terms of their advantages and disadvantages of individual solutions. The Contractor summarises below the key findings for both options the MA should consider before issuing a decision.</w:t>
      </w:r>
    </w:p>
    <w:tbl>
      <w:tblPr>
        <w:tblW w:w="0" w:type="auto"/>
        <w:tblInd w:w="-56" w:type="dxa"/>
        <w:tblBorders>
          <w:bottom w:val="single" w:sz="4" w:space="0" w:color="92D400"/>
          <w:insideH w:val="single" w:sz="4" w:space="0" w:color="92D400"/>
        </w:tblBorders>
        <w:tblCellMar>
          <w:top w:w="28" w:type="dxa"/>
          <w:left w:w="28" w:type="dxa"/>
          <w:bottom w:w="28" w:type="dxa"/>
          <w:right w:w="28" w:type="dxa"/>
        </w:tblCellMar>
        <w:tblLook w:val="00A0" w:firstRow="1" w:lastRow="0" w:firstColumn="1" w:lastColumn="0" w:noHBand="0" w:noVBand="0"/>
      </w:tblPr>
      <w:tblGrid>
        <w:gridCol w:w="454"/>
        <w:gridCol w:w="4336"/>
        <w:gridCol w:w="4336"/>
      </w:tblGrid>
      <w:tr w:rsidR="00065632" w:rsidRPr="004843FD">
        <w:trPr>
          <w:tblHeader/>
        </w:trPr>
        <w:tc>
          <w:tcPr>
            <w:tcW w:w="454" w:type="dxa"/>
            <w:shd w:val="clear" w:color="auto" w:fill="92D400"/>
          </w:tcPr>
          <w:p w:rsidR="00065632" w:rsidRPr="00693AAF" w:rsidRDefault="00065632" w:rsidP="00D655A7">
            <w:pPr>
              <w:rPr>
                <w:b/>
                <w:bCs/>
                <w:color w:val="FFFFFF"/>
              </w:rPr>
            </w:pPr>
          </w:p>
        </w:tc>
        <w:tc>
          <w:tcPr>
            <w:tcW w:w="4336" w:type="dxa"/>
            <w:shd w:val="clear" w:color="auto" w:fill="92D400"/>
          </w:tcPr>
          <w:p w:rsidR="00065632" w:rsidRPr="00693AAF" w:rsidRDefault="00065632" w:rsidP="00693AAF">
            <w:pPr>
              <w:jc w:val="center"/>
              <w:rPr>
                <w:b/>
                <w:bCs/>
                <w:color w:val="FFFFFF"/>
              </w:rPr>
            </w:pPr>
            <w:r w:rsidRPr="00693AAF">
              <w:rPr>
                <w:b/>
                <w:bCs/>
                <w:color w:val="FFFFFF"/>
              </w:rPr>
              <w:t>Option 1 – Jointly provided loan</w:t>
            </w:r>
          </w:p>
        </w:tc>
        <w:tc>
          <w:tcPr>
            <w:tcW w:w="4336" w:type="dxa"/>
            <w:shd w:val="clear" w:color="auto" w:fill="92D400"/>
          </w:tcPr>
          <w:p w:rsidR="00065632" w:rsidRPr="00693AAF" w:rsidRDefault="00065632" w:rsidP="00693AAF">
            <w:pPr>
              <w:jc w:val="center"/>
              <w:rPr>
                <w:b/>
                <w:bCs/>
                <w:color w:val="FFFFFF"/>
              </w:rPr>
            </w:pPr>
            <w:r w:rsidRPr="00693AAF">
              <w:rPr>
                <w:b/>
                <w:bCs/>
                <w:color w:val="FFFFFF"/>
              </w:rPr>
              <w:t>Option 2 – Soft loan</w:t>
            </w:r>
          </w:p>
        </w:tc>
      </w:tr>
      <w:tr w:rsidR="00065632" w:rsidRPr="004843FD">
        <w:trPr>
          <w:cantSplit/>
          <w:trHeight w:val="1134"/>
        </w:trPr>
        <w:tc>
          <w:tcPr>
            <w:tcW w:w="454" w:type="dxa"/>
            <w:shd w:val="clear" w:color="auto" w:fill="D9FF87"/>
            <w:textDirection w:val="btLr"/>
          </w:tcPr>
          <w:p w:rsidR="00065632" w:rsidRPr="00693AAF" w:rsidRDefault="00065632" w:rsidP="00693AAF">
            <w:pPr>
              <w:ind w:left="113" w:right="113"/>
              <w:jc w:val="center"/>
              <w:rPr>
                <w:b/>
                <w:bCs/>
              </w:rPr>
            </w:pPr>
            <w:r w:rsidRPr="00693AAF">
              <w:rPr>
                <w:b/>
                <w:bCs/>
              </w:rPr>
              <w:t>Advantages</w:t>
            </w:r>
          </w:p>
        </w:tc>
        <w:tc>
          <w:tcPr>
            <w:tcW w:w="4336" w:type="dxa"/>
            <w:shd w:val="clear" w:color="auto" w:fill="FFFFFF"/>
          </w:tcPr>
          <w:p w:rsidR="00065632" w:rsidRPr="00693AAF" w:rsidRDefault="00065632" w:rsidP="00065632">
            <w:pPr>
              <w:numPr>
                <w:ilvl w:val="0"/>
                <w:numId w:val="62"/>
              </w:numPr>
              <w:tabs>
                <w:tab w:val="clear" w:pos="720"/>
              </w:tabs>
              <w:ind w:left="397"/>
              <w:jc w:val="left"/>
            </w:pPr>
            <w:r>
              <w:t>Leverage and possibility of assisting a higher number of projects with the initial allocation – a potential to satisfy a substantial part of the identified investment need</w:t>
            </w:r>
          </w:p>
          <w:p w:rsidR="00065632" w:rsidRPr="00693AAF" w:rsidRDefault="00065632" w:rsidP="00065632">
            <w:pPr>
              <w:numPr>
                <w:ilvl w:val="0"/>
                <w:numId w:val="62"/>
              </w:numPr>
              <w:tabs>
                <w:tab w:val="clear" w:pos="720"/>
              </w:tabs>
              <w:ind w:left="397"/>
              <w:jc w:val="left"/>
            </w:pPr>
            <w:r>
              <w:t>Supposition of a higher contribution to the fulfilment of the pursued IROP objectives within SO 2.5 or the CR in the context of the Energy Efficiency Directive</w:t>
            </w:r>
          </w:p>
          <w:p w:rsidR="00065632" w:rsidRPr="00693AAF" w:rsidRDefault="00065632" w:rsidP="00065632">
            <w:pPr>
              <w:numPr>
                <w:ilvl w:val="0"/>
                <w:numId w:val="62"/>
              </w:numPr>
              <w:tabs>
                <w:tab w:val="clear" w:pos="720"/>
              </w:tabs>
              <w:ind w:left="397"/>
              <w:jc w:val="left"/>
            </w:pPr>
            <w:r>
              <w:t>Higher motivational (activating) potential for final beneficiaries, possibility of provision of aid of up to 100% of the eligible investment</w:t>
            </w:r>
          </w:p>
          <w:p w:rsidR="00065632" w:rsidRPr="00693AAF" w:rsidRDefault="00065632" w:rsidP="00065632">
            <w:pPr>
              <w:numPr>
                <w:ilvl w:val="0"/>
                <w:numId w:val="62"/>
              </w:numPr>
              <w:tabs>
                <w:tab w:val="clear" w:pos="720"/>
              </w:tabs>
              <w:ind w:left="397"/>
              <w:jc w:val="left"/>
            </w:pPr>
            <w:r>
              <w:t>Operation side by side with the banking sector, minimisation of the risk of the crowding-out effect</w:t>
            </w:r>
          </w:p>
          <w:p w:rsidR="00065632" w:rsidRPr="00693AAF" w:rsidRDefault="00065632" w:rsidP="00065632">
            <w:pPr>
              <w:numPr>
                <w:ilvl w:val="0"/>
                <w:numId w:val="62"/>
              </w:numPr>
              <w:tabs>
                <w:tab w:val="clear" w:pos="720"/>
              </w:tabs>
              <w:ind w:left="397"/>
              <w:jc w:val="left"/>
            </w:pPr>
            <w:r>
              <w:t>Better actual availability in the territory, possibility of use of several cooperating banks simultaneously</w:t>
            </w:r>
          </w:p>
          <w:p w:rsidR="00065632" w:rsidRPr="00693AAF" w:rsidRDefault="00065632" w:rsidP="00065632">
            <w:pPr>
              <w:numPr>
                <w:ilvl w:val="0"/>
                <w:numId w:val="62"/>
              </w:numPr>
              <w:tabs>
                <w:tab w:val="clear" w:pos="720"/>
              </w:tabs>
              <w:ind w:left="397"/>
              <w:jc w:val="left"/>
            </w:pPr>
            <w:r>
              <w:t>Potential for rapid drawing, soft loans may be actively offered by several entities simultaneously, possibility to build better awareness in final beneficiaries</w:t>
            </w:r>
          </w:p>
          <w:p w:rsidR="00065632" w:rsidRPr="00693AAF" w:rsidRDefault="00065632" w:rsidP="00065632">
            <w:pPr>
              <w:numPr>
                <w:ilvl w:val="0"/>
                <w:numId w:val="62"/>
              </w:numPr>
              <w:tabs>
                <w:tab w:val="clear" w:pos="720"/>
              </w:tabs>
              <w:ind w:left="397"/>
              <w:jc w:val="left"/>
            </w:pPr>
            <w:r>
              <w:t>Significant diversification of risk in case of irregularities or inability of the involved entity to fulfil its role – several banks are involved in parallel</w:t>
            </w:r>
          </w:p>
          <w:p w:rsidR="00065632" w:rsidRPr="00693AAF" w:rsidRDefault="00065632" w:rsidP="00065632">
            <w:pPr>
              <w:numPr>
                <w:ilvl w:val="0"/>
                <w:numId w:val="62"/>
              </w:numPr>
              <w:tabs>
                <w:tab w:val="clear" w:pos="720"/>
              </w:tabs>
              <w:ind w:left="397"/>
              <w:jc w:val="left"/>
            </w:pPr>
            <w:r>
              <w:t>Lower demands on administrative capacities building, numerous duties are undertaken by the involved banks themselves</w:t>
            </w:r>
          </w:p>
          <w:p w:rsidR="00065632" w:rsidRPr="00693AAF" w:rsidRDefault="00065632" w:rsidP="00065632">
            <w:pPr>
              <w:numPr>
                <w:ilvl w:val="0"/>
                <w:numId w:val="62"/>
              </w:numPr>
              <w:tabs>
                <w:tab w:val="clear" w:pos="720"/>
              </w:tabs>
              <w:ind w:left="397"/>
              <w:jc w:val="left"/>
            </w:pPr>
            <w:r>
              <w:t>Advantage of using a functional and standardised solution of the loan process based on the private sector know-how</w:t>
            </w:r>
          </w:p>
        </w:tc>
        <w:tc>
          <w:tcPr>
            <w:tcW w:w="4336" w:type="dxa"/>
            <w:shd w:val="clear" w:color="auto" w:fill="FFFFFF"/>
          </w:tcPr>
          <w:p w:rsidR="00065632" w:rsidRPr="00693AAF" w:rsidRDefault="00065632" w:rsidP="00065632">
            <w:pPr>
              <w:numPr>
                <w:ilvl w:val="0"/>
                <w:numId w:val="62"/>
              </w:numPr>
              <w:tabs>
                <w:tab w:val="clear" w:pos="720"/>
              </w:tabs>
              <w:ind w:left="397"/>
              <w:jc w:val="left"/>
            </w:pPr>
            <w:r>
              <w:t>Direct experience with the JESSICA programme in the current period, possibility of partial re-use of existing process set-up</w:t>
            </w:r>
          </w:p>
          <w:p w:rsidR="00065632" w:rsidRPr="00693AAF" w:rsidRDefault="00065632" w:rsidP="00065632">
            <w:pPr>
              <w:numPr>
                <w:ilvl w:val="0"/>
                <w:numId w:val="62"/>
              </w:numPr>
              <w:tabs>
                <w:tab w:val="clear" w:pos="720"/>
              </w:tabs>
              <w:ind w:left="397"/>
              <w:jc w:val="left"/>
            </w:pPr>
            <w:r>
              <w:t>Potential for a more rapid readiness for commencement of drawing, less preparations (in particular in the case of option without involvement of the com. entity)</w:t>
            </w:r>
          </w:p>
          <w:p w:rsidR="00065632" w:rsidRPr="00693AAF" w:rsidRDefault="00065632" w:rsidP="00065632">
            <w:pPr>
              <w:numPr>
                <w:ilvl w:val="0"/>
                <w:numId w:val="62"/>
              </w:numPr>
              <w:tabs>
                <w:tab w:val="clear" w:pos="720"/>
              </w:tabs>
              <w:ind w:left="397"/>
              <w:jc w:val="left"/>
            </w:pPr>
            <w:r>
              <w:t>Possibility for the final beneficiary to obtain a lower interest rate (e.g. only at the level of the currently applicable reference rate)</w:t>
            </w:r>
          </w:p>
          <w:p w:rsidR="00065632" w:rsidRPr="00693AAF" w:rsidRDefault="00065632" w:rsidP="00065632">
            <w:pPr>
              <w:numPr>
                <w:ilvl w:val="0"/>
                <w:numId w:val="62"/>
              </w:numPr>
              <w:tabs>
                <w:tab w:val="clear" w:pos="720"/>
              </w:tabs>
              <w:ind w:left="397"/>
              <w:jc w:val="left"/>
            </w:pPr>
            <w:r>
              <w:t>Possibility to support several risky projects by setting one's own "more liberal" rating and requirements for guarantee</w:t>
            </w:r>
          </w:p>
          <w:p w:rsidR="00065632" w:rsidRPr="00693AAF" w:rsidRDefault="00065632" w:rsidP="00065632">
            <w:pPr>
              <w:numPr>
                <w:ilvl w:val="0"/>
                <w:numId w:val="62"/>
              </w:numPr>
              <w:tabs>
                <w:tab w:val="clear" w:pos="720"/>
              </w:tabs>
              <w:ind w:left="397"/>
              <w:jc w:val="left"/>
            </w:pPr>
            <w:r>
              <w:t>A more suitable option in case of limited pilot testing of interest in the financial instrument</w:t>
            </w:r>
          </w:p>
        </w:tc>
      </w:tr>
      <w:tr w:rsidR="00065632" w:rsidRPr="004843FD">
        <w:trPr>
          <w:cantSplit/>
          <w:trHeight w:val="1134"/>
        </w:trPr>
        <w:tc>
          <w:tcPr>
            <w:tcW w:w="454" w:type="dxa"/>
            <w:shd w:val="clear" w:color="auto" w:fill="D9FF87"/>
            <w:textDirection w:val="btLr"/>
          </w:tcPr>
          <w:p w:rsidR="00065632" w:rsidRPr="00693AAF" w:rsidRDefault="00065632" w:rsidP="00693AAF">
            <w:pPr>
              <w:ind w:left="113" w:right="113"/>
              <w:jc w:val="center"/>
              <w:rPr>
                <w:b/>
                <w:bCs/>
              </w:rPr>
            </w:pPr>
            <w:r w:rsidRPr="00693AAF">
              <w:rPr>
                <w:b/>
                <w:bCs/>
              </w:rPr>
              <w:lastRenderedPageBreak/>
              <w:t>Disadvantages</w:t>
            </w:r>
          </w:p>
        </w:tc>
        <w:tc>
          <w:tcPr>
            <w:tcW w:w="4336" w:type="dxa"/>
            <w:shd w:val="clear" w:color="auto" w:fill="FFFFFF"/>
          </w:tcPr>
          <w:p w:rsidR="00065632" w:rsidRPr="00693AAF" w:rsidRDefault="00065632" w:rsidP="00065632">
            <w:pPr>
              <w:numPr>
                <w:ilvl w:val="0"/>
                <w:numId w:val="62"/>
              </w:numPr>
              <w:tabs>
                <w:tab w:val="clear" w:pos="720"/>
              </w:tabs>
              <w:ind w:left="397"/>
              <w:jc w:val="left"/>
            </w:pPr>
            <w:r>
              <w:t>An innovative solution, need for clarification of a number of technical and procedural points (possible inspiration from abroad, where the model has already worked)</w:t>
            </w:r>
          </w:p>
          <w:p w:rsidR="00065632" w:rsidRPr="00693AAF" w:rsidRDefault="00065632" w:rsidP="00065632">
            <w:pPr>
              <w:numPr>
                <w:ilvl w:val="0"/>
                <w:numId w:val="62"/>
              </w:numPr>
              <w:tabs>
                <w:tab w:val="clear" w:pos="720"/>
              </w:tabs>
              <w:ind w:left="397"/>
              <w:jc w:val="left"/>
            </w:pPr>
            <w:r>
              <w:t>Required longer preparations before commencement of drawing, clarification of many technical details of possible framework cooperation with banks</w:t>
            </w:r>
          </w:p>
          <w:p w:rsidR="00065632" w:rsidRPr="00693AAF" w:rsidRDefault="00065632" w:rsidP="00065632">
            <w:pPr>
              <w:numPr>
                <w:ilvl w:val="0"/>
                <w:numId w:val="62"/>
              </w:numPr>
              <w:tabs>
                <w:tab w:val="clear" w:pos="720"/>
              </w:tabs>
              <w:ind w:left="397"/>
              <w:jc w:val="left"/>
            </w:pPr>
            <w:r>
              <w:t>In comparison with the other option, the interest rate for the final beneficiary is slightly higher due to pooling of money with banks under their commercial conditions</w:t>
            </w:r>
          </w:p>
          <w:p w:rsidR="00065632" w:rsidRPr="00693AAF" w:rsidRDefault="00065632" w:rsidP="00065632">
            <w:pPr>
              <w:numPr>
                <w:ilvl w:val="0"/>
                <w:numId w:val="62"/>
              </w:numPr>
              <w:tabs>
                <w:tab w:val="clear" w:pos="720"/>
              </w:tabs>
              <w:ind w:left="397"/>
              <w:jc w:val="left"/>
            </w:pPr>
            <w:r>
              <w:t>Assumption of a more demanding manner of monitoring, reporting and controls due to a higher number of entities involved</w:t>
            </w:r>
          </w:p>
          <w:p w:rsidR="00065632" w:rsidRPr="00693AAF" w:rsidRDefault="00065632" w:rsidP="00065632">
            <w:pPr>
              <w:numPr>
                <w:ilvl w:val="0"/>
                <w:numId w:val="62"/>
              </w:numPr>
              <w:tabs>
                <w:tab w:val="clear" w:pos="720"/>
              </w:tabs>
              <w:ind w:left="397"/>
              <w:jc w:val="left"/>
            </w:pPr>
            <w:r>
              <w:t>Limited chance to assist higher-risk projects; rating, guarantee requirements and decision on the provision of aid to a project are primarily in the hands of banks</w:t>
            </w:r>
          </w:p>
          <w:p w:rsidR="00065632" w:rsidRPr="00693AAF" w:rsidRDefault="00065632" w:rsidP="00065632">
            <w:pPr>
              <w:numPr>
                <w:ilvl w:val="0"/>
                <w:numId w:val="62"/>
              </w:numPr>
              <w:tabs>
                <w:tab w:val="clear" w:pos="720"/>
              </w:tabs>
              <w:ind w:left="397"/>
              <w:jc w:val="left"/>
            </w:pPr>
            <w:r>
              <w:t>A less suitable option in case of limited pilot testing of interest in the financial instrument; banks declare interest in becoming involved only if the provision of aid is long term and in sufficient volumes (at least CZK 1 million per one bank involved)</w:t>
            </w:r>
          </w:p>
          <w:p w:rsidR="00065632" w:rsidRPr="00693AAF" w:rsidRDefault="00065632" w:rsidP="00065632">
            <w:pPr>
              <w:numPr>
                <w:ilvl w:val="0"/>
                <w:numId w:val="62"/>
              </w:numPr>
              <w:tabs>
                <w:tab w:val="clear" w:pos="720"/>
              </w:tabs>
              <w:ind w:left="397"/>
              <w:jc w:val="left"/>
            </w:pPr>
            <w:r>
              <w:t>It must be clarified with the Office for the Protection of Competition whether it is possible to take advantage of free framework cooperation with banking houses without the need of a public contract (concession proceedings)</w:t>
            </w:r>
          </w:p>
        </w:tc>
        <w:tc>
          <w:tcPr>
            <w:tcW w:w="4336" w:type="dxa"/>
            <w:shd w:val="clear" w:color="auto" w:fill="FFFFFF"/>
          </w:tcPr>
          <w:p w:rsidR="00065632" w:rsidRPr="00693AAF" w:rsidRDefault="00065632" w:rsidP="00065632">
            <w:pPr>
              <w:numPr>
                <w:ilvl w:val="0"/>
                <w:numId w:val="62"/>
              </w:numPr>
              <w:tabs>
                <w:tab w:val="clear" w:pos="720"/>
              </w:tabs>
              <w:ind w:left="397"/>
              <w:jc w:val="left"/>
            </w:pPr>
            <w:r>
              <w:t>It does not provide direct leverage, ultimately there is a lower number of assisted projects in the programming period; lower impact on reducing the volume of investment need</w:t>
            </w:r>
          </w:p>
          <w:p w:rsidR="00065632" w:rsidRPr="00693AAF" w:rsidRDefault="00065632" w:rsidP="00065632">
            <w:pPr>
              <w:numPr>
                <w:ilvl w:val="0"/>
                <w:numId w:val="62"/>
              </w:numPr>
              <w:tabs>
                <w:tab w:val="clear" w:pos="720"/>
              </w:tabs>
              <w:ind w:left="397"/>
              <w:jc w:val="left"/>
            </w:pPr>
            <w:r>
              <w:t>Supposition "only a basic" contribution to the fulfilment of the pursued IROP objectives within SO 2.5 or the CR in the context of the Energy Efficiency Directive</w:t>
            </w:r>
          </w:p>
          <w:p w:rsidR="00065632" w:rsidRPr="00693AAF" w:rsidRDefault="00065632" w:rsidP="00065632">
            <w:pPr>
              <w:numPr>
                <w:ilvl w:val="0"/>
                <w:numId w:val="62"/>
              </w:numPr>
              <w:tabs>
                <w:tab w:val="clear" w:pos="720"/>
              </w:tabs>
              <w:ind w:left="397"/>
              <w:jc w:val="left"/>
            </w:pPr>
            <w:r>
              <w:t xml:space="preserve">Lower motivational (activating) potential for beneficiaries – coverage of eligible expenditure 70%/90%, necessity to secure the remaining part </w:t>
            </w:r>
          </w:p>
          <w:p w:rsidR="00065632" w:rsidRPr="00693AAF" w:rsidRDefault="00065632" w:rsidP="00065632">
            <w:pPr>
              <w:numPr>
                <w:ilvl w:val="0"/>
                <w:numId w:val="62"/>
              </w:numPr>
              <w:tabs>
                <w:tab w:val="clear" w:pos="720"/>
              </w:tabs>
              <w:ind w:left="397"/>
              <w:jc w:val="left"/>
            </w:pPr>
            <w:r>
              <w:t xml:space="preserve">For motivational reasons, there is a higher share of ESIF funds in a project than would be necessary, there is a risk of crowding-out conventional banking houses </w:t>
            </w:r>
          </w:p>
          <w:p w:rsidR="00065632" w:rsidRPr="00693AAF" w:rsidRDefault="00065632" w:rsidP="00065632">
            <w:pPr>
              <w:numPr>
                <w:ilvl w:val="0"/>
                <w:numId w:val="62"/>
              </w:numPr>
              <w:tabs>
                <w:tab w:val="clear" w:pos="720"/>
              </w:tabs>
              <w:ind w:left="397"/>
              <w:jc w:val="left"/>
            </w:pPr>
            <w:r>
              <w:t>Limited availability in the territory, both in the case of cooperation with one bank and in the case of implementation of the option without involvement of a co-financing entity</w:t>
            </w:r>
          </w:p>
          <w:p w:rsidR="00065632" w:rsidRPr="00693AAF" w:rsidRDefault="00065632" w:rsidP="00065632">
            <w:pPr>
              <w:numPr>
                <w:ilvl w:val="0"/>
                <w:numId w:val="62"/>
              </w:numPr>
              <w:tabs>
                <w:tab w:val="clear" w:pos="720"/>
              </w:tabs>
              <w:ind w:left="397"/>
              <w:jc w:val="left"/>
            </w:pPr>
            <w:r>
              <w:t>A slower rate of drawing can be expected; one or entities are involved in informing the final beneficiaries; limited potential to build actual awareness in final beneficiaries</w:t>
            </w:r>
          </w:p>
          <w:p w:rsidR="00065632" w:rsidRPr="00693AAF" w:rsidRDefault="00065632" w:rsidP="00065632">
            <w:pPr>
              <w:numPr>
                <w:ilvl w:val="0"/>
                <w:numId w:val="62"/>
              </w:numPr>
              <w:tabs>
                <w:tab w:val="clear" w:pos="720"/>
              </w:tabs>
              <w:ind w:left="397"/>
              <w:jc w:val="left"/>
            </w:pPr>
            <w:r>
              <w:t>Greater level of risk of threat to drawing in case of irregularities or inability of the involved entity to fulfil its role – drawing is ensured only by the fund manager, possibly together with one bank selected by a tender</w:t>
            </w:r>
          </w:p>
          <w:p w:rsidR="00065632" w:rsidRPr="00693AAF" w:rsidRDefault="00065632" w:rsidP="00065632">
            <w:pPr>
              <w:numPr>
                <w:ilvl w:val="0"/>
                <w:numId w:val="62"/>
              </w:numPr>
              <w:tabs>
                <w:tab w:val="clear" w:pos="720"/>
              </w:tabs>
              <w:ind w:left="397"/>
              <w:jc w:val="left"/>
            </w:pPr>
            <w:r>
              <w:t>Greater demands to build administrative capacities, higher proportion of responsibilities on MA/Fund</w:t>
            </w:r>
          </w:p>
          <w:p w:rsidR="00065632" w:rsidRPr="00693AAF" w:rsidRDefault="00065632" w:rsidP="00065632">
            <w:pPr>
              <w:numPr>
                <w:ilvl w:val="0"/>
                <w:numId w:val="62"/>
              </w:numPr>
              <w:tabs>
                <w:tab w:val="clear" w:pos="720"/>
              </w:tabs>
              <w:ind w:left="397"/>
              <w:jc w:val="left"/>
            </w:pPr>
            <w:r>
              <w:t>Need to set-up a standardised solution of the loan process (option without bank involvement)</w:t>
            </w:r>
          </w:p>
        </w:tc>
      </w:tr>
    </w:tbl>
    <w:p w:rsidR="00065632" w:rsidRDefault="00065632" w:rsidP="00103140">
      <w:pPr>
        <w:pStyle w:val="Titulek"/>
      </w:pPr>
      <w:bookmarkStart w:id="188" w:name="_Toc417655510"/>
      <w:bookmarkStart w:id="189" w:name="_Toc426033921"/>
      <w:r>
        <w:t xml:space="preserve">Table </w:t>
      </w:r>
      <w:r>
        <w:fldChar w:fldCharType="begin"/>
      </w:r>
      <w:r>
        <w:instrText xml:space="preserve"> SEQ Tabulka \* ARABIC </w:instrText>
      </w:r>
      <w:r>
        <w:fldChar w:fldCharType="separate"/>
      </w:r>
      <w:r>
        <w:rPr>
          <w:noProof/>
        </w:rPr>
        <w:t>12</w:t>
      </w:r>
      <w:r>
        <w:fldChar w:fldCharType="end"/>
      </w:r>
      <w:r>
        <w:t>: Summary of advantages and disadvantages of the options of design of the loan financial instrument</w:t>
      </w:r>
      <w:bookmarkEnd w:id="188"/>
      <w:bookmarkEnd w:id="189"/>
    </w:p>
    <w:p w:rsidR="00065632" w:rsidRDefault="00065632" w:rsidP="00DB3767">
      <w:r>
        <w:t xml:space="preserve">A choice between the two options is indifferent in terms of the paid management; none of the options envisages payment of this fee to the involved co-financing entities.  </w:t>
      </w:r>
    </w:p>
    <w:p w:rsidR="00065632" w:rsidRDefault="00065632" w:rsidP="00DA246E">
      <w:pPr>
        <w:pStyle w:val="Nadpis3"/>
      </w:pPr>
      <w:bookmarkStart w:id="190" w:name="_Toc418767163"/>
      <w:bookmarkStart w:id="191" w:name="_Toc426033673"/>
      <w:r>
        <w:t>Typical example – comparison of subsidy-based aid and a soft loan</w:t>
      </w:r>
      <w:bookmarkEnd w:id="190"/>
      <w:bookmarkEnd w:id="191"/>
    </w:p>
    <w:p w:rsidR="00065632" w:rsidRDefault="00065632" w:rsidP="00324593">
      <w:r>
        <w:t>The Contractor used the attributes of a project of the monitored focus typically assisted in the past and made a model comparison of four various combinations of financing.</w:t>
      </w:r>
    </w:p>
    <w:p w:rsidR="00065632" w:rsidRDefault="00065632" w:rsidP="00D145EC">
      <w:r>
        <w:t>The results are summarized in the following table. It is entirely the managing authority's power to assess that aid intensity it wants to provide the beneficiary with or what target payback period or IRR it wants to focus on through the IROP aid.</w:t>
      </w:r>
    </w:p>
    <w:p w:rsidR="00065632" w:rsidRDefault="00560258" w:rsidP="00324593">
      <w:r>
        <w:rPr>
          <w:noProof/>
          <w:lang w:val="cs-CZ" w:eastAsia="cs-CZ"/>
        </w:rPr>
        <w:lastRenderedPageBreak/>
        <w:drawing>
          <wp:inline distT="0" distB="0" distL="0" distR="0">
            <wp:extent cx="5743575" cy="1524000"/>
            <wp:effectExtent l="0" t="0" r="9525" b="0"/>
            <wp:docPr id="26"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43575" cy="1524000"/>
                    </a:xfrm>
                    <a:prstGeom prst="rect">
                      <a:avLst/>
                    </a:prstGeom>
                    <a:noFill/>
                    <a:ln>
                      <a:noFill/>
                    </a:ln>
                  </pic:spPr>
                </pic:pic>
              </a:graphicData>
            </a:graphic>
          </wp:inline>
        </w:drawing>
      </w:r>
    </w:p>
    <w:p w:rsidR="00065632" w:rsidRDefault="00065632" w:rsidP="002C47A9">
      <w:pPr>
        <w:pStyle w:val="Titulek"/>
      </w:pPr>
      <w:bookmarkStart w:id="192" w:name="_Toc417655511"/>
      <w:bookmarkStart w:id="193" w:name="_Toc426033922"/>
      <w:r>
        <w:t xml:space="preserve">Table </w:t>
      </w:r>
      <w:r>
        <w:fldChar w:fldCharType="begin"/>
      </w:r>
      <w:r>
        <w:instrText xml:space="preserve"> SEQ Tabulka \* ARABIC </w:instrText>
      </w:r>
      <w:r>
        <w:fldChar w:fldCharType="separate"/>
      </w:r>
      <w:r>
        <w:rPr>
          <w:noProof/>
        </w:rPr>
        <w:t>13</w:t>
      </w:r>
      <w:r>
        <w:fldChar w:fldCharType="end"/>
      </w:r>
      <w:r>
        <w:t>: Analysis of economic impact on beneficiaries of aid in a typical project</w:t>
      </w:r>
      <w:bookmarkEnd w:id="192"/>
      <w:bookmarkEnd w:id="193"/>
    </w:p>
    <w:p w:rsidR="00065632" w:rsidRDefault="00065632" w:rsidP="00235203"/>
    <w:p w:rsidR="00065632" w:rsidRDefault="00065632" w:rsidP="00235203"/>
    <w:tbl>
      <w:tblPr>
        <w:tblStyle w:val="Mkatabulky"/>
        <w:tblW w:w="0" w:type="auto"/>
        <w:tblInd w:w="-108" w:type="dxa"/>
        <w:tblLook w:val="01E0" w:firstRow="1" w:lastRow="1" w:firstColumn="1" w:lastColumn="1" w:noHBand="0" w:noVBand="0"/>
      </w:tblPr>
      <w:tblGrid>
        <w:gridCol w:w="1842"/>
        <w:gridCol w:w="1842"/>
        <w:gridCol w:w="1842"/>
        <w:gridCol w:w="1843"/>
        <w:gridCol w:w="1843"/>
      </w:tblGrid>
      <w:tr w:rsidR="00065632" w:rsidRPr="00235203" w:rsidTr="0007750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2" w:type="dxa"/>
          </w:tcPr>
          <w:p w:rsidR="00065632" w:rsidRPr="00235203" w:rsidRDefault="00065632" w:rsidP="00077505">
            <w:pPr>
              <w:rPr>
                <w:highlight w:val="yellow"/>
              </w:rPr>
            </w:pPr>
            <w:r w:rsidRPr="00235203">
              <w:rPr>
                <w:highlight w:val="yellow"/>
              </w:rPr>
              <w:t>Model example</w:t>
            </w:r>
          </w:p>
        </w:tc>
        <w:tc>
          <w:tcPr>
            <w:tcW w:w="7370" w:type="dxa"/>
            <w:gridSpan w:val="4"/>
          </w:tcPr>
          <w:p w:rsidR="00065632" w:rsidRPr="00235203" w:rsidRDefault="00065632" w:rsidP="00077505">
            <w:pPr>
              <w:jc w:val="right"/>
              <w:cnfStyle w:val="100000000000" w:firstRow="1" w:lastRow="0" w:firstColumn="0" w:lastColumn="0" w:oddVBand="0" w:evenVBand="0" w:oddHBand="0" w:evenHBand="0" w:firstRowFirstColumn="0" w:firstRowLastColumn="0" w:lastRowFirstColumn="0" w:lastRowLastColumn="0"/>
              <w:rPr>
                <w:highlight w:val="yellow"/>
              </w:rPr>
            </w:pPr>
            <w:r w:rsidRPr="00235203">
              <w:rPr>
                <w:highlight w:val="yellow"/>
              </w:rPr>
              <w:t>Investment: CZK 4,700,000</w:t>
            </w:r>
          </w:p>
          <w:p w:rsidR="00065632" w:rsidRPr="00235203" w:rsidRDefault="00065632" w:rsidP="00077505">
            <w:pPr>
              <w:jc w:val="right"/>
              <w:cnfStyle w:val="100000000000" w:firstRow="1" w:lastRow="0" w:firstColumn="0" w:lastColumn="0" w:oddVBand="0" w:evenVBand="0" w:oddHBand="0" w:evenHBand="0" w:firstRowFirstColumn="0" w:firstRowLastColumn="0" w:lastRowFirstColumn="0" w:lastRowLastColumn="0"/>
              <w:rPr>
                <w:highlight w:val="yellow"/>
              </w:rPr>
            </w:pPr>
            <w:r w:rsidRPr="00235203">
              <w:rPr>
                <w:highlight w:val="yellow"/>
              </w:rPr>
              <w:t>Annual operating income/savings: CZK 408,696</w:t>
            </w:r>
          </w:p>
          <w:p w:rsidR="00065632" w:rsidRPr="00235203" w:rsidRDefault="00065632" w:rsidP="00077505">
            <w:pPr>
              <w:jc w:val="right"/>
              <w:cnfStyle w:val="100000000000" w:firstRow="1" w:lastRow="0" w:firstColumn="0" w:lastColumn="0" w:oddVBand="0" w:evenVBand="0" w:oddHBand="0" w:evenHBand="0" w:firstRowFirstColumn="0" w:firstRowLastColumn="0" w:lastRowFirstColumn="0" w:lastRowLastColumn="0"/>
              <w:rPr>
                <w:highlight w:val="yellow"/>
              </w:rPr>
            </w:pPr>
            <w:r w:rsidRPr="00235203">
              <w:rPr>
                <w:highlight w:val="yellow"/>
              </w:rPr>
              <w:t>Commercial loan - interest rate: 3.0%</w:t>
            </w:r>
          </w:p>
          <w:p w:rsidR="00065632" w:rsidRPr="00235203" w:rsidRDefault="00065632" w:rsidP="00077505">
            <w:pPr>
              <w:jc w:val="right"/>
              <w:cnfStyle w:val="100000000000" w:firstRow="1" w:lastRow="0" w:firstColumn="0" w:lastColumn="0" w:oddVBand="0" w:evenVBand="0" w:oddHBand="0" w:evenHBand="0" w:firstRowFirstColumn="0" w:firstRowLastColumn="0" w:lastRowFirstColumn="0" w:lastRowLastColumn="0"/>
              <w:rPr>
                <w:highlight w:val="yellow"/>
              </w:rPr>
            </w:pPr>
            <w:r w:rsidRPr="00235203">
              <w:rPr>
                <w:highlight w:val="yellow"/>
              </w:rPr>
              <w:t>Soft loan – interest rate: 1.5%</w:t>
            </w:r>
          </w:p>
        </w:tc>
      </w:tr>
      <w:tr w:rsidR="00065632" w:rsidRPr="00235203" w:rsidTr="00077505">
        <w:tc>
          <w:tcPr>
            <w:cnfStyle w:val="001000000000" w:firstRow="0" w:lastRow="0" w:firstColumn="1" w:lastColumn="0" w:oddVBand="0" w:evenVBand="0" w:oddHBand="0" w:evenHBand="0" w:firstRowFirstColumn="0" w:firstRowLastColumn="0" w:lastRowFirstColumn="0" w:lastRowLastColumn="0"/>
            <w:tcW w:w="1842" w:type="dxa"/>
          </w:tcPr>
          <w:p w:rsidR="00065632" w:rsidRPr="00235203" w:rsidRDefault="00065632" w:rsidP="00077505">
            <w:pPr>
              <w:rPr>
                <w:highlight w:val="yellow"/>
              </w:rPr>
            </w:pPr>
          </w:p>
        </w:tc>
        <w:tc>
          <w:tcPr>
            <w:tcW w:w="1842" w:type="dxa"/>
          </w:tcPr>
          <w:p w:rsidR="00065632" w:rsidRPr="00235203" w:rsidRDefault="00065632" w:rsidP="00077505">
            <w:pPr>
              <w:cnfStyle w:val="000000000000" w:firstRow="0" w:lastRow="0" w:firstColumn="0" w:lastColumn="0" w:oddVBand="0" w:evenVBand="0" w:oddHBand="0" w:evenHBand="0" w:firstRowFirstColumn="0" w:firstRowLastColumn="0" w:lastRowFirstColumn="0" w:lastRowLastColumn="0"/>
              <w:rPr>
                <w:highlight w:val="yellow"/>
              </w:rPr>
            </w:pPr>
            <w:r w:rsidRPr="00235203">
              <w:rPr>
                <w:highlight w:val="yellow"/>
              </w:rPr>
              <w:t>100% market loan</w:t>
            </w:r>
          </w:p>
        </w:tc>
        <w:tc>
          <w:tcPr>
            <w:tcW w:w="1842" w:type="dxa"/>
          </w:tcPr>
          <w:p w:rsidR="00065632" w:rsidRPr="00235203" w:rsidRDefault="00065632" w:rsidP="00077505">
            <w:pPr>
              <w:cnfStyle w:val="000000000000" w:firstRow="0" w:lastRow="0" w:firstColumn="0" w:lastColumn="0" w:oddVBand="0" w:evenVBand="0" w:oddHBand="0" w:evenHBand="0" w:firstRowFirstColumn="0" w:firstRowLastColumn="0" w:lastRowFirstColumn="0" w:lastRowLastColumn="0"/>
              <w:rPr>
                <w:highlight w:val="yellow"/>
              </w:rPr>
            </w:pPr>
            <w:r w:rsidRPr="00235203">
              <w:rPr>
                <w:highlight w:val="yellow"/>
              </w:rPr>
              <w:t>50% market loan, 50% subsidy</w:t>
            </w:r>
          </w:p>
        </w:tc>
        <w:tc>
          <w:tcPr>
            <w:tcW w:w="1843" w:type="dxa"/>
          </w:tcPr>
          <w:p w:rsidR="00065632" w:rsidRPr="00235203" w:rsidRDefault="00065632" w:rsidP="00077505">
            <w:pPr>
              <w:cnfStyle w:val="000000000000" w:firstRow="0" w:lastRow="0" w:firstColumn="0" w:lastColumn="0" w:oddVBand="0" w:evenVBand="0" w:oddHBand="0" w:evenHBand="0" w:firstRowFirstColumn="0" w:firstRowLastColumn="0" w:lastRowFirstColumn="0" w:lastRowLastColumn="0"/>
              <w:rPr>
                <w:highlight w:val="yellow"/>
              </w:rPr>
            </w:pPr>
            <w:r w:rsidRPr="00235203">
              <w:rPr>
                <w:highlight w:val="yellow"/>
              </w:rPr>
              <w:t>40% subsidy, 60% soft loan</w:t>
            </w:r>
          </w:p>
        </w:tc>
        <w:tc>
          <w:tcPr>
            <w:tcW w:w="1843" w:type="dxa"/>
          </w:tcPr>
          <w:p w:rsidR="00065632" w:rsidRPr="00235203" w:rsidRDefault="00065632" w:rsidP="00077505">
            <w:pPr>
              <w:cnfStyle w:val="000000000000" w:firstRow="0" w:lastRow="0" w:firstColumn="0" w:lastColumn="0" w:oddVBand="0" w:evenVBand="0" w:oddHBand="0" w:evenHBand="0" w:firstRowFirstColumn="0" w:firstRowLastColumn="0" w:lastRowFirstColumn="0" w:lastRowLastColumn="0"/>
              <w:rPr>
                <w:highlight w:val="yellow"/>
              </w:rPr>
            </w:pPr>
            <w:r w:rsidRPr="00235203">
              <w:rPr>
                <w:highlight w:val="yellow"/>
              </w:rPr>
              <w:t>100% soft loan</w:t>
            </w:r>
          </w:p>
        </w:tc>
      </w:tr>
      <w:tr w:rsidR="00065632" w:rsidRPr="00235203" w:rsidTr="00077505">
        <w:tc>
          <w:tcPr>
            <w:cnfStyle w:val="001000000000" w:firstRow="0" w:lastRow="0" w:firstColumn="1" w:lastColumn="0" w:oddVBand="0" w:evenVBand="0" w:oddHBand="0" w:evenHBand="0" w:firstRowFirstColumn="0" w:firstRowLastColumn="0" w:lastRowFirstColumn="0" w:lastRowLastColumn="0"/>
            <w:tcW w:w="1842" w:type="dxa"/>
          </w:tcPr>
          <w:p w:rsidR="00065632" w:rsidRPr="00235203" w:rsidRDefault="00065632" w:rsidP="00077505">
            <w:pPr>
              <w:rPr>
                <w:highlight w:val="yellow"/>
              </w:rPr>
            </w:pPr>
            <w:r w:rsidRPr="00235203">
              <w:rPr>
                <w:highlight w:val="yellow"/>
              </w:rPr>
              <w:t>IRR</w:t>
            </w:r>
          </w:p>
        </w:tc>
        <w:tc>
          <w:tcPr>
            <w:tcW w:w="1842" w:type="dxa"/>
          </w:tcPr>
          <w:p w:rsidR="00065632" w:rsidRPr="00235203" w:rsidRDefault="00065632" w:rsidP="00077505">
            <w:pPr>
              <w:cnfStyle w:val="000000000000" w:firstRow="0" w:lastRow="0" w:firstColumn="0" w:lastColumn="0" w:oddVBand="0" w:evenVBand="0" w:oddHBand="0" w:evenHBand="0" w:firstRowFirstColumn="0" w:firstRowLastColumn="0" w:lastRowFirstColumn="0" w:lastRowLastColumn="0"/>
              <w:rPr>
                <w:highlight w:val="yellow"/>
              </w:rPr>
            </w:pPr>
            <w:r w:rsidRPr="00235203">
              <w:rPr>
                <w:highlight w:val="yellow"/>
              </w:rPr>
              <w:t>5.97%</w:t>
            </w:r>
          </w:p>
        </w:tc>
        <w:tc>
          <w:tcPr>
            <w:tcW w:w="1842" w:type="dxa"/>
          </w:tcPr>
          <w:p w:rsidR="00065632" w:rsidRPr="00235203" w:rsidRDefault="00065632" w:rsidP="00077505">
            <w:pPr>
              <w:cnfStyle w:val="000000000000" w:firstRow="0" w:lastRow="0" w:firstColumn="0" w:lastColumn="0" w:oddVBand="0" w:evenVBand="0" w:oddHBand="0" w:evenHBand="0" w:firstRowFirstColumn="0" w:firstRowLastColumn="0" w:lastRowFirstColumn="0" w:lastRowLastColumn="0"/>
              <w:rPr>
                <w:highlight w:val="yellow"/>
              </w:rPr>
            </w:pPr>
            <w:r w:rsidRPr="00235203">
              <w:rPr>
                <w:highlight w:val="yellow"/>
              </w:rPr>
              <w:t>16.58%</w:t>
            </w:r>
          </w:p>
        </w:tc>
        <w:tc>
          <w:tcPr>
            <w:tcW w:w="1843" w:type="dxa"/>
          </w:tcPr>
          <w:p w:rsidR="00065632" w:rsidRPr="00235203" w:rsidRDefault="00065632" w:rsidP="00077505">
            <w:pPr>
              <w:cnfStyle w:val="000000000000" w:firstRow="0" w:lastRow="0" w:firstColumn="0" w:lastColumn="0" w:oddVBand="0" w:evenVBand="0" w:oddHBand="0" w:evenHBand="0" w:firstRowFirstColumn="0" w:firstRowLastColumn="0" w:lastRowFirstColumn="0" w:lastRowLastColumn="0"/>
              <w:rPr>
                <w:highlight w:val="yellow"/>
              </w:rPr>
            </w:pPr>
            <w:r w:rsidRPr="00235203">
              <w:rPr>
                <w:highlight w:val="yellow"/>
              </w:rPr>
              <w:t>13.30%</w:t>
            </w:r>
          </w:p>
        </w:tc>
        <w:tc>
          <w:tcPr>
            <w:tcW w:w="1843" w:type="dxa"/>
          </w:tcPr>
          <w:p w:rsidR="00065632" w:rsidRPr="00235203" w:rsidRDefault="00065632" w:rsidP="00077505">
            <w:pPr>
              <w:cnfStyle w:val="000000000000" w:firstRow="0" w:lastRow="0" w:firstColumn="0" w:lastColumn="0" w:oddVBand="0" w:evenVBand="0" w:oddHBand="0" w:evenHBand="0" w:firstRowFirstColumn="0" w:firstRowLastColumn="0" w:lastRowFirstColumn="0" w:lastRowLastColumn="0"/>
              <w:rPr>
                <w:highlight w:val="yellow"/>
              </w:rPr>
            </w:pPr>
            <w:r w:rsidRPr="00235203">
              <w:rPr>
                <w:highlight w:val="yellow"/>
              </w:rPr>
              <w:t>5.97%</w:t>
            </w:r>
          </w:p>
        </w:tc>
      </w:tr>
      <w:tr w:rsidR="00065632" w:rsidRPr="00235203" w:rsidTr="00077505">
        <w:tc>
          <w:tcPr>
            <w:cnfStyle w:val="001000000000" w:firstRow="0" w:lastRow="0" w:firstColumn="1" w:lastColumn="0" w:oddVBand="0" w:evenVBand="0" w:oddHBand="0" w:evenHBand="0" w:firstRowFirstColumn="0" w:firstRowLastColumn="0" w:lastRowFirstColumn="0" w:lastRowLastColumn="0"/>
            <w:tcW w:w="1842" w:type="dxa"/>
          </w:tcPr>
          <w:p w:rsidR="00065632" w:rsidRPr="00235203" w:rsidRDefault="00065632" w:rsidP="00077505">
            <w:pPr>
              <w:rPr>
                <w:highlight w:val="yellow"/>
              </w:rPr>
            </w:pPr>
            <w:r w:rsidRPr="00235203">
              <w:rPr>
                <w:highlight w:val="yellow"/>
              </w:rPr>
              <w:t>Net present value (CZK)</w:t>
            </w:r>
          </w:p>
        </w:tc>
        <w:tc>
          <w:tcPr>
            <w:tcW w:w="1842" w:type="dxa"/>
          </w:tcPr>
          <w:p w:rsidR="00065632" w:rsidRPr="00235203" w:rsidRDefault="00065632" w:rsidP="00077505">
            <w:pPr>
              <w:cnfStyle w:val="000000000000" w:firstRow="0" w:lastRow="0" w:firstColumn="0" w:lastColumn="0" w:oddVBand="0" w:evenVBand="0" w:oddHBand="0" w:evenHBand="0" w:firstRowFirstColumn="0" w:firstRowLastColumn="0" w:lastRowFirstColumn="0" w:lastRowLastColumn="0"/>
              <w:rPr>
                <w:highlight w:val="yellow"/>
              </w:rPr>
            </w:pPr>
            <w:r w:rsidRPr="00235203">
              <w:rPr>
                <w:highlight w:val="yellow"/>
              </w:rPr>
              <w:t>1,340,160</w:t>
            </w:r>
          </w:p>
        </w:tc>
        <w:tc>
          <w:tcPr>
            <w:tcW w:w="1842" w:type="dxa"/>
          </w:tcPr>
          <w:p w:rsidR="00065632" w:rsidRPr="00235203" w:rsidRDefault="00065632" w:rsidP="00077505">
            <w:pPr>
              <w:cnfStyle w:val="000000000000" w:firstRow="0" w:lastRow="0" w:firstColumn="0" w:lastColumn="0" w:oddVBand="0" w:evenVBand="0" w:oddHBand="0" w:evenHBand="0" w:firstRowFirstColumn="0" w:firstRowLastColumn="0" w:lastRowFirstColumn="0" w:lastRowLastColumn="0"/>
              <w:rPr>
                <w:highlight w:val="yellow"/>
              </w:rPr>
            </w:pPr>
            <w:r w:rsidRPr="00235203">
              <w:rPr>
                <w:highlight w:val="yellow"/>
              </w:rPr>
              <w:t>3,621,713</w:t>
            </w:r>
          </w:p>
        </w:tc>
        <w:tc>
          <w:tcPr>
            <w:tcW w:w="1843" w:type="dxa"/>
          </w:tcPr>
          <w:p w:rsidR="00065632" w:rsidRPr="00235203" w:rsidRDefault="00065632" w:rsidP="00077505">
            <w:pPr>
              <w:cnfStyle w:val="000000000000" w:firstRow="0" w:lastRow="0" w:firstColumn="0" w:lastColumn="0" w:oddVBand="0" w:evenVBand="0" w:oddHBand="0" w:evenHBand="0" w:firstRowFirstColumn="0" w:firstRowLastColumn="0" w:lastRowFirstColumn="0" w:lastRowLastColumn="0"/>
              <w:rPr>
                <w:highlight w:val="yellow"/>
              </w:rPr>
            </w:pPr>
            <w:r w:rsidRPr="00235203">
              <w:rPr>
                <w:highlight w:val="yellow"/>
              </w:rPr>
              <w:t>4,134,733</w:t>
            </w:r>
          </w:p>
        </w:tc>
        <w:tc>
          <w:tcPr>
            <w:tcW w:w="1843" w:type="dxa"/>
          </w:tcPr>
          <w:p w:rsidR="00065632" w:rsidRPr="00235203" w:rsidRDefault="00065632" w:rsidP="00077505">
            <w:pPr>
              <w:cnfStyle w:val="000000000000" w:firstRow="0" w:lastRow="0" w:firstColumn="0" w:lastColumn="0" w:oddVBand="0" w:evenVBand="0" w:oddHBand="0" w:evenHBand="0" w:firstRowFirstColumn="0" w:firstRowLastColumn="0" w:lastRowFirstColumn="0" w:lastRowLastColumn="0"/>
              <w:rPr>
                <w:highlight w:val="yellow"/>
              </w:rPr>
            </w:pPr>
            <w:r w:rsidRPr="00235203">
              <w:rPr>
                <w:highlight w:val="yellow"/>
              </w:rPr>
              <w:t>2,282,516</w:t>
            </w:r>
          </w:p>
        </w:tc>
      </w:tr>
      <w:tr w:rsidR="00065632" w:rsidRPr="00235203" w:rsidTr="00077505">
        <w:tc>
          <w:tcPr>
            <w:cnfStyle w:val="001000000000" w:firstRow="0" w:lastRow="0" w:firstColumn="1" w:lastColumn="0" w:oddVBand="0" w:evenVBand="0" w:oddHBand="0" w:evenHBand="0" w:firstRowFirstColumn="0" w:firstRowLastColumn="0" w:lastRowFirstColumn="0" w:lastRowLastColumn="0"/>
            <w:tcW w:w="1842" w:type="dxa"/>
          </w:tcPr>
          <w:p w:rsidR="00065632" w:rsidRPr="00235203" w:rsidRDefault="00065632" w:rsidP="00077505">
            <w:pPr>
              <w:rPr>
                <w:highlight w:val="yellow"/>
              </w:rPr>
            </w:pPr>
            <w:r w:rsidRPr="00235203">
              <w:rPr>
                <w:highlight w:val="yellow"/>
              </w:rPr>
              <w:t>Simple payback period (years)</w:t>
            </w:r>
          </w:p>
        </w:tc>
        <w:tc>
          <w:tcPr>
            <w:tcW w:w="1842" w:type="dxa"/>
          </w:tcPr>
          <w:p w:rsidR="00065632" w:rsidRPr="00235203" w:rsidRDefault="00065632" w:rsidP="00077505">
            <w:pPr>
              <w:cnfStyle w:val="000000000000" w:firstRow="0" w:lastRow="0" w:firstColumn="0" w:lastColumn="0" w:oddVBand="0" w:evenVBand="0" w:oddHBand="0" w:evenHBand="0" w:firstRowFirstColumn="0" w:firstRowLastColumn="0" w:lastRowFirstColumn="0" w:lastRowLastColumn="0"/>
              <w:rPr>
                <w:highlight w:val="yellow"/>
              </w:rPr>
            </w:pPr>
            <w:r w:rsidRPr="00235203">
              <w:rPr>
                <w:highlight w:val="yellow"/>
              </w:rPr>
              <w:t>11.50</w:t>
            </w:r>
          </w:p>
        </w:tc>
        <w:tc>
          <w:tcPr>
            <w:tcW w:w="1842" w:type="dxa"/>
          </w:tcPr>
          <w:p w:rsidR="00065632" w:rsidRPr="00235203" w:rsidRDefault="00065632" w:rsidP="00077505">
            <w:pPr>
              <w:cnfStyle w:val="000000000000" w:firstRow="0" w:lastRow="0" w:firstColumn="0" w:lastColumn="0" w:oddVBand="0" w:evenVBand="0" w:oddHBand="0" w:evenHBand="0" w:firstRowFirstColumn="0" w:firstRowLastColumn="0" w:lastRowFirstColumn="0" w:lastRowLastColumn="0"/>
              <w:rPr>
                <w:highlight w:val="yellow"/>
              </w:rPr>
            </w:pPr>
            <w:r w:rsidRPr="00235203">
              <w:rPr>
                <w:highlight w:val="yellow"/>
              </w:rPr>
              <w:t>5.75</w:t>
            </w:r>
          </w:p>
        </w:tc>
        <w:tc>
          <w:tcPr>
            <w:tcW w:w="1843" w:type="dxa"/>
          </w:tcPr>
          <w:p w:rsidR="00065632" w:rsidRPr="00235203" w:rsidRDefault="00065632" w:rsidP="00077505">
            <w:pPr>
              <w:cnfStyle w:val="000000000000" w:firstRow="0" w:lastRow="0" w:firstColumn="0" w:lastColumn="0" w:oddVBand="0" w:evenVBand="0" w:oddHBand="0" w:evenHBand="0" w:firstRowFirstColumn="0" w:firstRowLastColumn="0" w:lastRowFirstColumn="0" w:lastRowLastColumn="0"/>
              <w:rPr>
                <w:highlight w:val="yellow"/>
              </w:rPr>
            </w:pPr>
            <w:r w:rsidRPr="00235203">
              <w:rPr>
                <w:highlight w:val="yellow"/>
              </w:rPr>
              <w:t>6.90</w:t>
            </w:r>
          </w:p>
        </w:tc>
        <w:tc>
          <w:tcPr>
            <w:tcW w:w="1843" w:type="dxa"/>
          </w:tcPr>
          <w:p w:rsidR="00065632" w:rsidRPr="00235203" w:rsidRDefault="00065632" w:rsidP="00077505">
            <w:pPr>
              <w:cnfStyle w:val="000000000000" w:firstRow="0" w:lastRow="0" w:firstColumn="0" w:lastColumn="0" w:oddVBand="0" w:evenVBand="0" w:oddHBand="0" w:evenHBand="0" w:firstRowFirstColumn="0" w:firstRowLastColumn="0" w:lastRowFirstColumn="0" w:lastRowLastColumn="0"/>
              <w:rPr>
                <w:highlight w:val="yellow"/>
              </w:rPr>
            </w:pPr>
            <w:r w:rsidRPr="00235203">
              <w:rPr>
                <w:highlight w:val="yellow"/>
              </w:rPr>
              <w:t>11.50</w:t>
            </w:r>
          </w:p>
        </w:tc>
      </w:tr>
      <w:tr w:rsidR="00065632" w:rsidRPr="0057251F" w:rsidTr="00077505">
        <w:tc>
          <w:tcPr>
            <w:cnfStyle w:val="001000000000" w:firstRow="0" w:lastRow="0" w:firstColumn="1" w:lastColumn="0" w:oddVBand="0" w:evenVBand="0" w:oddHBand="0" w:evenHBand="0" w:firstRowFirstColumn="0" w:firstRowLastColumn="0" w:lastRowFirstColumn="0" w:lastRowLastColumn="0"/>
            <w:tcW w:w="1842" w:type="dxa"/>
          </w:tcPr>
          <w:p w:rsidR="00065632" w:rsidRPr="00235203" w:rsidRDefault="00065632" w:rsidP="00077505">
            <w:pPr>
              <w:rPr>
                <w:highlight w:val="yellow"/>
              </w:rPr>
            </w:pPr>
            <w:r w:rsidRPr="00235203">
              <w:rPr>
                <w:highlight w:val="yellow"/>
              </w:rPr>
              <w:t>Disc. payback period (years)</w:t>
            </w:r>
          </w:p>
        </w:tc>
        <w:tc>
          <w:tcPr>
            <w:tcW w:w="1842" w:type="dxa"/>
          </w:tcPr>
          <w:p w:rsidR="00065632" w:rsidRPr="00235203" w:rsidRDefault="00065632" w:rsidP="00077505">
            <w:pPr>
              <w:cnfStyle w:val="000000000000" w:firstRow="0" w:lastRow="0" w:firstColumn="0" w:lastColumn="0" w:oddVBand="0" w:evenVBand="0" w:oddHBand="0" w:evenHBand="0" w:firstRowFirstColumn="0" w:firstRowLastColumn="0" w:lastRowFirstColumn="0" w:lastRowLastColumn="0"/>
              <w:rPr>
                <w:highlight w:val="yellow"/>
              </w:rPr>
            </w:pPr>
            <w:r w:rsidRPr="00235203">
              <w:rPr>
                <w:highlight w:val="yellow"/>
              </w:rPr>
              <w:t>14.3</w:t>
            </w:r>
          </w:p>
        </w:tc>
        <w:tc>
          <w:tcPr>
            <w:tcW w:w="1842" w:type="dxa"/>
          </w:tcPr>
          <w:p w:rsidR="00065632" w:rsidRPr="00235203" w:rsidRDefault="00065632" w:rsidP="00077505">
            <w:pPr>
              <w:cnfStyle w:val="000000000000" w:firstRow="0" w:lastRow="0" w:firstColumn="0" w:lastColumn="0" w:oddVBand="0" w:evenVBand="0" w:oddHBand="0" w:evenHBand="0" w:firstRowFirstColumn="0" w:firstRowLastColumn="0" w:lastRowFirstColumn="0" w:lastRowLastColumn="0"/>
              <w:rPr>
                <w:highlight w:val="yellow"/>
              </w:rPr>
            </w:pPr>
            <w:r w:rsidRPr="00235203">
              <w:rPr>
                <w:highlight w:val="yellow"/>
              </w:rPr>
              <w:t>6.4</w:t>
            </w:r>
          </w:p>
        </w:tc>
        <w:tc>
          <w:tcPr>
            <w:tcW w:w="1843" w:type="dxa"/>
          </w:tcPr>
          <w:p w:rsidR="00065632" w:rsidRPr="00235203" w:rsidRDefault="00065632" w:rsidP="00077505">
            <w:pPr>
              <w:cnfStyle w:val="000000000000" w:firstRow="0" w:lastRow="0" w:firstColumn="0" w:lastColumn="0" w:oddVBand="0" w:evenVBand="0" w:oddHBand="0" w:evenHBand="0" w:firstRowFirstColumn="0" w:firstRowLastColumn="0" w:lastRowFirstColumn="0" w:lastRowLastColumn="0"/>
              <w:rPr>
                <w:highlight w:val="yellow"/>
              </w:rPr>
            </w:pPr>
            <w:r w:rsidRPr="00235203">
              <w:rPr>
                <w:highlight w:val="yellow"/>
              </w:rPr>
              <w:t>7.3</w:t>
            </w:r>
          </w:p>
        </w:tc>
        <w:tc>
          <w:tcPr>
            <w:tcW w:w="1843" w:type="dxa"/>
          </w:tcPr>
          <w:p w:rsidR="00065632" w:rsidRPr="0057251F" w:rsidRDefault="00065632" w:rsidP="00077505">
            <w:pPr>
              <w:cnfStyle w:val="000000000000" w:firstRow="0" w:lastRow="0" w:firstColumn="0" w:lastColumn="0" w:oddVBand="0" w:evenVBand="0" w:oddHBand="0" w:evenHBand="0" w:firstRowFirstColumn="0" w:firstRowLastColumn="0" w:lastRowFirstColumn="0" w:lastRowLastColumn="0"/>
            </w:pPr>
            <w:r w:rsidRPr="00235203">
              <w:rPr>
                <w:highlight w:val="yellow"/>
              </w:rPr>
              <w:t>12.72</w:t>
            </w:r>
          </w:p>
        </w:tc>
      </w:tr>
    </w:tbl>
    <w:p w:rsidR="00065632" w:rsidRPr="00235203" w:rsidRDefault="00065632" w:rsidP="00235203"/>
    <w:p w:rsidR="00065632" w:rsidRDefault="00065632" w:rsidP="00DB3767">
      <w:r>
        <w:t>The basis for the decision making of the managing authority may be the result of the questionnaire survey, which indicates what potential energy savings can be achieved by the projects. The most typical target savings can be expected to range between 30–50% of the current energy consumption – see the graphical representation.</w:t>
      </w:r>
    </w:p>
    <w:p w:rsidR="00065632" w:rsidRDefault="00560258" w:rsidP="00DB3767">
      <w:r>
        <w:rPr>
          <w:noProof/>
          <w:lang w:val="cs-CZ" w:eastAsia="cs-CZ"/>
        </w:rPr>
        <w:lastRenderedPageBreak/>
        <w:drawing>
          <wp:inline distT="0" distB="0" distL="0" distR="0">
            <wp:extent cx="5705475" cy="2933700"/>
            <wp:effectExtent l="0" t="0" r="9525" b="0"/>
            <wp:docPr id="27" name="Obrázek 7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18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05475" cy="2933700"/>
                    </a:xfrm>
                    <a:prstGeom prst="rect">
                      <a:avLst/>
                    </a:prstGeom>
                    <a:noFill/>
                    <a:ln>
                      <a:noFill/>
                    </a:ln>
                  </pic:spPr>
                </pic:pic>
              </a:graphicData>
            </a:graphic>
          </wp:inline>
        </w:drawing>
      </w:r>
    </w:p>
    <w:p w:rsidR="00065632" w:rsidRDefault="00065632" w:rsidP="007E0F4E">
      <w:pPr>
        <w:pStyle w:val="Titulek"/>
      </w:pPr>
      <w:bookmarkStart w:id="194" w:name="_Toc417655531"/>
      <w:bookmarkStart w:id="195" w:name="_Toc426033942"/>
      <w:r>
        <w:t xml:space="preserve">Figure </w:t>
      </w:r>
      <w:r>
        <w:fldChar w:fldCharType="begin"/>
      </w:r>
      <w:r>
        <w:instrText xml:space="preserve"> SEQ Obrázek \* ARABIC </w:instrText>
      </w:r>
      <w:r>
        <w:fldChar w:fldCharType="separate"/>
      </w:r>
      <w:r>
        <w:rPr>
          <w:noProof/>
        </w:rPr>
        <w:t>17</w:t>
      </w:r>
      <w:r>
        <w:fldChar w:fldCharType="end"/>
      </w:r>
      <w:r>
        <w:t>: Conclusions of the Deloitte questionnaire survey – estimate of the amount of generated savings by a project</w:t>
      </w:r>
      <w:bookmarkEnd w:id="194"/>
      <w:bookmarkEnd w:id="195"/>
    </w:p>
    <w:p w:rsidR="00065632" w:rsidRDefault="00065632" w:rsidP="00235203"/>
    <w:p w:rsidR="00065632" w:rsidRPr="0057251F" w:rsidRDefault="00065632" w:rsidP="00235203">
      <w:r w:rsidRPr="0057251F">
        <w:t>Please select the target value of energy savings for your project</w:t>
      </w:r>
    </w:p>
    <w:p w:rsidR="00065632" w:rsidRPr="0057251F" w:rsidRDefault="00065632" w:rsidP="00235203"/>
    <w:p w:rsidR="00065632" w:rsidRPr="0057251F" w:rsidRDefault="00065632" w:rsidP="00235203">
      <w:r w:rsidRPr="0057251F">
        <w:t>Subsidy of 5% of the total eligible investment in case of achieving energy savings of 20–30%</w:t>
      </w:r>
    </w:p>
    <w:p w:rsidR="00065632" w:rsidRPr="0057251F" w:rsidRDefault="00065632" w:rsidP="00235203">
      <w:r w:rsidRPr="0057251F">
        <w:t>Subsidy of 10% of the total eligible investment in case of achieving energy savings of 3040%</w:t>
      </w:r>
    </w:p>
    <w:p w:rsidR="00065632" w:rsidRPr="0057251F" w:rsidRDefault="00065632" w:rsidP="00235203">
      <w:r w:rsidRPr="0057251F">
        <w:t>Subsidy of 15% of the total eligible investment in case of achieving energy savings of 40–50%</w:t>
      </w:r>
    </w:p>
    <w:p w:rsidR="00065632" w:rsidRPr="0057251F" w:rsidRDefault="00065632" w:rsidP="00235203">
      <w:r w:rsidRPr="0057251F">
        <w:t>Subsidy of 20% of the total eligible investment in case of achieving energy savings of 50–60%</w:t>
      </w:r>
    </w:p>
    <w:p w:rsidR="00065632" w:rsidRPr="0057251F" w:rsidRDefault="00065632" w:rsidP="00235203">
      <w:r w:rsidRPr="0057251F">
        <w:t xml:space="preserve">Subsidy of 25% of the total eligible investment in case of achieving energy </w:t>
      </w:r>
      <w:r>
        <w:t>savings of more than 60%</w:t>
      </w:r>
    </w:p>
    <w:p w:rsidR="00065632" w:rsidRPr="0057251F" w:rsidRDefault="00065632" w:rsidP="00235203"/>
    <w:p w:rsidR="00065632" w:rsidRPr="00235203" w:rsidRDefault="00065632" w:rsidP="00235203"/>
    <w:p w:rsidR="00065632" w:rsidRDefault="00065632" w:rsidP="00DA246E">
      <w:bookmarkStart w:id="196" w:name="_Toc406031198"/>
      <w:bookmarkStart w:id="197" w:name="_Toc409637252"/>
    </w:p>
    <w:bookmarkEnd w:id="196"/>
    <w:bookmarkEnd w:id="197"/>
    <w:p w:rsidR="00065632" w:rsidRPr="00DA246E" w:rsidRDefault="00065632" w:rsidP="00DA246E">
      <w:pPr>
        <w:spacing w:after="0"/>
        <w:jc w:val="left"/>
      </w:pPr>
    </w:p>
    <w:p w:rsidR="00065632" w:rsidRDefault="00065632" w:rsidP="0077225E">
      <w:pPr>
        <w:pStyle w:val="Nadpis3"/>
      </w:pPr>
      <w:bookmarkStart w:id="198" w:name="_Toc400580851"/>
      <w:r>
        <w:br w:type="page"/>
      </w:r>
    </w:p>
    <w:p w:rsidR="00065632" w:rsidRPr="0064205B" w:rsidRDefault="00065632" w:rsidP="0077225E">
      <w:pPr>
        <w:pStyle w:val="Nadpis2"/>
      </w:pPr>
      <w:bookmarkStart w:id="199" w:name="_Toc418767164"/>
      <w:bookmarkStart w:id="200" w:name="_Toc426033674"/>
      <w:r>
        <w:lastRenderedPageBreak/>
        <w:t>Options for linking with existing financial instruments and aids</w:t>
      </w:r>
      <w:bookmarkEnd w:id="199"/>
      <w:bookmarkEnd w:id="200"/>
    </w:p>
    <w:bookmarkEnd w:id="198"/>
    <w:p w:rsidR="00065632" w:rsidRDefault="00065632" w:rsidP="0077225E">
      <w:r>
        <w:t>In the analysis of market characteristics, the Contractor identified several aid programmes for European and national resources with related or identical targets to those developed for the IROP monitored areas of intervention. These "friction areas" should be monitored and coordinated to ensure complementary and synergistic links between the planned IROP financial instrument and or identically or similarly targeted aid functioning in parallel.</w:t>
      </w:r>
    </w:p>
    <w:p w:rsidR="00065632" w:rsidRDefault="00065632" w:rsidP="0077225E">
      <w:r>
        <w:t>In the next section of this chapter, the Contractor briefly describes the "friction areas", for which they provide key findings, conclusions and recommendations to ensure an appropriate form of linking.</w:t>
      </w:r>
    </w:p>
    <w:p w:rsidR="00065632" w:rsidRDefault="00065632" w:rsidP="0077225E">
      <w:pPr>
        <w:pStyle w:val="CaptionIntroductionparagraph"/>
      </w:pPr>
      <w:r>
        <w:t>Options for linking with the existing aids – JESSICA financial instrument</w:t>
      </w:r>
    </w:p>
    <w:p w:rsidR="00065632" w:rsidRDefault="00065632" w:rsidP="0077225E">
      <w:r>
        <w:t>IROP specific objective 2.5 and the area of intervention of the JESSICA programme show a considerable factual overlap; however, it is still not clear whether there will also be a time overlap. Drawing from the new IROP financial instrument may commence, provided that the key milestones in accordance with the action plan (chapter 5.2.9) are met, in 2016, whereas JESSICA's operation terminates with 2015.</w:t>
      </w:r>
    </w:p>
    <w:p w:rsidR="00065632" w:rsidRDefault="00065632" w:rsidP="0077225E">
      <w:r>
        <w:t xml:space="preserve">The JESSICA programme operates on the revolving character, i.e. it is possible (and appropriate) to re-use the funds for the same or similar purposes – it can be expected that by the end of 2015 the volume of funds returned to the holding fund will be CZK 25–30 million, and the funds are to accumulate in the following years. If the provision of aid is renewed on the same approximate basis as to date, which is logical and desirable, there should be coordination with IROP so as to allow for synergic effects from the parallel implementation of both programmes. </w:t>
      </w:r>
    </w:p>
    <w:p w:rsidR="00065632" w:rsidRDefault="00065632" w:rsidP="0077225E">
      <w:pPr>
        <w:rPr>
          <w:b/>
          <w:bCs/>
        </w:rPr>
      </w:pPr>
      <w:r>
        <w:rPr>
          <w:b/>
          <w:bCs/>
        </w:rPr>
        <w:t>One of the possibilities of this "cooperation" is that the JESSICA programme could assist measures of IROP investment projects that do not fall within the programme's eligible expenditure, but it is logical and desirable to implement them together with the investment (or they even cannot be separated). This way, it would be possible to increase the proportion of project eligible expenditure (by involving two aid schemes) and achieve higher activated demand.</w:t>
      </w:r>
    </w:p>
    <w:p w:rsidR="00065632" w:rsidRDefault="00065632" w:rsidP="0077225E">
      <w:pPr>
        <w:rPr>
          <w:b/>
          <w:bCs/>
        </w:rPr>
      </w:pPr>
      <w:r>
        <w:rPr>
          <w:b/>
          <w:bCs/>
        </w:rPr>
        <w:t>It must be noted at this point that coordination is of essence to avoid schism as regards the chosen design of aid. If the managing authority decided to provide SO 2.5 through a simple subsidy-based form or soft loans with significant involvement of a subsidy component, it would significantly weaken the potential interest of applicants in continuation of the JESSICA programme. Such situation would be very demotivating and would lead to problems with absorption and competition of instruments for applicants.</w:t>
      </w:r>
    </w:p>
    <w:p w:rsidR="00065632" w:rsidRPr="0019319B" w:rsidRDefault="00065632" w:rsidP="0077225E">
      <w:pPr>
        <w:rPr>
          <w:b/>
          <w:bCs/>
        </w:rPr>
      </w:pPr>
      <w:r>
        <w:rPr>
          <w:b/>
          <w:bCs/>
        </w:rPr>
        <w:t>One of the possibilities of use of funds returned through the revolving mechanism to the JESSICA programme is depositing them to ENERGETIKA fund which is being created.</w:t>
      </w:r>
    </w:p>
    <w:p w:rsidR="00065632" w:rsidRDefault="00065632" w:rsidP="0077225E">
      <w:pPr>
        <w:pStyle w:val="CaptionIntroductionparagraph"/>
      </w:pPr>
      <w:r>
        <w:t>Options for linking with the existing aids – New Green Savings</w:t>
      </w:r>
    </w:p>
    <w:p w:rsidR="00065632" w:rsidRDefault="00065632" w:rsidP="00901448">
      <w:r>
        <w:t>Based on the Contractor's current information, launch of aid for programme New Green Savings (NGS) is under preparation, for residential buildings in Prague; it should start in the first half of 2015. According to preliminary conclusions from the ME, it is expected that aid will be provided on a subsidy scheme.</w:t>
      </w:r>
    </w:p>
    <w:p w:rsidR="00065632" w:rsidRDefault="00065632" w:rsidP="00901448">
      <w:r>
        <w:t>This national program factually overlaps with the focus of the IROP, which is however limited by the fact that both programmes focus on different geographic areas—NGS will support projects in Prague, IROP in all other parts of the Czech Republic. Although a potential difference in the aid design seems to be eliminated with this, it is not so—different approaches will send confusing signals to citizens who will have to navigate through a complicated system to see what funds are earmarked for what and why. This will lead to a de-motivation of potential absorption based on the psychological feeling of handicaps of other regions in comparison with Prague, etc.</w:t>
      </w:r>
    </w:p>
    <w:p w:rsidR="00065632" w:rsidRDefault="00065632" w:rsidP="00901448">
      <w:r>
        <w:rPr>
          <w:b/>
          <w:bCs/>
        </w:rPr>
        <w:t>The Contractor recommends that the MA continue to communicate the IROP with representatives of the ME so that the newly prepared programme has the same form of addressing applicants as IROP, i.e. a loan financial instrument.</w:t>
      </w:r>
      <w:r>
        <w:t xml:space="preserve"> Such approach would not only prevent potential negative effects described above, it would also help better clarify how and why financial instruments operate, what their benefits are and why the Czech Republic is starting to use them to a greater extent. If this can be achieved, we recommend efforts leading to a consistent targeting of aid in the area of energy.</w:t>
      </w:r>
    </w:p>
    <w:p w:rsidR="00065632" w:rsidRDefault="00065632" w:rsidP="00901448">
      <w:r>
        <w:rPr>
          <w:b/>
          <w:bCs/>
        </w:rPr>
        <w:t xml:space="preserve">The above recommendations are important also due to possible extension of "friction surfaces" with the New Green Savings extending its reach with other areas of support to the entire Czech </w:t>
      </w:r>
      <w:r>
        <w:rPr>
          <w:b/>
          <w:bCs/>
        </w:rPr>
        <w:lastRenderedPageBreak/>
        <w:t>Republic.</w:t>
      </w:r>
      <w:r>
        <w:t xml:space="preserve"> Based on the Contractor's information, the "friction surfaces" may be mitigated be upcoming memorandum on cooperation between the </w:t>
      </w:r>
      <w:proofErr w:type="spellStart"/>
      <w:r>
        <w:t>MoRD</w:t>
      </w:r>
      <w:proofErr w:type="spellEnd"/>
      <w:r>
        <w:t xml:space="preserve"> and the ME – the Contractor fully supports these steps.</w:t>
      </w:r>
    </w:p>
    <w:p w:rsidR="00065632" w:rsidRDefault="00065632" w:rsidP="0077225E">
      <w:pPr>
        <w:pStyle w:val="CaptionIntroductionparagraph"/>
      </w:pPr>
      <w:r>
        <w:t>Options for linking with the existing aids – programme Panel 2013+</w:t>
      </w:r>
    </w:p>
    <w:p w:rsidR="00065632" w:rsidRDefault="00065632" w:rsidP="00901448">
      <w:r>
        <w:t xml:space="preserve">The programme PANEL+ exhibits the same characteristics as the JESSICA programme – there is a factual overlap and the time overlap in unclear. In the event that allocation of further funds for continuation of this national programme in the following years is being prepared, </w:t>
      </w:r>
      <w:r>
        <w:rPr>
          <w:b/>
          <w:bCs/>
        </w:rPr>
        <w:t>it is desirable to proceed, in terms of coordination, in accordance with the Contractor's recommendations in the proposal of linking with the JESSICA programme</w:t>
      </w:r>
      <w:r>
        <w:t>.</w:t>
      </w:r>
    </w:p>
    <w:p w:rsidR="00065632" w:rsidRDefault="00065632" w:rsidP="0077225E">
      <w:pPr>
        <w:pStyle w:val="CaptionIntroductionparagraph"/>
      </w:pPr>
      <w:r>
        <w:t>Options for linking with the existing aids – other ESIF programmes</w:t>
      </w:r>
    </w:p>
    <w:p w:rsidR="00065632" w:rsidRDefault="00065632" w:rsidP="00950A4E">
      <w:r>
        <w:t>In the monitored area of intervention, "friction surfaces" (larger or smaller forms of overlap in the target area or group of eligible beneficiaries) can be expected based on the analysis of the past overlaps specified in chapter Analyses of market characteristics, with the following aid schemes:</w:t>
      </w:r>
    </w:p>
    <w:p w:rsidR="00065632" w:rsidRPr="007912AA" w:rsidRDefault="00065632" w:rsidP="00065632">
      <w:pPr>
        <w:numPr>
          <w:ilvl w:val="0"/>
          <w:numId w:val="22"/>
        </w:numPr>
        <w:rPr>
          <w:b/>
          <w:bCs/>
        </w:rPr>
      </w:pPr>
      <w:r>
        <w:rPr>
          <w:b/>
          <w:bCs/>
        </w:rPr>
        <w:t>OP Prague - Growth Pole of the CR</w:t>
      </w:r>
      <w:r>
        <w:t>, area of intervention 2.1.3 Implementation of pilot projects to transform energy-intensive public buildings into near-zero-energy buildings;</w:t>
      </w:r>
    </w:p>
    <w:p w:rsidR="00065632" w:rsidRPr="007912AA" w:rsidRDefault="00065632" w:rsidP="00065632">
      <w:pPr>
        <w:numPr>
          <w:ilvl w:val="0"/>
          <w:numId w:val="22"/>
        </w:numPr>
        <w:rPr>
          <w:b/>
          <w:bCs/>
        </w:rPr>
      </w:pPr>
      <w:r>
        <w:rPr>
          <w:b/>
          <w:bCs/>
        </w:rPr>
        <w:t>OP Enterprise and innovations for competitiveness</w:t>
      </w:r>
      <w:r>
        <w:t>, the ECO ENERGY programme within the specific objective 3.2;</w:t>
      </w:r>
    </w:p>
    <w:p w:rsidR="00065632" w:rsidRPr="00003F0E" w:rsidRDefault="00065632" w:rsidP="00065632">
      <w:pPr>
        <w:numPr>
          <w:ilvl w:val="0"/>
          <w:numId w:val="22"/>
        </w:numPr>
        <w:rPr>
          <w:b/>
          <w:bCs/>
        </w:rPr>
      </w:pPr>
      <w:r>
        <w:rPr>
          <w:b/>
          <w:bCs/>
        </w:rPr>
        <w:t>Operational Programme Environment</w:t>
      </w:r>
      <w:bookmarkStart w:id="201" w:name="_Toc408572471"/>
      <w:r>
        <w:t xml:space="preserve">, priority axis 5 – </w:t>
      </w:r>
      <w:bookmarkEnd w:id="201"/>
      <w:r>
        <w:t>reducing energy consumption by improving insulation properties of cladding of buildings, including other measures to reduce energy performance of buildings.</w:t>
      </w:r>
    </w:p>
    <w:p w:rsidR="00065632" w:rsidRDefault="00065632" w:rsidP="0077225E">
      <w:r>
        <w:t>According to the Contractor's current information, managing authorities are taking steps in all ESIF aid programmes of focus towards the possible replacement of the existing form of aid using subsidies with the aid granted in the form of financial instrument - typically a loan instrument. With regard to these issues, meetings of individual OP representatives are already being held where efforts are made to coordinate the procedure.</w:t>
      </w:r>
    </w:p>
    <w:p w:rsidR="00065632" w:rsidRDefault="00065632" w:rsidP="0077225E">
      <w:r>
        <w:rPr>
          <w:b/>
          <w:bCs/>
        </w:rPr>
        <w:t>The Contractor recommends that a formal working group with regular mode of procedures should be established</w:t>
      </w:r>
      <w:r>
        <w:t xml:space="preserve"> to address in more detail options for ensuring complementarities and synergies in the monitored area. Primarily, it is necessary to reach a consensus on whether the areas will continue to be aided through subsidies, or space will be determined for the involvement of financial instruments - adjustment by which some OPs set a certain method while other OPs set another method should be avoided. In addition, coordination regarding the choice of an appropriate form of already specified financial instruments should be resolved. An effort for the establishment of an effective implementation platform should also be coordinated, ideally using shared structures - see the section describing the implementation and proposed establishment of a joint environmental Fund of Funds.</w:t>
      </w:r>
    </w:p>
    <w:p w:rsidR="00065632" w:rsidRDefault="00065632" w:rsidP="0077225E">
      <w:pPr>
        <w:pStyle w:val="CaptionIntroductionparagraph"/>
      </w:pPr>
      <w:r>
        <w:t>Options for linking with the existing aid – "unlimited" programmes</w:t>
      </w:r>
    </w:p>
    <w:p w:rsidR="00065632" w:rsidRDefault="00065632" w:rsidP="0077225E">
      <w:r>
        <w:t>Within the assessment of options for linking the proposed financial instruments with the existing offer of aid for the monitored areas in the Czech Republic, It is also necessary to identify friction surfaces with bank products showing advantages against market conditions thanks to aid from EIB/EIF or CEB.</w:t>
      </w:r>
    </w:p>
    <w:p w:rsidR="00065632" w:rsidRPr="00537614" w:rsidRDefault="00065632" w:rsidP="0077225E">
      <w:r>
        <w:t>The Contractor tried to identify these potential friction surfaces through open negotiations with representatives of the Czech Banking Association, however, no information beyond the publicly available sources was provided from the banking sector. Therefore, the Contractor prepared a summary of potential "friction surfaces" using available sources, and the conclusions are provided in Annex No. 3 to this report. The Contractor appreciates that at this point the aid is solely provided through financial instruments, i.e. if the IROP financial instruments are selected, complementarities and synergies should be generated, and the effects of displacement or undesired "unfair" competition (where one product is a subsidy and the other one a financial instrument) should not occur. However, the Contractor recommends that the managing authority should keep communicating with the banking sector representatives and identify more precisely the areas where a conflict of interest could occur; these conflicts should then be addressed in a flexible way.</w:t>
      </w:r>
    </w:p>
    <w:p w:rsidR="00065632" w:rsidRPr="00537614" w:rsidRDefault="00065632" w:rsidP="0077225E"/>
    <w:p w:rsidR="00065632" w:rsidRPr="00537614" w:rsidRDefault="00065632" w:rsidP="0077225E"/>
    <w:p w:rsidR="00065632" w:rsidRPr="00537614" w:rsidRDefault="00065632" w:rsidP="0077225E">
      <w:pPr>
        <w:spacing w:after="0"/>
        <w:jc w:val="left"/>
        <w:rPr>
          <w:b/>
          <w:bCs/>
          <w:color w:val="00A1DE"/>
          <w:sz w:val="24"/>
          <w:szCs w:val="24"/>
        </w:rPr>
      </w:pPr>
      <w:r>
        <w:br w:type="page"/>
      </w:r>
    </w:p>
    <w:p w:rsidR="00065632" w:rsidRPr="00693AAF" w:rsidRDefault="00065632" w:rsidP="0077225E">
      <w:pPr>
        <w:pStyle w:val="Nadpis2"/>
        <w:rPr>
          <w:spacing w:val="-2"/>
        </w:rPr>
      </w:pPr>
      <w:bookmarkStart w:id="202" w:name="_Toc400580863"/>
      <w:bookmarkStart w:id="203" w:name="_Toc418767165"/>
      <w:bookmarkStart w:id="204" w:name="_Toc426033675"/>
      <w:r w:rsidRPr="00693AAF">
        <w:rPr>
          <w:spacing w:val="-2"/>
        </w:rPr>
        <w:lastRenderedPageBreak/>
        <w:t>Assessment of the compatibility with the state aid guidelines</w:t>
      </w:r>
      <w:bookmarkEnd w:id="202"/>
      <w:bookmarkEnd w:id="203"/>
      <w:bookmarkEnd w:id="204"/>
    </w:p>
    <w:p w:rsidR="00065632" w:rsidRPr="00537614" w:rsidRDefault="00065632" w:rsidP="0077225E">
      <w:r>
        <w:t>The proposed forms of financial instruments, as described in the previous sections of this report, are subject to a three-phase assessment of compatibility with the state aid guidelines:</w:t>
      </w:r>
    </w:p>
    <w:p w:rsidR="00065632" w:rsidRPr="00537614" w:rsidRDefault="00065632" w:rsidP="00065632">
      <w:pPr>
        <w:pStyle w:val="Odstavecseseznamem"/>
        <w:numPr>
          <w:ilvl w:val="0"/>
          <w:numId w:val="12"/>
        </w:numPr>
      </w:pPr>
      <w:r>
        <w:t>Assessment of state aid existence;</w:t>
      </w:r>
    </w:p>
    <w:p w:rsidR="00065632" w:rsidRPr="00537614" w:rsidRDefault="00065632" w:rsidP="00065632">
      <w:pPr>
        <w:pStyle w:val="Odstavecseseznamem"/>
        <w:numPr>
          <w:ilvl w:val="0"/>
          <w:numId w:val="12"/>
        </w:numPr>
      </w:pPr>
      <w:r>
        <w:t xml:space="preserve">Possibility of using the </w:t>
      </w:r>
      <w:r>
        <w:rPr>
          <w:i/>
          <w:iCs/>
        </w:rPr>
        <w:t>"off the shelf"</w:t>
      </w:r>
      <w:r>
        <w:t xml:space="preserve"> instruments, </w:t>
      </w:r>
      <w:r>
        <w:rPr>
          <w:i/>
          <w:iCs/>
        </w:rPr>
        <w:t>de minimis</w:t>
      </w:r>
      <w:r>
        <w:t xml:space="preserve"> rules or GBER;</w:t>
      </w:r>
    </w:p>
    <w:p w:rsidR="00065632" w:rsidRPr="00537614" w:rsidRDefault="00065632" w:rsidP="00065632">
      <w:pPr>
        <w:pStyle w:val="Odstavecseseznamem"/>
        <w:numPr>
          <w:ilvl w:val="0"/>
          <w:numId w:val="12"/>
        </w:numPr>
      </w:pPr>
      <w:r>
        <w:t>Taking into account the factors relevant for assessing the compatibility with the internal market (e.g. EEAG).</w:t>
      </w:r>
    </w:p>
    <w:p w:rsidR="00065632" w:rsidRPr="00693AAF" w:rsidRDefault="00065632" w:rsidP="0077225E">
      <w:pPr>
        <w:rPr>
          <w:b/>
          <w:bCs/>
          <w:color w:val="92D400"/>
        </w:rPr>
      </w:pPr>
      <w:r>
        <w:t>When assessing the compatibility with the state aid guidelines, it is necessary to ensure consistency at all levels of the implementation structure, i.e. at the level of fund manager, co-financing entity and final beneficiary. To comply with the state aid guidelines, it is also necessary to always update the preliminary assessment whenever the market environment changes and consequently a market failure occurs (Art. 37(2</w:t>
      </w:r>
      <w:proofErr w:type="gramStart"/>
      <w:r>
        <w:t>)(</w:t>
      </w:r>
      <w:proofErr w:type="gramEnd"/>
      <w:r>
        <w:t>g) of the Common Provisions Regulation).</w:t>
      </w:r>
    </w:p>
    <w:p w:rsidR="00065632" w:rsidRPr="00537614" w:rsidRDefault="00065632" w:rsidP="0077225E">
      <w:pPr>
        <w:pStyle w:val="Nadpis3"/>
      </w:pPr>
      <w:bookmarkStart w:id="205" w:name="_Toc418767166"/>
      <w:bookmarkStart w:id="206" w:name="_Toc426033676"/>
      <w:r>
        <w:t>Three-phase assessment of the compatibility of the proposed instruments</w:t>
      </w:r>
      <w:bookmarkEnd w:id="205"/>
      <w:bookmarkEnd w:id="206"/>
    </w:p>
    <w:p w:rsidR="00065632" w:rsidRPr="00537614" w:rsidRDefault="00065632" w:rsidP="0077225E">
      <w:pPr>
        <w:pStyle w:val="CaptionIntroductionparagraph"/>
      </w:pPr>
      <w:r>
        <w:t>Existence of state aid</w:t>
      </w:r>
    </w:p>
    <w:p w:rsidR="00065632" w:rsidRPr="00537614" w:rsidRDefault="00065632" w:rsidP="0077225E">
      <w:pPr>
        <w:pStyle w:val="CaptionIntroductionparagraph"/>
        <w:jc w:val="both"/>
        <w:rPr>
          <w:b w:val="0"/>
          <w:bCs w:val="0"/>
          <w:color w:val="auto"/>
          <w:sz w:val="19"/>
          <w:szCs w:val="19"/>
        </w:rPr>
      </w:pPr>
      <w:r>
        <w:rPr>
          <w:b w:val="0"/>
          <w:bCs w:val="0"/>
          <w:color w:val="auto"/>
          <w:sz w:val="19"/>
          <w:szCs w:val="19"/>
        </w:rPr>
        <w:t>The proposed financial instruments should be designed as instruments without state aid at the level of fund managers (ensuring the transfer of the entire benefit provided, commercial revenue).</w:t>
      </w:r>
    </w:p>
    <w:p w:rsidR="00065632" w:rsidRPr="00537614" w:rsidRDefault="00065632" w:rsidP="0077225E">
      <w:pPr>
        <w:pStyle w:val="CaptionIntroductionparagraph"/>
        <w:jc w:val="both"/>
        <w:rPr>
          <w:b w:val="0"/>
          <w:bCs w:val="0"/>
          <w:color w:val="auto"/>
          <w:sz w:val="19"/>
          <w:szCs w:val="19"/>
        </w:rPr>
      </w:pPr>
      <w:r>
        <w:rPr>
          <w:b w:val="0"/>
          <w:bCs w:val="0"/>
          <w:color w:val="auto"/>
          <w:sz w:val="19"/>
          <w:szCs w:val="19"/>
        </w:rPr>
        <w:t>For the co-financing entities which will participate in the funding from their own resources, we do not expect it would be possible to exclude the existence of state aid as such (necessary to be resolved at the level of compatibility with the internal market - see section 5.4.2 below). The same applies in the case of the final beneficiaries.</w:t>
      </w:r>
    </w:p>
    <w:p w:rsidR="00065632" w:rsidRPr="00537614" w:rsidRDefault="00065632" w:rsidP="0077225E">
      <w:pPr>
        <w:pStyle w:val="CaptionIntroductionparagraph"/>
      </w:pPr>
      <w:r>
        <w:t>Possibility of using the rules excluding the notification duty</w:t>
      </w:r>
    </w:p>
    <w:p w:rsidR="00065632" w:rsidRPr="00537614" w:rsidRDefault="00065632" w:rsidP="0077225E">
      <w:pPr>
        <w:pStyle w:val="CaptionIntroductionparagraph"/>
        <w:jc w:val="both"/>
        <w:rPr>
          <w:b w:val="0"/>
          <w:bCs w:val="0"/>
          <w:color w:val="auto"/>
          <w:sz w:val="19"/>
          <w:szCs w:val="19"/>
        </w:rPr>
      </w:pPr>
      <w:r>
        <w:rPr>
          <w:b w:val="0"/>
          <w:bCs w:val="0"/>
          <w:color w:val="auto"/>
          <w:sz w:val="19"/>
          <w:szCs w:val="19"/>
        </w:rPr>
        <w:t>With regard to the local specifics of the Czech Republic, the local market environment and long-term attitudes of potential applicants to the state aid offer in the monitored areas, the Contractor has given up the effort to promote instruments from the off-the-shelf offer prepared by the European Commission for the 2014-2020 programming period, as specified in the Commission Implementing Regulation (EU) No. 964/2014. A potentially suitable instrument seems to be the Renovation Loan. However, we do not recommend its utilisation due to the following reasons:</w:t>
      </w:r>
    </w:p>
    <w:p w:rsidR="00065632" w:rsidRPr="00537614" w:rsidRDefault="00065632" w:rsidP="00065632">
      <w:pPr>
        <w:pStyle w:val="CaptionIntroductionparagraph"/>
        <w:numPr>
          <w:ilvl w:val="0"/>
          <w:numId w:val="23"/>
        </w:numPr>
        <w:jc w:val="both"/>
        <w:rPr>
          <w:b w:val="0"/>
          <w:bCs w:val="0"/>
          <w:color w:val="auto"/>
          <w:sz w:val="19"/>
          <w:szCs w:val="19"/>
        </w:rPr>
      </w:pPr>
      <w:r>
        <w:rPr>
          <w:b w:val="0"/>
          <w:bCs w:val="0"/>
          <w:color w:val="auto"/>
          <w:sz w:val="19"/>
          <w:szCs w:val="19"/>
        </w:rPr>
        <w:t xml:space="preserve">The </w:t>
      </w:r>
      <w:r>
        <w:rPr>
          <w:color w:val="auto"/>
          <w:sz w:val="19"/>
          <w:szCs w:val="19"/>
        </w:rPr>
        <w:t xml:space="preserve">Renovation Loan </w:t>
      </w:r>
      <w:r>
        <w:rPr>
          <w:b w:val="0"/>
          <w:bCs w:val="0"/>
          <w:color w:val="auto"/>
          <w:sz w:val="19"/>
          <w:szCs w:val="19"/>
        </w:rPr>
        <w:t xml:space="preserve">instrument aka </w:t>
      </w:r>
      <w:r>
        <w:rPr>
          <w:color w:val="auto"/>
          <w:sz w:val="19"/>
          <w:szCs w:val="19"/>
        </w:rPr>
        <w:t xml:space="preserve">a loan for energy efficiency and renewable sources energy </w:t>
      </w:r>
      <w:r>
        <w:rPr>
          <w:b w:val="0"/>
          <w:bCs w:val="0"/>
          <w:color w:val="auto"/>
          <w:sz w:val="19"/>
          <w:szCs w:val="19"/>
        </w:rPr>
        <w:t xml:space="preserve">uses the </w:t>
      </w:r>
      <w:r>
        <w:rPr>
          <w:b w:val="0"/>
          <w:bCs w:val="0"/>
          <w:i/>
          <w:iCs/>
          <w:color w:val="auto"/>
          <w:sz w:val="19"/>
          <w:szCs w:val="19"/>
        </w:rPr>
        <w:t>de minimis</w:t>
      </w:r>
      <w:r>
        <w:rPr>
          <w:b w:val="0"/>
          <w:bCs w:val="0"/>
          <w:color w:val="auto"/>
          <w:sz w:val="19"/>
          <w:szCs w:val="19"/>
        </w:rPr>
        <w:t xml:space="preserve"> aid scheme; however, this approach is not necessary or desirable in the area considered by the IROP – see the reasons listed in the specification card of the instrument and again below;</w:t>
      </w:r>
    </w:p>
    <w:p w:rsidR="00065632" w:rsidRPr="00537614" w:rsidRDefault="00065632" w:rsidP="00065632">
      <w:pPr>
        <w:pStyle w:val="CaptionIntroductionparagraph"/>
        <w:numPr>
          <w:ilvl w:val="0"/>
          <w:numId w:val="23"/>
        </w:numPr>
        <w:jc w:val="both"/>
        <w:rPr>
          <w:b w:val="0"/>
          <w:bCs w:val="0"/>
          <w:color w:val="auto"/>
          <w:sz w:val="19"/>
          <w:szCs w:val="19"/>
        </w:rPr>
      </w:pPr>
      <w:r>
        <w:rPr>
          <w:b w:val="0"/>
          <w:bCs w:val="0"/>
          <w:color w:val="auto"/>
          <w:sz w:val="19"/>
          <w:szCs w:val="19"/>
        </w:rPr>
        <w:t xml:space="preserve">The Renovation Loan instrument operates on the assumption that its very presence and its attribute of risk sharing will motivate to activate projects from the identified potential demand; however, conclusions of the Contractor's analytical works confirm that </w:t>
      </w:r>
      <w:r>
        <w:rPr>
          <w:color w:val="auto"/>
          <w:sz w:val="19"/>
          <w:szCs w:val="19"/>
        </w:rPr>
        <w:t>other motivating elements must be added</w:t>
      </w:r>
      <w:r>
        <w:rPr>
          <w:b w:val="0"/>
          <w:bCs w:val="0"/>
          <w:color w:val="auto"/>
          <w:sz w:val="19"/>
          <w:szCs w:val="19"/>
        </w:rPr>
        <w:t xml:space="preserve"> (profit sharing, subsidy component) to activate projects and co-financing capital;</w:t>
      </w:r>
    </w:p>
    <w:p w:rsidR="00065632" w:rsidRPr="00537614" w:rsidRDefault="00065632" w:rsidP="00065632">
      <w:pPr>
        <w:pStyle w:val="CaptionIntroductionparagraph"/>
        <w:numPr>
          <w:ilvl w:val="0"/>
          <w:numId w:val="23"/>
        </w:numPr>
        <w:jc w:val="both"/>
        <w:rPr>
          <w:b w:val="0"/>
          <w:bCs w:val="0"/>
          <w:color w:val="auto"/>
          <w:sz w:val="19"/>
          <w:szCs w:val="19"/>
        </w:rPr>
      </w:pPr>
      <w:r>
        <w:rPr>
          <w:b w:val="0"/>
          <w:bCs w:val="0"/>
          <w:color w:val="auto"/>
          <w:sz w:val="19"/>
          <w:szCs w:val="19"/>
        </w:rPr>
        <w:t>It is not clear from the implementing regulation whether the instrument can be set-up in accordance with the Contractor's proposal, i.e. in a syndicated form combining funds from IROP and a co-financing entity;</w:t>
      </w:r>
    </w:p>
    <w:p w:rsidR="00065632" w:rsidRPr="00537614" w:rsidRDefault="00065632" w:rsidP="00065632">
      <w:pPr>
        <w:pStyle w:val="CaptionIntroductionparagraph"/>
        <w:numPr>
          <w:ilvl w:val="0"/>
          <w:numId w:val="23"/>
        </w:numPr>
        <w:jc w:val="both"/>
        <w:rPr>
          <w:b w:val="0"/>
          <w:bCs w:val="0"/>
          <w:color w:val="auto"/>
          <w:sz w:val="19"/>
          <w:szCs w:val="19"/>
        </w:rPr>
      </w:pPr>
      <w:r>
        <w:rPr>
          <w:b w:val="0"/>
          <w:bCs w:val="0"/>
          <w:color w:val="auto"/>
          <w:sz w:val="19"/>
          <w:szCs w:val="19"/>
        </w:rPr>
        <w:t xml:space="preserve">The instrument works on the assumption of creation of a portfolio of new projects with one selected financial intermediary, whereas it seems much </w:t>
      </w:r>
      <w:r>
        <w:rPr>
          <w:color w:val="auto"/>
          <w:sz w:val="19"/>
          <w:szCs w:val="19"/>
        </w:rPr>
        <w:t>better for the conditions in the Czech Republic if the instrument manager cooperates with all entities which meet the conditions of cooperation</w:t>
      </w:r>
      <w:r>
        <w:rPr>
          <w:b w:val="0"/>
          <w:bCs w:val="0"/>
          <w:color w:val="auto"/>
          <w:sz w:val="19"/>
          <w:szCs w:val="19"/>
        </w:rPr>
        <w:t xml:space="preserve"> and express interest in this kind of cooperation.</w:t>
      </w:r>
    </w:p>
    <w:p w:rsidR="00065632" w:rsidRPr="00537614" w:rsidRDefault="00065632" w:rsidP="0077225E">
      <w:pPr>
        <w:pStyle w:val="CaptionIntroductionparagraph"/>
        <w:jc w:val="both"/>
        <w:rPr>
          <w:b w:val="0"/>
          <w:bCs w:val="0"/>
          <w:color w:val="auto"/>
          <w:sz w:val="19"/>
          <w:szCs w:val="19"/>
        </w:rPr>
      </w:pPr>
      <w:r>
        <w:rPr>
          <w:b w:val="0"/>
          <w:bCs w:val="0"/>
          <w:color w:val="auto"/>
          <w:sz w:val="19"/>
          <w:szCs w:val="19"/>
        </w:rPr>
        <w:t>Given the reasons due to the specifics of the Czech Republic, the Contractor proposes establishment of a new instrument, i.e. a tailor-made one.</w:t>
      </w:r>
    </w:p>
    <w:p w:rsidR="00065632" w:rsidRPr="00537614" w:rsidRDefault="00065632" w:rsidP="0077225E">
      <w:pPr>
        <w:pStyle w:val="CaptionIntroductionparagraph"/>
        <w:jc w:val="both"/>
        <w:rPr>
          <w:b w:val="0"/>
          <w:bCs w:val="0"/>
          <w:color w:val="auto"/>
          <w:sz w:val="19"/>
          <w:szCs w:val="19"/>
        </w:rPr>
      </w:pPr>
      <w:r>
        <w:rPr>
          <w:b w:val="0"/>
          <w:bCs w:val="0"/>
          <w:color w:val="auto"/>
          <w:sz w:val="19"/>
          <w:szCs w:val="19"/>
        </w:rPr>
        <w:t xml:space="preserve">Aid using the de minimis scheme is essentially possible and the Contractor recommends offering of an instrument which uses this scheme, however, it is good to simultaneously offer also an instrument with aid scheme using the GBER regime (see below). The Contractor justified this procedure with the fact that in </w:t>
      </w:r>
      <w:r>
        <w:rPr>
          <w:b w:val="0"/>
          <w:bCs w:val="0"/>
          <w:color w:val="auto"/>
          <w:sz w:val="19"/>
          <w:szCs w:val="19"/>
        </w:rPr>
        <w:lastRenderedPageBreak/>
        <w:t>practical terms the use of de minimis does not imply increase in the provided aid because GBER articles may bring about a comparable amount of loans and comparable amount of involvement of IROP funds. As shown by the gross grant equivalent model, the amount of provided aid in typical cases is up to 20%. A meeting with the Banking Association identified another problematic point: many housing cooperatives have already exhausted this aid or they may have booked the de minimis limit for use in other projects (e.g. in the context of connection with applications in the PANEL or JESSICA programmes). Mainly due to the above reasons, we recommend using the de minimis scheme together with an instrument using GBER.</w:t>
      </w:r>
    </w:p>
    <w:p w:rsidR="00065632" w:rsidRPr="00537614" w:rsidRDefault="00065632" w:rsidP="00180976">
      <w:pPr>
        <w:pStyle w:val="CaptionIntroductionparagraph"/>
        <w:jc w:val="both"/>
        <w:rPr>
          <w:b w:val="0"/>
          <w:bCs w:val="0"/>
          <w:color w:val="auto"/>
          <w:sz w:val="19"/>
          <w:szCs w:val="19"/>
        </w:rPr>
      </w:pPr>
      <w:r>
        <w:rPr>
          <w:b w:val="0"/>
          <w:bCs w:val="0"/>
          <w:color w:val="auto"/>
          <w:sz w:val="19"/>
          <w:szCs w:val="19"/>
        </w:rPr>
        <w:t>According to the Contractor's internal material specifying the relevant schemes offered for the monitored SO 2.5, based on the conclusions of negotiations and based on their own expertise, if the rules without the notification duty are selected, the Contractor recommends the use of appropriate aid segments through GBER. It is suitable to use Article 39 of GBER for the proposed instrument; the aid must activate sufficient investments from private investors, the amount of which must reach at least 30% of the total funds provided for a given projects but it is possible to provide loan financing under preferential conditions up to the amount of 100% of the investment eligible expenditure.</w:t>
      </w:r>
    </w:p>
    <w:p w:rsidR="00065632" w:rsidRPr="00537614" w:rsidRDefault="00065632" w:rsidP="00463630">
      <w:pPr>
        <w:pStyle w:val="CaptionIntroductionparagraph"/>
        <w:jc w:val="both"/>
        <w:rPr>
          <w:b w:val="0"/>
          <w:bCs w:val="0"/>
          <w:color w:val="auto"/>
          <w:sz w:val="19"/>
          <w:szCs w:val="19"/>
        </w:rPr>
      </w:pPr>
      <w:r>
        <w:rPr>
          <w:b w:val="0"/>
          <w:bCs w:val="0"/>
          <w:color w:val="auto"/>
          <w:sz w:val="19"/>
          <w:szCs w:val="19"/>
        </w:rPr>
        <w:t>For the proper application of GBER without the necessary notification, the notification duty thresholds (GBER, Article 4) and the aid accumulation rules (GBER, Article 8) must also be observed.</w:t>
      </w:r>
    </w:p>
    <w:p w:rsidR="00065632" w:rsidRPr="00537614" w:rsidRDefault="00065632" w:rsidP="0077225E">
      <w:pPr>
        <w:pStyle w:val="CaptionIntroductionparagraph"/>
      </w:pPr>
      <w:r>
        <w:t>Factors relevant for the assessment of the compatibility with the internal market</w:t>
      </w:r>
    </w:p>
    <w:p w:rsidR="00065632" w:rsidRPr="00537614" w:rsidRDefault="00065632" w:rsidP="0077225E">
      <w:pPr>
        <w:pStyle w:val="CaptionIntroductionparagraph"/>
        <w:jc w:val="both"/>
        <w:rPr>
          <w:b w:val="0"/>
          <w:bCs w:val="0"/>
          <w:color w:val="auto"/>
          <w:sz w:val="19"/>
          <w:szCs w:val="19"/>
        </w:rPr>
      </w:pPr>
      <w:r>
        <w:rPr>
          <w:b w:val="0"/>
          <w:bCs w:val="0"/>
          <w:color w:val="auto"/>
          <w:sz w:val="19"/>
          <w:szCs w:val="19"/>
        </w:rPr>
        <w:t xml:space="preserve">If none of the GBER regimes or the </w:t>
      </w:r>
      <w:r>
        <w:rPr>
          <w:b w:val="0"/>
          <w:bCs w:val="0"/>
          <w:i/>
          <w:iCs/>
          <w:color w:val="auto"/>
          <w:sz w:val="19"/>
          <w:szCs w:val="19"/>
        </w:rPr>
        <w:t>de minimis</w:t>
      </w:r>
      <w:r>
        <w:rPr>
          <w:b w:val="0"/>
          <w:bCs w:val="0"/>
          <w:color w:val="auto"/>
          <w:sz w:val="19"/>
          <w:szCs w:val="19"/>
        </w:rPr>
        <w:t xml:space="preserve"> scheme </w:t>
      </w:r>
      <w:proofErr w:type="gramStart"/>
      <w:r>
        <w:rPr>
          <w:b w:val="0"/>
          <w:bCs w:val="0"/>
          <w:color w:val="auto"/>
          <w:sz w:val="19"/>
          <w:szCs w:val="19"/>
        </w:rPr>
        <w:t>are</w:t>
      </w:r>
      <w:proofErr w:type="gramEnd"/>
      <w:r>
        <w:rPr>
          <w:b w:val="0"/>
          <w:bCs w:val="0"/>
          <w:color w:val="auto"/>
          <w:sz w:val="19"/>
          <w:szCs w:val="19"/>
        </w:rPr>
        <w:t xml:space="preserve"> selected, it will be necessary to fully notify the European Commission of the proposed financial instruments. According to the preliminary assessment methodology, within the assessment of financial instruments compatibility with the internal market, the following factors of this preliminary assessment will be relevant:</w:t>
      </w:r>
    </w:p>
    <w:p w:rsidR="00065632" w:rsidRPr="00537614" w:rsidRDefault="00065632" w:rsidP="00065632">
      <w:pPr>
        <w:pStyle w:val="CaptionIntroductionparagraph"/>
        <w:numPr>
          <w:ilvl w:val="0"/>
          <w:numId w:val="13"/>
        </w:numPr>
        <w:spacing w:after="0"/>
        <w:jc w:val="both"/>
        <w:rPr>
          <w:b w:val="0"/>
          <w:bCs w:val="0"/>
          <w:color w:val="auto"/>
          <w:sz w:val="19"/>
          <w:szCs w:val="19"/>
        </w:rPr>
      </w:pPr>
      <w:r>
        <w:rPr>
          <w:b w:val="0"/>
          <w:bCs w:val="0"/>
          <w:color w:val="auto"/>
          <w:sz w:val="19"/>
          <w:szCs w:val="19"/>
        </w:rPr>
        <w:t xml:space="preserve">Contribution to the achievement of a public interest objective, </w:t>
      </w:r>
    </w:p>
    <w:p w:rsidR="00065632" w:rsidRPr="00537614" w:rsidRDefault="00065632" w:rsidP="00065632">
      <w:pPr>
        <w:pStyle w:val="CaptionIntroductionparagraph"/>
        <w:numPr>
          <w:ilvl w:val="0"/>
          <w:numId w:val="13"/>
        </w:numPr>
        <w:spacing w:after="0"/>
        <w:jc w:val="both"/>
        <w:rPr>
          <w:b w:val="0"/>
          <w:bCs w:val="0"/>
          <w:color w:val="auto"/>
          <w:sz w:val="19"/>
          <w:szCs w:val="19"/>
        </w:rPr>
      </w:pPr>
      <w:r>
        <w:rPr>
          <w:b w:val="0"/>
          <w:bCs w:val="0"/>
          <w:color w:val="auto"/>
          <w:sz w:val="19"/>
          <w:szCs w:val="19"/>
        </w:rPr>
        <w:t>Necessity of providing the aid,</w:t>
      </w:r>
    </w:p>
    <w:p w:rsidR="00065632" w:rsidRPr="00537614" w:rsidRDefault="00065632" w:rsidP="00065632">
      <w:pPr>
        <w:pStyle w:val="CaptionIntroductionparagraph"/>
        <w:numPr>
          <w:ilvl w:val="0"/>
          <w:numId w:val="13"/>
        </w:numPr>
        <w:spacing w:after="0"/>
        <w:jc w:val="both"/>
        <w:rPr>
          <w:b w:val="0"/>
          <w:bCs w:val="0"/>
          <w:color w:val="auto"/>
          <w:sz w:val="19"/>
          <w:szCs w:val="19"/>
        </w:rPr>
      </w:pPr>
      <w:r>
        <w:rPr>
          <w:b w:val="0"/>
          <w:bCs w:val="0"/>
          <w:color w:val="auto"/>
          <w:sz w:val="19"/>
          <w:szCs w:val="19"/>
        </w:rPr>
        <w:t xml:space="preserve">Appropriateness of the aid provided, </w:t>
      </w:r>
    </w:p>
    <w:p w:rsidR="00065632" w:rsidRPr="00537614" w:rsidRDefault="00065632" w:rsidP="00065632">
      <w:pPr>
        <w:pStyle w:val="CaptionIntroductionparagraph"/>
        <w:numPr>
          <w:ilvl w:val="0"/>
          <w:numId w:val="13"/>
        </w:numPr>
        <w:spacing w:after="0"/>
        <w:jc w:val="both"/>
        <w:rPr>
          <w:b w:val="0"/>
          <w:bCs w:val="0"/>
          <w:color w:val="auto"/>
          <w:sz w:val="19"/>
          <w:szCs w:val="19"/>
        </w:rPr>
      </w:pPr>
      <w:r>
        <w:rPr>
          <w:b w:val="0"/>
          <w:bCs w:val="0"/>
          <w:color w:val="auto"/>
          <w:sz w:val="19"/>
          <w:szCs w:val="19"/>
        </w:rPr>
        <w:t xml:space="preserve">Incentive effect, </w:t>
      </w:r>
    </w:p>
    <w:p w:rsidR="00065632" w:rsidRPr="00537614" w:rsidRDefault="00065632" w:rsidP="00065632">
      <w:pPr>
        <w:pStyle w:val="CaptionIntroductionparagraph"/>
        <w:numPr>
          <w:ilvl w:val="0"/>
          <w:numId w:val="13"/>
        </w:numPr>
        <w:spacing w:after="0"/>
        <w:jc w:val="both"/>
        <w:rPr>
          <w:b w:val="0"/>
          <w:bCs w:val="0"/>
          <w:color w:val="auto"/>
          <w:sz w:val="19"/>
          <w:szCs w:val="19"/>
        </w:rPr>
      </w:pPr>
      <w:r>
        <w:rPr>
          <w:b w:val="0"/>
          <w:bCs w:val="0"/>
          <w:color w:val="auto"/>
          <w:sz w:val="19"/>
          <w:szCs w:val="19"/>
        </w:rPr>
        <w:t xml:space="preserve">Adequateness of the aid provided, </w:t>
      </w:r>
    </w:p>
    <w:p w:rsidR="00065632" w:rsidRPr="00537614" w:rsidRDefault="00065632" w:rsidP="00065632">
      <w:pPr>
        <w:pStyle w:val="CaptionIntroductionparagraph"/>
        <w:numPr>
          <w:ilvl w:val="0"/>
          <w:numId w:val="13"/>
        </w:numPr>
        <w:spacing w:after="0"/>
        <w:jc w:val="both"/>
        <w:rPr>
          <w:b w:val="0"/>
          <w:bCs w:val="0"/>
          <w:color w:val="auto"/>
          <w:sz w:val="19"/>
          <w:szCs w:val="19"/>
        </w:rPr>
      </w:pPr>
      <w:r>
        <w:rPr>
          <w:b w:val="0"/>
          <w:bCs w:val="0"/>
          <w:color w:val="auto"/>
          <w:sz w:val="19"/>
          <w:szCs w:val="19"/>
        </w:rPr>
        <w:t>Limitation of negative impact on the market, i.e. the aid is only provided in a minimum amount,</w:t>
      </w:r>
    </w:p>
    <w:p w:rsidR="00065632" w:rsidRPr="00537614" w:rsidRDefault="00065632" w:rsidP="00065632">
      <w:pPr>
        <w:pStyle w:val="CaptionIntroductionparagraph"/>
        <w:numPr>
          <w:ilvl w:val="0"/>
          <w:numId w:val="13"/>
        </w:numPr>
        <w:jc w:val="both"/>
        <w:rPr>
          <w:b w:val="0"/>
          <w:bCs w:val="0"/>
          <w:color w:val="auto"/>
          <w:sz w:val="19"/>
          <w:szCs w:val="19"/>
        </w:rPr>
      </w:pPr>
      <w:r>
        <w:rPr>
          <w:b w:val="0"/>
          <w:bCs w:val="0"/>
          <w:color w:val="auto"/>
          <w:sz w:val="19"/>
          <w:szCs w:val="19"/>
        </w:rPr>
        <w:t>Transparency of the aid provided,</w:t>
      </w:r>
    </w:p>
    <w:p w:rsidR="00065632" w:rsidRPr="00537614" w:rsidRDefault="00065632" w:rsidP="0077225E">
      <w:pPr>
        <w:pStyle w:val="Nadpis3"/>
      </w:pPr>
      <w:bookmarkStart w:id="207" w:name="_Toc418767167"/>
      <w:bookmarkStart w:id="208" w:name="_Toc426033677"/>
      <w:r>
        <w:t>Evaluation of the option of using the elements of preferential remuneration</w:t>
      </w:r>
      <w:bookmarkEnd w:id="207"/>
      <w:bookmarkEnd w:id="208"/>
    </w:p>
    <w:p w:rsidR="00065632" w:rsidRPr="00537614" w:rsidRDefault="00065632" w:rsidP="0077225E">
      <w:pPr>
        <w:pStyle w:val="CaptionIntroductionparagraph"/>
        <w:jc w:val="both"/>
        <w:rPr>
          <w:b w:val="0"/>
          <w:bCs w:val="0"/>
          <w:color w:val="auto"/>
          <w:sz w:val="19"/>
          <w:szCs w:val="19"/>
        </w:rPr>
      </w:pPr>
      <w:r>
        <w:rPr>
          <w:b w:val="0"/>
          <w:bCs w:val="0"/>
          <w:color w:val="auto"/>
          <w:sz w:val="19"/>
          <w:szCs w:val="19"/>
        </w:rPr>
        <w:t>To ensure compatibility with the state aid guidelines at the level of co-financing entities, it is in particular necessary to set up appropriately the system of preferential remuneration. The Contractor has so far proposed the use of the following two forms of preferential remuneration for the instrument in the IROP 2014-2020:</w:t>
      </w:r>
    </w:p>
    <w:p w:rsidR="00065632" w:rsidRPr="00537614" w:rsidRDefault="00065632" w:rsidP="00065632">
      <w:pPr>
        <w:pStyle w:val="CaptionIntroductionparagraph"/>
        <w:numPr>
          <w:ilvl w:val="0"/>
          <w:numId w:val="24"/>
        </w:numPr>
        <w:jc w:val="both"/>
        <w:rPr>
          <w:b w:val="0"/>
          <w:bCs w:val="0"/>
          <w:color w:val="auto"/>
          <w:sz w:val="19"/>
          <w:szCs w:val="19"/>
        </w:rPr>
      </w:pPr>
      <w:r>
        <w:rPr>
          <w:color w:val="auto"/>
          <w:sz w:val="19"/>
          <w:szCs w:val="19"/>
        </w:rPr>
        <w:t xml:space="preserve">Asymmetric distribution of losses </w:t>
      </w:r>
      <w:r>
        <w:rPr>
          <w:b w:val="0"/>
          <w:bCs w:val="0"/>
          <w:color w:val="auto"/>
          <w:sz w:val="19"/>
          <w:szCs w:val="19"/>
        </w:rPr>
        <w:t xml:space="preserve"> (use of the </w:t>
      </w:r>
      <w:r>
        <w:rPr>
          <w:b w:val="0"/>
          <w:bCs w:val="0"/>
          <w:i/>
          <w:iCs/>
          <w:color w:val="auto"/>
          <w:sz w:val="19"/>
          <w:szCs w:val="19"/>
        </w:rPr>
        <w:t>first piece loss</w:t>
      </w:r>
      <w:r>
        <w:rPr>
          <w:b w:val="0"/>
          <w:bCs w:val="0"/>
          <w:color w:val="auto"/>
          <w:sz w:val="19"/>
          <w:szCs w:val="19"/>
        </w:rPr>
        <w:t xml:space="preserve"> instrument);</w:t>
      </w:r>
    </w:p>
    <w:p w:rsidR="00065632" w:rsidRPr="00537614" w:rsidRDefault="00065632" w:rsidP="00065632">
      <w:pPr>
        <w:pStyle w:val="CaptionIntroductionparagraph"/>
        <w:numPr>
          <w:ilvl w:val="0"/>
          <w:numId w:val="24"/>
        </w:numPr>
        <w:jc w:val="both"/>
        <w:rPr>
          <w:b w:val="0"/>
          <w:bCs w:val="0"/>
          <w:color w:val="auto"/>
          <w:sz w:val="19"/>
          <w:szCs w:val="19"/>
        </w:rPr>
      </w:pPr>
      <w:r>
        <w:rPr>
          <w:color w:val="auto"/>
          <w:sz w:val="19"/>
          <w:szCs w:val="19"/>
        </w:rPr>
        <w:t>Asymmetric sharing of profits</w:t>
      </w:r>
      <w:r>
        <w:rPr>
          <w:b w:val="0"/>
          <w:bCs w:val="0"/>
          <w:color w:val="auto"/>
          <w:sz w:val="19"/>
          <w:szCs w:val="19"/>
        </w:rPr>
        <w:t xml:space="preserve"> (reduction of interest rate to the final beneficiary by accepting lower payment of interest on the loan granted than it is awarded to the involved co-financing entity).</w:t>
      </w:r>
    </w:p>
    <w:p w:rsidR="00065632" w:rsidRPr="00537614" w:rsidRDefault="00065632" w:rsidP="0077225E">
      <w:r>
        <w:t>The state aid guidelines make the proposed forms of preferential remuneration generally possible. To ensure the consistency of the proposed schemes of preferential remuneration it is advisable to make use of the GBER options. The Contractor assessed the proposed variants with the currently applicable state aid guidelines. From the above it follows that preferential remuneration can be set up if the guidelines specified below are complied with.</w:t>
      </w:r>
    </w:p>
    <w:p w:rsidR="00065632" w:rsidRPr="00537614" w:rsidRDefault="00065632" w:rsidP="0077225E">
      <w:pPr>
        <w:pStyle w:val="CaptionIntroductionparagraph"/>
      </w:pPr>
      <w:r>
        <w:t>Asymmetric distribution of losses</w:t>
      </w:r>
    </w:p>
    <w:p w:rsidR="00065632" w:rsidRPr="00537614" w:rsidRDefault="00065632" w:rsidP="00065632">
      <w:pPr>
        <w:pStyle w:val="Odstavecseseznamem"/>
        <w:numPr>
          <w:ilvl w:val="0"/>
          <w:numId w:val="15"/>
        </w:numPr>
        <w:ind w:left="567"/>
        <w:rPr>
          <w:b/>
          <w:bCs/>
        </w:rPr>
      </w:pPr>
      <w:r>
        <w:rPr>
          <w:b/>
          <w:bCs/>
        </w:rPr>
        <w:t>Asymmetric distribution of losses is generally possible.</w:t>
      </w:r>
    </w:p>
    <w:p w:rsidR="00065632" w:rsidRPr="00537614" w:rsidRDefault="00065632" w:rsidP="00065632">
      <w:pPr>
        <w:pStyle w:val="Odstavecseseznamem"/>
        <w:numPr>
          <w:ilvl w:val="0"/>
          <w:numId w:val="15"/>
        </w:numPr>
        <w:ind w:left="567"/>
      </w:pPr>
      <w:r>
        <w:t xml:space="preserve">Preferential remuneration can only be used in the case that a justified need to ensure in this way the involvement of private resources is identified. The Contractor states that </w:t>
      </w:r>
      <w:r>
        <w:rPr>
          <w:b/>
          <w:bCs/>
        </w:rPr>
        <w:t>this need was identified and justified in the context of the market failure analysis (focus of Block A of the Project)</w:t>
      </w:r>
      <w:r>
        <w:t>.</w:t>
      </w:r>
    </w:p>
    <w:p w:rsidR="00065632" w:rsidRPr="00537614" w:rsidRDefault="00065632" w:rsidP="00065632">
      <w:pPr>
        <w:pStyle w:val="Odstavecseseznamem"/>
        <w:numPr>
          <w:ilvl w:val="0"/>
          <w:numId w:val="15"/>
        </w:numPr>
        <w:ind w:left="567"/>
      </w:pPr>
      <w:r>
        <w:t xml:space="preserve">Preferential remuneration must not lead to overcompensation of the private investor; quantification of preferential remuneration in relation to the identified market failure is necessary. </w:t>
      </w:r>
      <w:r>
        <w:rPr>
          <w:b/>
          <w:bCs/>
        </w:rPr>
        <w:t xml:space="preserve">The Contractor </w:t>
      </w:r>
      <w:r>
        <w:rPr>
          <w:b/>
          <w:bCs/>
        </w:rPr>
        <w:lastRenderedPageBreak/>
        <w:t>assumes that this quantification was carried out in the context of the other parts of the ex-ante assessment (focus of Block A of the Project)</w:t>
      </w:r>
      <w:r>
        <w:t>.</w:t>
      </w:r>
    </w:p>
    <w:p w:rsidR="00065632" w:rsidRPr="00537614" w:rsidRDefault="00065632" w:rsidP="00065632">
      <w:pPr>
        <w:pStyle w:val="Odstavecseseznamem"/>
        <w:numPr>
          <w:ilvl w:val="0"/>
          <w:numId w:val="15"/>
        </w:numPr>
        <w:ind w:left="567"/>
        <w:rPr>
          <w:b/>
          <w:bCs/>
        </w:rPr>
      </w:pPr>
      <w:r>
        <w:t xml:space="preserve">Preferential remuneration should reflect the </w:t>
      </w:r>
      <w:r>
        <w:rPr>
          <w:i/>
          <w:iCs/>
        </w:rPr>
        <w:t>fair rate of return</w:t>
      </w:r>
      <w:r>
        <w:t xml:space="preserve"> as defined in the case law of the Court of Justice of the EU (an analysis can be done based on a competitive process or an independent expert’s report). According to the GBER, the fair rate of return means the expected profitability corresponding to the discount rate adjusted by the effect of risk, which reflects the level of risk of the project and the nature and amount of equity that the private investors plan to invest. </w:t>
      </w:r>
      <w:r>
        <w:rPr>
          <w:b/>
          <w:bCs/>
        </w:rPr>
        <w:t>Quantification is necessary before setting up a preferential system of remuneration</w:t>
      </w:r>
      <w:r>
        <w:t>, the Contractor's proposal on a model example is part of the description of chapter 5.4.5.</w:t>
      </w:r>
    </w:p>
    <w:p w:rsidR="00065632" w:rsidRPr="00537614" w:rsidRDefault="00065632" w:rsidP="00463630">
      <w:r>
        <w:t>Moreover, rules directly listed in the proposed Article 39(8</w:t>
      </w:r>
      <w:proofErr w:type="gramStart"/>
      <w:r>
        <w:t>)(</w:t>
      </w:r>
      <w:proofErr w:type="gramEnd"/>
      <w:r>
        <w:t>a)–(c) of GBER must be observed. These rules include:</w:t>
      </w:r>
    </w:p>
    <w:p w:rsidR="00065632" w:rsidRPr="00537614" w:rsidRDefault="00065632" w:rsidP="00463630">
      <w:pPr>
        <w:pStyle w:val="Odstavecseseznamem"/>
        <w:ind w:left="567"/>
        <w:rPr>
          <w:i/>
          <w:iCs/>
        </w:rPr>
      </w:pPr>
    </w:p>
    <w:p w:rsidR="00065632" w:rsidRPr="00537614" w:rsidRDefault="00065632" w:rsidP="00463630">
      <w:pPr>
        <w:pStyle w:val="Odstavecseseznamem"/>
        <w:ind w:left="567"/>
        <w:rPr>
          <w:i/>
          <w:iCs/>
        </w:rPr>
      </w:pPr>
    </w:p>
    <w:p w:rsidR="00065632" w:rsidRPr="00537614" w:rsidRDefault="00065632" w:rsidP="00463630">
      <w:pPr>
        <w:pStyle w:val="Odstavecseseznamem"/>
        <w:ind w:left="567"/>
        <w:rPr>
          <w:i/>
          <w:iCs/>
        </w:rPr>
      </w:pPr>
      <w:r>
        <w:rPr>
          <w:i/>
          <w:iCs/>
        </w:rPr>
        <w:t>(a) Financial intermediary managers, as well as energy efficiency fund managers shall be selected through an open, transparent and non-discriminatory call in accordance with applicable Union and national laws. In particular, there shall be no discrimination on the basis of their place of establishment or incorporation in any Member State. Financial intermediaries and energy efficiency fund managers may be required to fulfil predefined criteria objectively justified by the nature of the investments;</w:t>
      </w:r>
    </w:p>
    <w:p w:rsidR="00065632" w:rsidRPr="00537614" w:rsidRDefault="00065632" w:rsidP="00463630">
      <w:pPr>
        <w:pStyle w:val="Odstavecseseznamem"/>
        <w:ind w:left="567"/>
        <w:rPr>
          <w:i/>
          <w:iCs/>
        </w:rPr>
      </w:pPr>
    </w:p>
    <w:p w:rsidR="00065632" w:rsidRPr="00537614" w:rsidRDefault="00065632" w:rsidP="00463630">
      <w:pPr>
        <w:pStyle w:val="Odstavecseseznamem"/>
        <w:ind w:left="567"/>
        <w:rPr>
          <w:i/>
          <w:iCs/>
        </w:rPr>
      </w:pPr>
      <w:r>
        <w:rPr>
          <w:i/>
          <w:iCs/>
        </w:rPr>
        <w:t>(b) The independent private investors shall be selected through an open, transparent and non-discriminatory call in accordance with applicable Union and national laws aimed at establishing the appropriate risk-reward sharing arrangements whereby, for investments other than guarantees, asymmetric profit-sharing shall be given preference over downside protection. If the private investors are not selected by such a call, the fair rate of return to the private investors shall be established by an independent expert selected via an open, transparent and non-discriminatory call;</w:t>
      </w:r>
    </w:p>
    <w:p w:rsidR="00065632" w:rsidRPr="00537614" w:rsidRDefault="00065632" w:rsidP="00463630">
      <w:pPr>
        <w:pStyle w:val="Odstavecseseznamem"/>
        <w:ind w:left="567"/>
        <w:rPr>
          <w:i/>
          <w:iCs/>
        </w:rPr>
      </w:pPr>
    </w:p>
    <w:p w:rsidR="00065632" w:rsidRPr="00537614" w:rsidRDefault="00065632" w:rsidP="00463630">
      <w:pPr>
        <w:pStyle w:val="Odstavecseseznamem"/>
        <w:ind w:left="567"/>
        <w:rPr>
          <w:i/>
          <w:iCs/>
        </w:rPr>
      </w:pPr>
      <w:r>
        <w:rPr>
          <w:i/>
          <w:iCs/>
        </w:rPr>
        <w:t xml:space="preserve">(c) In the case of asymmetric loss-sharing between public and private investors, the first loss assumed by the public investor shall be capped at 25% of the total investment; </w:t>
      </w:r>
    </w:p>
    <w:p w:rsidR="00065632" w:rsidRPr="00537614" w:rsidRDefault="00065632" w:rsidP="00463630">
      <w:pPr>
        <w:pStyle w:val="Odstavecseseznamem"/>
        <w:ind w:left="567"/>
        <w:rPr>
          <w:i/>
          <w:iCs/>
        </w:rPr>
      </w:pPr>
    </w:p>
    <w:p w:rsidR="00065632" w:rsidRPr="00537614" w:rsidRDefault="00065632" w:rsidP="00463630">
      <w:pPr>
        <w:pStyle w:val="Odstavecseseznamem"/>
        <w:ind w:left="567"/>
      </w:pPr>
      <w:r>
        <w:rPr>
          <w:b/>
          <w:bCs/>
        </w:rPr>
        <w:t>The following restrictions must be enshrined</w:t>
      </w:r>
      <w:r>
        <w:t xml:space="preserve"> – the Contractor proposes a portfolio risk sharing rate at 10% of each of involved co-financing entities.</w:t>
      </w:r>
    </w:p>
    <w:p w:rsidR="00065632" w:rsidRPr="00537614" w:rsidRDefault="00065632" w:rsidP="0077225E">
      <w:pPr>
        <w:pStyle w:val="CaptionIntroductionparagraph"/>
      </w:pPr>
      <w:r>
        <w:t>Asymmetric profit sharing</w:t>
      </w:r>
    </w:p>
    <w:p w:rsidR="00065632" w:rsidRPr="00537614" w:rsidRDefault="00065632" w:rsidP="00065632">
      <w:pPr>
        <w:pStyle w:val="Odstavecseseznamem"/>
        <w:numPr>
          <w:ilvl w:val="0"/>
          <w:numId w:val="15"/>
        </w:numPr>
        <w:ind w:left="567"/>
        <w:rPr>
          <w:b/>
          <w:bCs/>
        </w:rPr>
      </w:pPr>
      <w:r>
        <w:rPr>
          <w:b/>
          <w:bCs/>
        </w:rPr>
        <w:t>Asymmetric profit sharing is generally possible.</w:t>
      </w:r>
    </w:p>
    <w:p w:rsidR="00065632" w:rsidRPr="00537614" w:rsidRDefault="00065632" w:rsidP="00065632">
      <w:pPr>
        <w:pStyle w:val="Odstavecseseznamem"/>
        <w:numPr>
          <w:ilvl w:val="0"/>
          <w:numId w:val="15"/>
        </w:numPr>
        <w:ind w:left="567"/>
      </w:pPr>
      <w:r>
        <w:t xml:space="preserve">Preferential remuneration can only be used in the case that a justified need to ensure in this way the involvement of private resources is identified. </w:t>
      </w:r>
      <w:r>
        <w:rPr>
          <w:b/>
          <w:bCs/>
        </w:rPr>
        <w:t>The Contractor states that this need was identified and justified in the context of the market failure analysis (focus of Block A of the Project).</w:t>
      </w:r>
    </w:p>
    <w:p w:rsidR="00065632" w:rsidRPr="00537614" w:rsidRDefault="00065632" w:rsidP="00065632">
      <w:pPr>
        <w:pStyle w:val="Odstavecseseznamem"/>
        <w:numPr>
          <w:ilvl w:val="0"/>
          <w:numId w:val="15"/>
        </w:numPr>
        <w:ind w:left="567"/>
      </w:pPr>
      <w:r>
        <w:t xml:space="preserve">Preferential remuneration must not lead to overcompensation of the private investor; quantification of preferential remuneration in relation to the identified market failure is necessary. </w:t>
      </w:r>
      <w:r>
        <w:rPr>
          <w:b/>
          <w:bCs/>
        </w:rPr>
        <w:t>The Contractor assumes that this quantification was carried out in the context of the other parts of the ex-ante assessment (focus of Block A of the Project)</w:t>
      </w:r>
      <w:r>
        <w:t>.</w:t>
      </w:r>
    </w:p>
    <w:p w:rsidR="00065632" w:rsidRPr="00537614" w:rsidRDefault="00065632" w:rsidP="00065632">
      <w:pPr>
        <w:pStyle w:val="Odstavecseseznamem"/>
        <w:numPr>
          <w:ilvl w:val="0"/>
          <w:numId w:val="15"/>
        </w:numPr>
        <w:ind w:left="567"/>
        <w:rPr>
          <w:b/>
          <w:bCs/>
        </w:rPr>
      </w:pPr>
      <w:r>
        <w:t xml:space="preserve">Preferential remuneration should reflect the </w:t>
      </w:r>
      <w:r>
        <w:rPr>
          <w:i/>
          <w:iCs/>
        </w:rPr>
        <w:t>fair rate of return</w:t>
      </w:r>
      <w:r>
        <w:t xml:space="preserve"> as defined in the case law of the Court of Justice of the EU (an analysis can be done based on a competitive process or an independent expert’s report). According to the GBER, the fair rate of return means the expected profitability corresponding to the discount rate adjusted by the effect of risk, which reflects the level of risk of the project and the nature and amount of equity that the private investors plan to invest. </w:t>
      </w:r>
      <w:r>
        <w:rPr>
          <w:b/>
          <w:bCs/>
        </w:rPr>
        <w:t>Quantification is necessary before setting up a preferential system of remuneration</w:t>
      </w:r>
      <w:r>
        <w:t>, the Contractor's assessment on a model example is part of the description of chapter 5.4.5.</w:t>
      </w:r>
    </w:p>
    <w:p w:rsidR="00065632" w:rsidRPr="00537614" w:rsidRDefault="00065632" w:rsidP="00065632">
      <w:pPr>
        <w:pStyle w:val="Odstavecseseznamem"/>
        <w:numPr>
          <w:ilvl w:val="0"/>
          <w:numId w:val="15"/>
        </w:numPr>
        <w:ind w:left="567" w:hanging="283"/>
      </w:pPr>
      <w:r>
        <w:t>Also in the case of asymmetric sharing of profits, rules directly stated in the proposed Art. 39(8</w:t>
      </w:r>
      <w:proofErr w:type="gramStart"/>
      <w:r>
        <w:t>)(</w:t>
      </w:r>
      <w:proofErr w:type="gramEnd"/>
      <w:r>
        <w:t xml:space="preserve">a)–(c) of GBER, cited above, must be observed in addition to general principles. </w:t>
      </w:r>
    </w:p>
    <w:p w:rsidR="00065632" w:rsidRPr="00537614" w:rsidRDefault="00065632" w:rsidP="002A0A5F">
      <w:pPr>
        <w:pStyle w:val="Nadpis3"/>
        <w:rPr>
          <w:b w:val="0"/>
          <w:bCs w:val="0"/>
          <w:color w:val="auto"/>
          <w:kern w:val="0"/>
          <w:sz w:val="19"/>
          <w:szCs w:val="19"/>
        </w:rPr>
      </w:pPr>
      <w:bookmarkStart w:id="209" w:name="_Toc418767168"/>
      <w:bookmarkStart w:id="210" w:name="_Toc426033678"/>
      <w:r>
        <w:lastRenderedPageBreak/>
        <w:t>The rules for the payment of the remuneration to the fund manager</w:t>
      </w:r>
      <w:bookmarkEnd w:id="209"/>
      <w:bookmarkEnd w:id="210"/>
    </w:p>
    <w:p w:rsidR="00065632" w:rsidRPr="00537614" w:rsidRDefault="00065632" w:rsidP="0077225E">
      <w:pPr>
        <w:pStyle w:val="Odstavecseseznamem"/>
        <w:tabs>
          <w:tab w:val="left" w:pos="0"/>
        </w:tabs>
        <w:autoSpaceDE w:val="0"/>
        <w:autoSpaceDN w:val="0"/>
        <w:adjustRightInd w:val="0"/>
        <w:ind w:left="0"/>
      </w:pPr>
      <w:r>
        <w:t>In terms of the state aid, it is necessary that the remuneration granted would reflect the market remuneration in a comparable situation. This condition is fulfilled in the following cases:</w:t>
      </w:r>
    </w:p>
    <w:p w:rsidR="00065632" w:rsidRPr="00537614" w:rsidRDefault="00065632" w:rsidP="0077225E">
      <w:pPr>
        <w:pStyle w:val="Odstavecseseznamem"/>
        <w:autoSpaceDE w:val="0"/>
        <w:autoSpaceDN w:val="0"/>
        <w:adjustRightInd w:val="0"/>
      </w:pPr>
    </w:p>
    <w:p w:rsidR="00065632" w:rsidRPr="00537614" w:rsidRDefault="00065632" w:rsidP="00065632">
      <w:pPr>
        <w:pStyle w:val="Odstavecseseznamem"/>
        <w:numPr>
          <w:ilvl w:val="0"/>
          <w:numId w:val="25"/>
        </w:numPr>
        <w:autoSpaceDE w:val="0"/>
        <w:autoSpaceDN w:val="0"/>
        <w:adjustRightInd w:val="0"/>
      </w:pPr>
      <w:r>
        <w:t>The fund manager was selected through an open, transparent, non-discriminatory and objective tender procedure,</w:t>
      </w:r>
    </w:p>
    <w:p w:rsidR="00065632" w:rsidRPr="00537614" w:rsidRDefault="00065632" w:rsidP="0077225E">
      <w:pPr>
        <w:pStyle w:val="Odstavecseseznamem"/>
        <w:autoSpaceDE w:val="0"/>
        <w:autoSpaceDN w:val="0"/>
        <w:adjustRightInd w:val="0"/>
        <w:ind w:left="426"/>
      </w:pPr>
      <w:proofErr w:type="gramStart"/>
      <w:r>
        <w:t>or</w:t>
      </w:r>
      <w:proofErr w:type="gramEnd"/>
    </w:p>
    <w:p w:rsidR="00065632" w:rsidRPr="00537614" w:rsidRDefault="00065632" w:rsidP="00065632">
      <w:pPr>
        <w:pStyle w:val="Odstavecseseznamem"/>
        <w:numPr>
          <w:ilvl w:val="0"/>
          <w:numId w:val="25"/>
        </w:numPr>
        <w:autoSpaceDE w:val="0"/>
        <w:autoSpaceDN w:val="0"/>
        <w:adjustRightInd w:val="0"/>
      </w:pPr>
      <w:r>
        <w:t>The remuneration complies with Articles 12 and 13 of Commission Delegated Regulation No 480/2014</w:t>
      </w:r>
    </w:p>
    <w:p w:rsidR="00065632" w:rsidRPr="00537614" w:rsidRDefault="00065632" w:rsidP="0077225E">
      <w:r>
        <w:t>In calculating the remunerations (“management fees”) to the fund manager, the costs relating to the management or payment of the fees for the management of the financial instrument represent eligible expenditure (Article 42(1</w:t>
      </w:r>
      <w:proofErr w:type="gramStart"/>
      <w:r>
        <w:t>)(</w:t>
      </w:r>
      <w:proofErr w:type="gramEnd"/>
      <w:r>
        <w:t>d)) of the Common Provisions Regulation). The management costs and fees may be charged by the entities implementing the financial instruments, i.e. also by financial intermediaries in the case of the proposed financial instruments (Article 42(5) of the Common Provisions Regulation).</w:t>
      </w:r>
    </w:p>
    <w:p w:rsidR="00065632" w:rsidRPr="00537614" w:rsidRDefault="00065632" w:rsidP="0077225E">
      <w:r>
        <w:t xml:space="preserve">The costs and fees may not </w:t>
      </w:r>
      <w:r>
        <w:rPr>
          <w:color w:val="000000"/>
        </w:rPr>
        <w:t>exceed the thresholds set out in Article 13</w:t>
      </w:r>
      <w:r>
        <w:t xml:space="preserve"> of Commission Delegated Regulation No 480/2014:</w:t>
      </w:r>
    </w:p>
    <w:p w:rsidR="00065632" w:rsidRPr="00537614" w:rsidRDefault="00065632" w:rsidP="00065632">
      <w:pPr>
        <w:pStyle w:val="Odstavecseseznamem"/>
        <w:numPr>
          <w:ilvl w:val="0"/>
          <w:numId w:val="26"/>
        </w:numPr>
      </w:pPr>
      <w:r>
        <w:t>The thresholds for the base remuneration and the performance-based remuneration for all three proposed financial instruments are determined in Article 13(2) of Commission Delegated Regulation No 480/2014</w:t>
      </w:r>
    </w:p>
    <w:p w:rsidR="00065632" w:rsidRPr="00537614" w:rsidRDefault="00065632" w:rsidP="00065632">
      <w:pPr>
        <w:pStyle w:val="Odstavecseseznamem"/>
        <w:numPr>
          <w:ilvl w:val="0"/>
          <w:numId w:val="26"/>
        </w:numPr>
      </w:pPr>
      <w:r>
        <w:t>The thresholds for the aggregate amount of the costs and fees related to the management during the eligibility period are determined in Article 13(2) of Commission Delegated Regulation No 480/2014. The relevant thresholds are as follows:</w:t>
      </w:r>
    </w:p>
    <w:p w:rsidR="00065632" w:rsidRPr="00537614" w:rsidRDefault="00065632" w:rsidP="0077225E">
      <w:pPr>
        <w:pStyle w:val="Odstavecseseznamem"/>
        <w:ind w:left="1080"/>
      </w:pPr>
    </w:p>
    <w:p w:rsidR="00065632" w:rsidRPr="00537614" w:rsidRDefault="00065632" w:rsidP="00065632">
      <w:pPr>
        <w:pStyle w:val="Odstavecseseznamem"/>
        <w:numPr>
          <w:ilvl w:val="0"/>
          <w:numId w:val="18"/>
        </w:numPr>
        <w:ind w:left="1080"/>
      </w:pPr>
      <w:r>
        <w:t>for a financial instrument providing equity, 20% of the total amount of programme contributions paid to the financial instrument;</w:t>
      </w:r>
    </w:p>
    <w:p w:rsidR="00065632" w:rsidRPr="00537614" w:rsidRDefault="00065632" w:rsidP="00065632">
      <w:pPr>
        <w:pStyle w:val="Odstavecseseznamem"/>
        <w:numPr>
          <w:ilvl w:val="0"/>
          <w:numId w:val="18"/>
        </w:numPr>
        <w:ind w:left="1080"/>
      </w:pPr>
      <w:r>
        <w:t>for a financial instrument providing loans, 8 % of the total amount of programme contributions paid to the financial instrument;</w:t>
      </w:r>
    </w:p>
    <w:p w:rsidR="00065632" w:rsidRPr="00537614" w:rsidRDefault="00065632" w:rsidP="00065632">
      <w:pPr>
        <w:pStyle w:val="Odstavecseseznamem"/>
        <w:numPr>
          <w:ilvl w:val="0"/>
          <w:numId w:val="18"/>
        </w:numPr>
        <w:ind w:left="1080"/>
      </w:pPr>
      <w:proofErr w:type="gramStart"/>
      <w:r>
        <w:t>for</w:t>
      </w:r>
      <w:proofErr w:type="gramEnd"/>
      <w:r>
        <w:t xml:space="preserve"> a financial instrument providing grants, interest rate subsidies or guarantee fee subsidies in accordance with Article 37(7) of Regulation (EU) No 1303/2013, 6% of the total amount of programme contributions paid to the financial instrument.</w:t>
      </w:r>
    </w:p>
    <w:p w:rsidR="00065632" w:rsidRPr="00537614" w:rsidRDefault="00065632" w:rsidP="0077225E">
      <w:pPr>
        <w:pStyle w:val="Odstavecseseznamem"/>
        <w:ind w:left="360"/>
      </w:pPr>
    </w:p>
    <w:p w:rsidR="00065632" w:rsidRPr="00537614" w:rsidRDefault="00065632" w:rsidP="00065632">
      <w:pPr>
        <w:pStyle w:val="Odstavecseseznamem"/>
        <w:numPr>
          <w:ilvl w:val="0"/>
          <w:numId w:val="26"/>
        </w:numPr>
      </w:pPr>
      <w:r>
        <w:t>Where the same entity implements a fund of funds and a financial instrument, neither the amounts of eligible management cost and fees, nor the limits may be cumulated for the same programme contributions or the same resources re-invested which are attributable to programme contributions.</w:t>
      </w:r>
    </w:p>
    <w:p w:rsidR="00065632" w:rsidRPr="00537614" w:rsidRDefault="00065632" w:rsidP="0077225E">
      <w:pPr>
        <w:ind w:left="360"/>
      </w:pPr>
      <w:r>
        <w:rPr>
          <w:color w:val="000000"/>
        </w:rPr>
        <w:t>The management costs and fees must be grounded on the calculation methodology based on performance pursuant to Article 12</w:t>
      </w:r>
      <w:r>
        <w:t xml:space="preserve"> of Commission Delegated Regulation No 480/2014:</w:t>
      </w:r>
    </w:p>
    <w:p w:rsidR="00065632" w:rsidRPr="00537614" w:rsidRDefault="00065632" w:rsidP="00065632">
      <w:pPr>
        <w:pStyle w:val="Odstavecseseznamem"/>
        <w:numPr>
          <w:ilvl w:val="0"/>
          <w:numId w:val="16"/>
        </w:numPr>
      </w:pPr>
      <w:r>
        <w:t>The performance criteria are as follows:</w:t>
      </w:r>
    </w:p>
    <w:p w:rsidR="00065632" w:rsidRPr="00537614" w:rsidRDefault="00065632" w:rsidP="0077225E">
      <w:pPr>
        <w:pStyle w:val="Odstavecseseznamem"/>
        <w:ind w:left="1440"/>
      </w:pPr>
    </w:p>
    <w:p w:rsidR="00065632" w:rsidRPr="00537614" w:rsidRDefault="00065632" w:rsidP="00065632">
      <w:pPr>
        <w:pStyle w:val="Odstavecseseznamem"/>
        <w:numPr>
          <w:ilvl w:val="0"/>
          <w:numId w:val="17"/>
        </w:numPr>
        <w:ind w:left="1080"/>
      </w:pPr>
      <w:r>
        <w:t xml:space="preserve">the disbursement of contributions provided by the ESI Funds programme; </w:t>
      </w:r>
    </w:p>
    <w:p w:rsidR="00065632" w:rsidRPr="00537614" w:rsidRDefault="00065632" w:rsidP="00065632">
      <w:pPr>
        <w:pStyle w:val="Odstavecseseznamem"/>
        <w:numPr>
          <w:ilvl w:val="0"/>
          <w:numId w:val="17"/>
        </w:numPr>
        <w:ind w:left="1080"/>
      </w:pPr>
      <w:r>
        <w:t>the resources paid back from investments or from the release of resources committed for guarantee contracts;</w:t>
      </w:r>
    </w:p>
    <w:p w:rsidR="00065632" w:rsidRPr="00537614" w:rsidRDefault="00065632" w:rsidP="00065632">
      <w:pPr>
        <w:pStyle w:val="Odstavecseseznamem"/>
        <w:numPr>
          <w:ilvl w:val="0"/>
          <w:numId w:val="17"/>
        </w:numPr>
        <w:ind w:left="1080"/>
      </w:pPr>
      <w:r>
        <w:t>the quality of measures accompanying the investment before and after the investment decision to maximise its impact;</w:t>
      </w:r>
    </w:p>
    <w:p w:rsidR="00065632" w:rsidRPr="00537614" w:rsidRDefault="00065632" w:rsidP="00065632">
      <w:pPr>
        <w:pStyle w:val="Odstavecseseznamem"/>
        <w:numPr>
          <w:ilvl w:val="0"/>
          <w:numId w:val="17"/>
        </w:numPr>
        <w:ind w:left="1080"/>
      </w:pPr>
      <w:proofErr w:type="gramStart"/>
      <w:r>
        <w:t>the</w:t>
      </w:r>
      <w:proofErr w:type="gramEnd"/>
      <w:r>
        <w:t xml:space="preserve"> contribution of the financial instrument to the objectives and outputs of the programme. </w:t>
      </w:r>
    </w:p>
    <w:p w:rsidR="00065632" w:rsidRPr="00537614" w:rsidRDefault="00065632" w:rsidP="0077225E">
      <w:pPr>
        <w:pStyle w:val="Odstavecseseznamem"/>
        <w:ind w:left="1440"/>
      </w:pPr>
    </w:p>
    <w:p w:rsidR="00065632" w:rsidRPr="00537614" w:rsidRDefault="00065632" w:rsidP="00065632">
      <w:pPr>
        <w:pStyle w:val="Odstavecseseznamem"/>
        <w:numPr>
          <w:ilvl w:val="0"/>
          <w:numId w:val="16"/>
        </w:numPr>
      </w:pPr>
      <w:r>
        <w:t xml:space="preserve">The managing authority shall inform the monitoring committee of the performance-based calculation of management costs incurred or of the management fees of the financial instrument. </w:t>
      </w:r>
      <w:r>
        <w:lastRenderedPageBreak/>
        <w:t>The monitoring committee shall receive annual reports on the management costs and fees effectively paid in the preceding calendar year.</w:t>
      </w:r>
    </w:p>
    <w:p w:rsidR="00065632" w:rsidRPr="00537614" w:rsidRDefault="00065632" w:rsidP="00065632">
      <w:pPr>
        <w:pStyle w:val="Odstavecseseznamem"/>
        <w:numPr>
          <w:ilvl w:val="0"/>
          <w:numId w:val="16"/>
        </w:numPr>
      </w:pPr>
      <w:r>
        <w:t>The thresholds may be exceeded where they are charged by a body implementing the financial instrument in accordance with the applicable rules and the competitive tender, which proved the need for higher management costs and fees.</w:t>
      </w:r>
    </w:p>
    <w:p w:rsidR="00065632" w:rsidRPr="00537614" w:rsidRDefault="00065632" w:rsidP="0077225E">
      <w:pPr>
        <w:pStyle w:val="CM4"/>
        <w:spacing w:before="60" w:after="60"/>
        <w:jc w:val="both"/>
        <w:rPr>
          <w:rFonts w:ascii="Arial" w:hAnsi="Arial" w:cs="Arial"/>
          <w:color w:val="000000"/>
          <w:sz w:val="19"/>
          <w:szCs w:val="19"/>
        </w:rPr>
      </w:pPr>
      <w:r>
        <w:rPr>
          <w:rFonts w:ascii="Arial" w:hAnsi="Arial" w:cs="Arial"/>
          <w:color w:val="000000"/>
          <w:sz w:val="19"/>
          <w:szCs w:val="19"/>
        </w:rPr>
        <w:t>Management costs and fees may comprise arrangement fees. If the fees for intermediation or any part thereof are charged to final beneficiaries, they must not be reported as eligible expenditure. Management costs and fees, including those incurred for preparatory work in relation to the financial instrument before the signature of the relevant funding agreement, shall be eligible as from the date of signature of the relevant funding agreement.</w:t>
      </w:r>
    </w:p>
    <w:p w:rsidR="00065632" w:rsidRPr="00537614" w:rsidRDefault="00065632" w:rsidP="000043EF">
      <w:pPr>
        <w:rPr>
          <w:b/>
          <w:bCs/>
        </w:rPr>
      </w:pPr>
      <w:r>
        <w:rPr>
          <w:b/>
          <w:bCs/>
        </w:rPr>
        <w:t xml:space="preserve">The Contractor recommends that when preparing the selection of the manager of the financial instrument, the managing authority should pay increased attention to the issue of the setting of the management and other fees. The essential part of the remuneration should be linked to the manager’s performance (secure drawing amount), rather than the absolute amount of the managed allocation of the fund, i.e. without a link to the results of drawing. </w:t>
      </w:r>
    </w:p>
    <w:p w:rsidR="00065632" w:rsidRPr="00537614" w:rsidRDefault="00065632" w:rsidP="0077225E">
      <w:pPr>
        <w:pStyle w:val="Nadpis3"/>
      </w:pPr>
      <w:bookmarkStart w:id="211" w:name="_Toc418767169"/>
      <w:bookmarkStart w:id="212" w:name="_Toc426033679"/>
      <w:r>
        <w:t>Rules for the combination of financial instruments with other forms of aid</w:t>
      </w:r>
      <w:bookmarkEnd w:id="211"/>
      <w:bookmarkEnd w:id="212"/>
    </w:p>
    <w:p w:rsidR="00065632" w:rsidRPr="00537614" w:rsidRDefault="00065632" w:rsidP="0077225E">
      <w:r>
        <w:t xml:space="preserve">One of the alternatives proposed in this analysis is the use of a combination of a financial instrument with other forms of aid, particularly subsidies. Financial instruments may be combined with grants on the basis of Article 37(7) of the Common Provisions Regulation. Pursuant to Article 38 of the Preamble to the Common Provisions Regulation, it is justified to combine the resources from financial instruments with grant aid particularly in cases where certain parts of an investment </w:t>
      </w:r>
      <w:r>
        <w:rPr>
          <w:color w:val="000000"/>
        </w:rPr>
        <w:t xml:space="preserve">do not generate direct financial returns, in order to ensure economic sustainability of the projects. </w:t>
      </w:r>
    </w:p>
    <w:p w:rsidR="00065632" w:rsidRPr="00537614" w:rsidRDefault="00065632" w:rsidP="0077225E">
      <w:pPr>
        <w:rPr>
          <w:color w:val="000000"/>
        </w:rPr>
      </w:pPr>
      <w:r>
        <w:rPr>
          <w:color w:val="000000"/>
        </w:rPr>
        <w:t>In terms of the rules of state aid, the main limits of a combination of financial instruments with subsidies are the following:</w:t>
      </w:r>
    </w:p>
    <w:p w:rsidR="00065632" w:rsidRPr="00537614" w:rsidRDefault="00065632" w:rsidP="00065632">
      <w:pPr>
        <w:pStyle w:val="Odstavecseseznamem"/>
        <w:numPr>
          <w:ilvl w:val="0"/>
          <w:numId w:val="10"/>
        </w:numPr>
        <w:ind w:left="714" w:hanging="357"/>
        <w:rPr>
          <w:color w:val="000000"/>
        </w:rPr>
      </w:pPr>
      <w:r>
        <w:rPr>
          <w:color w:val="000000"/>
        </w:rPr>
        <w:t>The link of the combination of financial instruments with subsidies to market failure, i.e. to an identified market gap and its sufficient size in quantified terms;</w:t>
      </w:r>
    </w:p>
    <w:p w:rsidR="00065632" w:rsidRPr="00537614" w:rsidRDefault="00065632" w:rsidP="00065632">
      <w:pPr>
        <w:pStyle w:val="Odstavecseseznamem"/>
        <w:numPr>
          <w:ilvl w:val="0"/>
          <w:numId w:val="10"/>
        </w:numPr>
        <w:ind w:left="714" w:hanging="357"/>
        <w:rPr>
          <w:color w:val="000000"/>
        </w:rPr>
      </w:pPr>
      <w:r>
        <w:rPr>
          <w:color w:val="000000"/>
        </w:rPr>
        <w:t>Introduction of a system preventing double financing;</w:t>
      </w:r>
    </w:p>
    <w:p w:rsidR="00065632" w:rsidRPr="00537614" w:rsidRDefault="00065632" w:rsidP="00065632">
      <w:pPr>
        <w:pStyle w:val="Odstavecseseznamem"/>
        <w:numPr>
          <w:ilvl w:val="0"/>
          <w:numId w:val="10"/>
        </w:numPr>
        <w:ind w:left="714" w:hanging="357"/>
        <w:rPr>
          <w:color w:val="000000"/>
        </w:rPr>
      </w:pPr>
      <w:r>
        <w:rPr>
          <w:color w:val="000000"/>
        </w:rPr>
        <w:t>Compliance with the amount of aid allowed by the applicable rules for the granting of state aid;</w:t>
      </w:r>
    </w:p>
    <w:p w:rsidR="00065632" w:rsidRPr="00537614" w:rsidRDefault="00065632" w:rsidP="00065632">
      <w:pPr>
        <w:pStyle w:val="Odstavecseseznamem"/>
        <w:numPr>
          <w:ilvl w:val="0"/>
          <w:numId w:val="10"/>
        </w:numPr>
        <w:ind w:left="714" w:hanging="357"/>
        <w:rPr>
          <w:color w:val="000000"/>
        </w:rPr>
      </w:pPr>
      <w:r>
        <w:rPr>
          <w:color w:val="000000"/>
        </w:rPr>
        <w:t>Compliance with the express prohibition of certain combinations of financial instruments and grants.</w:t>
      </w:r>
    </w:p>
    <w:p w:rsidR="00065632" w:rsidRPr="00537614" w:rsidRDefault="00065632" w:rsidP="0077225E">
      <w:pPr>
        <w:rPr>
          <w:color w:val="000000"/>
        </w:rPr>
      </w:pPr>
      <w:r>
        <w:rPr>
          <w:b/>
          <w:bCs/>
          <w:color w:val="000000"/>
        </w:rPr>
        <w:t>The Contractor further describes the conclusions of its own analysis of the fulfilment of the above conditions of the combination of financial instrument and grant aid, pointing out, however, that it is necessary to verify these conclusions further by the managing authority with the representatives of DG REGIO and DG COMPET.</w:t>
      </w:r>
      <w:r>
        <w:rPr>
          <w:color w:val="000000"/>
        </w:rPr>
        <w:t xml:space="preserve"> The preliminary opinion</w:t>
      </w:r>
      <w:r>
        <w:t xml:space="preserve"> of the European Commission in response to the official query made by the Ministry of the Environment suggests that the procedure within a single operation is not feasible. Clarification should be provided by issue of a guidance note, which should be, according to unofficial information, completed and published at the turn of March/April 2015.</w:t>
      </w:r>
    </w:p>
    <w:p w:rsidR="00065632" w:rsidRPr="00537614" w:rsidRDefault="00065632" w:rsidP="0077225E">
      <w:pPr>
        <w:pStyle w:val="CaptionIntroductionparagraph"/>
      </w:pPr>
      <w:r>
        <w:t xml:space="preserve">Link of combination of financial instruments with subsidies </w:t>
      </w:r>
    </w:p>
    <w:p w:rsidR="00065632" w:rsidRPr="00537614" w:rsidRDefault="00065632" w:rsidP="0077225E">
      <w:pPr>
        <w:pStyle w:val="CaptionIntroductionparagraph"/>
        <w:jc w:val="both"/>
        <w:rPr>
          <w:b w:val="0"/>
          <w:bCs w:val="0"/>
          <w:color w:val="auto"/>
          <w:sz w:val="19"/>
          <w:szCs w:val="19"/>
        </w:rPr>
      </w:pPr>
      <w:r>
        <w:rPr>
          <w:b w:val="0"/>
          <w:bCs w:val="0"/>
          <w:color w:val="auto"/>
          <w:sz w:val="19"/>
          <w:szCs w:val="19"/>
        </w:rPr>
        <w:t>In terms of the assessment of the impact on state aid, it is crucial to link the combination of financial instruments with subsidies to an identified and quantified market gap. If this combination of funding is carried out from multiple sources, uniform rules must be set within each particular operation and separate accounting records must be kept for each form of aid individually. In addition, compliance with the applicable state aid guidelines must be adhered to (in particular the prohibition of double financing if the permitted amount of aid would be exceeded, and the compliance with the limits for co-financing) and the condition must be met that the total amount of all forms of aid shall not exceed the total amount of eligible expenditure. According to the ex-ante assessment methodology, it is appropriate that the combination of financial instrument and subsidy was based on one of the following principles:</w:t>
      </w:r>
    </w:p>
    <w:p w:rsidR="00065632" w:rsidRPr="00537614" w:rsidRDefault="00065632" w:rsidP="00065632">
      <w:pPr>
        <w:pStyle w:val="CaptionIntroductionparagraph"/>
        <w:numPr>
          <w:ilvl w:val="0"/>
          <w:numId w:val="11"/>
        </w:numPr>
        <w:ind w:left="714" w:hanging="357"/>
        <w:jc w:val="both"/>
        <w:rPr>
          <w:b w:val="0"/>
          <w:bCs w:val="0"/>
          <w:color w:val="auto"/>
          <w:sz w:val="19"/>
          <w:szCs w:val="19"/>
        </w:rPr>
      </w:pPr>
      <w:r>
        <w:rPr>
          <w:b w:val="0"/>
          <w:bCs w:val="0"/>
          <w:color w:val="auto"/>
          <w:sz w:val="19"/>
          <w:szCs w:val="19"/>
        </w:rPr>
        <w:t>Complexity of the grant form of aid.</w:t>
      </w:r>
    </w:p>
    <w:p w:rsidR="00065632" w:rsidRPr="00537614" w:rsidRDefault="00065632" w:rsidP="00065632">
      <w:pPr>
        <w:pStyle w:val="CaptionIntroductionparagraph"/>
        <w:numPr>
          <w:ilvl w:val="0"/>
          <w:numId w:val="11"/>
        </w:numPr>
        <w:ind w:left="714" w:hanging="357"/>
        <w:jc w:val="both"/>
        <w:rPr>
          <w:b w:val="0"/>
          <w:bCs w:val="0"/>
          <w:color w:val="auto"/>
          <w:sz w:val="19"/>
          <w:szCs w:val="19"/>
        </w:rPr>
      </w:pPr>
      <w:r>
        <w:rPr>
          <w:b w:val="0"/>
          <w:bCs w:val="0"/>
          <w:color w:val="auto"/>
          <w:sz w:val="19"/>
          <w:szCs w:val="19"/>
        </w:rPr>
        <w:t>Linking the grant block of the aid to the fulfilment of the performance parameters.</w:t>
      </w:r>
    </w:p>
    <w:p w:rsidR="00065632" w:rsidRPr="00537614" w:rsidRDefault="00065632" w:rsidP="00065632">
      <w:pPr>
        <w:pStyle w:val="CaptionIntroductionparagraph"/>
        <w:numPr>
          <w:ilvl w:val="0"/>
          <w:numId w:val="11"/>
        </w:numPr>
        <w:ind w:left="714" w:hanging="357"/>
        <w:jc w:val="both"/>
        <w:rPr>
          <w:b w:val="0"/>
          <w:bCs w:val="0"/>
          <w:color w:val="auto"/>
          <w:sz w:val="19"/>
          <w:szCs w:val="19"/>
        </w:rPr>
      </w:pPr>
      <w:r>
        <w:rPr>
          <w:b w:val="0"/>
          <w:bCs w:val="0"/>
          <w:color w:val="auto"/>
          <w:sz w:val="19"/>
          <w:szCs w:val="19"/>
        </w:rPr>
        <w:lastRenderedPageBreak/>
        <w:t>Subsidy aid associated with technical assistance in the project preparation.</w:t>
      </w:r>
    </w:p>
    <w:p w:rsidR="00065632" w:rsidRPr="00537614" w:rsidRDefault="00065632" w:rsidP="00065632">
      <w:pPr>
        <w:pStyle w:val="CaptionIntroductionparagraph"/>
        <w:numPr>
          <w:ilvl w:val="0"/>
          <w:numId w:val="11"/>
        </w:numPr>
        <w:ind w:left="714" w:hanging="357"/>
        <w:jc w:val="both"/>
        <w:rPr>
          <w:b w:val="0"/>
          <w:bCs w:val="0"/>
          <w:color w:val="auto"/>
          <w:sz w:val="19"/>
          <w:szCs w:val="19"/>
        </w:rPr>
      </w:pPr>
      <w:r>
        <w:rPr>
          <w:b w:val="0"/>
          <w:bCs w:val="0"/>
          <w:color w:val="auto"/>
          <w:sz w:val="19"/>
          <w:szCs w:val="19"/>
        </w:rPr>
        <w:t>Link to the economic viability of the project.</w:t>
      </w:r>
    </w:p>
    <w:p w:rsidR="00065632" w:rsidRPr="00537614" w:rsidRDefault="00065632" w:rsidP="0077225E">
      <w:r>
        <w:t>Combination of financial instruments and subsidies is possible but guidelines specified in the Commission's guidance note must be observed.  The Contractor considers two separate operations to be the best form of combination; a soft loan is provided for one part of the project and conventional subsidy aid is provided to the other part. Provided that the limits of the above provided aid of a selected regime are met after recalculation via the gross grant equivalent and provided that the generally applicable guidelines for the IFIs and subsidies are met, such product can be offered to potential applicants under IROP SO 2.5.</w:t>
      </w:r>
    </w:p>
    <w:p w:rsidR="00065632" w:rsidRPr="00537614" w:rsidRDefault="00065632" w:rsidP="0077225E">
      <w:r>
        <w:t>To motivate the end beneficiaries to properly fulfil the loan conditions, the Contractor recommends choosing a combination of a loan and a subsidy and awarding the subsidy only in the case that above-standard environmental benefits of a project are met – i.e. the subsidy component is available only to projects which most contribute to the fulfilment of the IROP SO 2.5 objectives, i.e. reducing energy consumption and achieving greater efficiency of its use.</w:t>
      </w:r>
    </w:p>
    <w:p w:rsidR="00065632" w:rsidRPr="00537614" w:rsidRDefault="00065632" w:rsidP="0077225E">
      <w:pPr>
        <w:pStyle w:val="CaptionIntroductionparagraph"/>
      </w:pPr>
      <w:r>
        <w:t>Introduction of a system preventing double financing</w:t>
      </w:r>
    </w:p>
    <w:p w:rsidR="00065632" w:rsidRPr="00537614" w:rsidRDefault="00065632" w:rsidP="0077225E">
      <w:pPr>
        <w:pStyle w:val="CaptionIntroductionparagraph"/>
        <w:jc w:val="both"/>
        <w:rPr>
          <w:b w:val="0"/>
          <w:bCs w:val="0"/>
          <w:color w:val="auto"/>
          <w:sz w:val="19"/>
          <w:szCs w:val="19"/>
        </w:rPr>
      </w:pPr>
      <w:r>
        <w:rPr>
          <w:b w:val="0"/>
          <w:bCs w:val="0"/>
          <w:color w:val="auto"/>
          <w:sz w:val="19"/>
          <w:szCs w:val="19"/>
        </w:rPr>
        <w:t>To ensure compliance with the state aid guidelines, the Contractor further recommends that specific rules preventing double financing should be set out in the implementation of a combination of financial instruments with subsidies.</w:t>
      </w:r>
      <w:r>
        <w:t xml:space="preserve"> </w:t>
      </w:r>
      <w:r>
        <w:rPr>
          <w:b w:val="0"/>
          <w:bCs w:val="0"/>
          <w:color w:val="auto"/>
          <w:sz w:val="19"/>
          <w:szCs w:val="19"/>
        </w:rPr>
        <w:t>The rule of separate purpose for items financed by the instrument and by a subsidy must be strictly adhered to, it is not possible to pre-finance the subsidy using the IFI and it is not possible to cover part of the financial instrument costs through the subsidy.</w:t>
      </w:r>
    </w:p>
    <w:p w:rsidR="00065632" w:rsidRPr="00537614" w:rsidRDefault="00065632" w:rsidP="0077225E">
      <w:pPr>
        <w:pStyle w:val="CaptionIntroductionparagraph"/>
      </w:pPr>
      <w:r>
        <w:t>Compliance with the amount of allowed aid</w:t>
      </w:r>
    </w:p>
    <w:p w:rsidR="00065632" w:rsidRPr="00537614" w:rsidRDefault="00065632" w:rsidP="0077225E">
      <w:pPr>
        <w:pStyle w:val="CaptionIntroductionparagraph"/>
        <w:jc w:val="both"/>
        <w:rPr>
          <w:b w:val="0"/>
          <w:bCs w:val="0"/>
          <w:color w:val="auto"/>
          <w:sz w:val="19"/>
          <w:szCs w:val="19"/>
        </w:rPr>
      </w:pPr>
      <w:r>
        <w:rPr>
          <w:b w:val="0"/>
          <w:bCs w:val="0"/>
          <w:color w:val="auto"/>
          <w:sz w:val="19"/>
          <w:szCs w:val="19"/>
        </w:rPr>
        <w:t xml:space="preserve">The aid provided through a combination of financial instruments and subsidies must respect the maximum amount of allowed aid. Specific limits of the provided aid will depend on the legal mode in which the aid will be provided (e.g. </w:t>
      </w:r>
      <w:r>
        <w:rPr>
          <w:b w:val="0"/>
          <w:bCs w:val="0"/>
          <w:i/>
          <w:iCs/>
          <w:color w:val="auto"/>
          <w:sz w:val="19"/>
          <w:szCs w:val="19"/>
        </w:rPr>
        <w:t>de minimis</w:t>
      </w:r>
      <w:r>
        <w:rPr>
          <w:b w:val="0"/>
          <w:bCs w:val="0"/>
          <w:color w:val="auto"/>
          <w:sz w:val="19"/>
          <w:szCs w:val="19"/>
        </w:rPr>
        <w:t>, block exemption mode).</w:t>
      </w:r>
    </w:p>
    <w:p w:rsidR="00065632" w:rsidRPr="00537614" w:rsidRDefault="00065632" w:rsidP="0077225E">
      <w:pPr>
        <w:pStyle w:val="CaptionIntroductionparagraph"/>
      </w:pPr>
      <w:r>
        <w:t>Restrictions as to combination of the financial instrument with subsidies</w:t>
      </w:r>
    </w:p>
    <w:p w:rsidR="00065632" w:rsidRPr="00693AAF" w:rsidRDefault="00065632" w:rsidP="00651608">
      <w:pPr>
        <w:pStyle w:val="CaptionIntroductionparagraph"/>
        <w:jc w:val="both"/>
        <w:rPr>
          <w:b w:val="0"/>
          <w:bCs w:val="0"/>
          <w:color w:val="000000"/>
          <w:sz w:val="19"/>
          <w:szCs w:val="19"/>
        </w:rPr>
      </w:pPr>
      <w:r>
        <w:rPr>
          <w:b w:val="0"/>
          <w:bCs w:val="0"/>
          <w:color w:val="auto"/>
          <w:sz w:val="19"/>
          <w:szCs w:val="19"/>
        </w:rPr>
        <w:t>Any combination of financial instruments with subsidies must respect Article 37(9) of the Common Provisions Regulation</w:t>
      </w:r>
      <w:r w:rsidRPr="00693AAF">
        <w:rPr>
          <w:b w:val="0"/>
          <w:bCs w:val="0"/>
          <w:color w:val="000000"/>
          <w:sz w:val="19"/>
          <w:szCs w:val="19"/>
        </w:rPr>
        <w:t>, under which it is not allowed to pre-finance subsidies from the financial instruments and reimburse aid received from financial instruments from the provided grants. Provided that this condition, which is also referred to above in chapter on preventing double financing, subsidies may be provided along with financial instruments. As regards available options, which are to be specified in the guidance note, the Contractor recommends:</w:t>
      </w:r>
    </w:p>
    <w:p w:rsidR="00065632" w:rsidRPr="00693AAF" w:rsidRDefault="00065632" w:rsidP="00065632">
      <w:pPr>
        <w:pStyle w:val="CaptionIntroductionparagraph"/>
        <w:numPr>
          <w:ilvl w:val="0"/>
          <w:numId w:val="64"/>
        </w:numPr>
        <w:jc w:val="both"/>
        <w:rPr>
          <w:b w:val="0"/>
          <w:bCs w:val="0"/>
          <w:color w:val="000000"/>
          <w:sz w:val="19"/>
          <w:szCs w:val="19"/>
        </w:rPr>
      </w:pPr>
      <w:r w:rsidRPr="00693AAF">
        <w:rPr>
          <w:b w:val="0"/>
          <w:bCs w:val="0"/>
          <w:color w:val="000000"/>
          <w:sz w:val="19"/>
          <w:szCs w:val="19"/>
        </w:rPr>
        <w:t>Using conventional subsidies for a part of the itemized budget up to the agreed amount of total aid, to cover parts of the investment with slower return (separate records are necessary, i.e. two operations). This aid is graded depending on the amount of achieved energy savings.</w:t>
      </w:r>
    </w:p>
    <w:p w:rsidR="00065632" w:rsidRPr="00693AAF" w:rsidRDefault="00065632" w:rsidP="00065632">
      <w:pPr>
        <w:pStyle w:val="CaptionIntroductionparagraph"/>
        <w:numPr>
          <w:ilvl w:val="0"/>
          <w:numId w:val="64"/>
        </w:numPr>
        <w:jc w:val="both"/>
        <w:rPr>
          <w:b w:val="0"/>
          <w:bCs w:val="0"/>
          <w:color w:val="000000"/>
          <w:sz w:val="19"/>
          <w:szCs w:val="19"/>
        </w:rPr>
      </w:pPr>
      <w:r w:rsidRPr="00693AAF">
        <w:rPr>
          <w:b w:val="0"/>
          <w:bCs w:val="0"/>
          <w:color w:val="000000"/>
          <w:sz w:val="19"/>
          <w:szCs w:val="19"/>
        </w:rPr>
        <w:t>Use of a conventional subsidy for a part of the budget associated with technical preparation of the project (can be recorded in the records of the financial instrument, i.e. one operation). The proportion of this aid in the total project expenditure should be limited (5%).</w:t>
      </w:r>
    </w:p>
    <w:p w:rsidR="00065632" w:rsidRDefault="00065632" w:rsidP="0077225E">
      <w:pPr>
        <w:pStyle w:val="Nadpis3"/>
      </w:pPr>
      <w:bookmarkStart w:id="213" w:name="_Toc418767170"/>
      <w:bookmarkStart w:id="214" w:name="_Toc426033680"/>
      <w:r>
        <w:t>Calculation of the Gross Grant Equivalent</w:t>
      </w:r>
      <w:bookmarkEnd w:id="213"/>
      <w:bookmarkEnd w:id="214"/>
    </w:p>
    <w:p w:rsidR="00065632" w:rsidRDefault="00065632" w:rsidP="0077225E">
      <w:pPr>
        <w:pStyle w:val="Textkomente"/>
        <w:rPr>
          <w:b/>
          <w:bCs/>
          <w:sz w:val="19"/>
          <w:szCs w:val="19"/>
        </w:rPr>
      </w:pPr>
      <w:r>
        <w:t>The gross grant equivalent of aid is the sum of the discounted differences between the interest that would be paid by the loan beneficiary in the case of interest rate equal to the basic reference rate set by the European Commission for the Czech Republic to the date of conclusion of the loan agreement increased by the appropriate risk premium and the interest that is actually charged.</w:t>
      </w:r>
    </w:p>
    <w:p w:rsidR="00065632" w:rsidRDefault="00065632" w:rsidP="0077225E">
      <w:pPr>
        <w:pStyle w:val="Textkomente"/>
        <w:rPr>
          <w:sz w:val="19"/>
          <w:szCs w:val="19"/>
        </w:rPr>
      </w:pPr>
      <w:r>
        <w:rPr>
          <w:b/>
          <w:bCs/>
          <w:sz w:val="19"/>
          <w:szCs w:val="19"/>
        </w:rPr>
        <w:t>Unless the respective regulation on state aid which is to be applied to the given financial instrument provides otherwise, it is necessary to calculate, for every aid provided through a debt financial instrument, the gross grant equivalent (GGE), which specifies what amount of state aid was granted to the final beneficiary through the instrument.</w:t>
      </w:r>
      <w:r>
        <w:rPr>
          <w:sz w:val="19"/>
          <w:szCs w:val="19"/>
        </w:rPr>
        <w:t xml:space="preserve"> The gross grant equivalent means the amount of state aid, which would be reached by the aid, if it were granted to the beneficiary in the form of a subsidy.</w:t>
      </w:r>
    </w:p>
    <w:p w:rsidR="00065632" w:rsidRDefault="00065632" w:rsidP="0077225E">
      <w:pPr>
        <w:pStyle w:val="Textkomente"/>
        <w:rPr>
          <w:sz w:val="19"/>
          <w:szCs w:val="19"/>
        </w:rPr>
      </w:pPr>
      <w:r>
        <w:rPr>
          <w:sz w:val="19"/>
          <w:szCs w:val="19"/>
        </w:rPr>
        <w:t xml:space="preserve">For the calculation of the GGE in the case of aid granted in the form of preferential loans in accordance with Article 5 of the GBER, Article 4 of Regulation on </w:t>
      </w:r>
      <w:r>
        <w:rPr>
          <w:i/>
          <w:iCs/>
          <w:sz w:val="19"/>
          <w:szCs w:val="19"/>
        </w:rPr>
        <w:t>de minimis</w:t>
      </w:r>
      <w:r>
        <w:rPr>
          <w:sz w:val="19"/>
          <w:szCs w:val="19"/>
        </w:rPr>
        <w:t xml:space="preserve"> aid and in accordance with the provision of the Commission Communication on the revision of the method for setting the reference and discount rates </w:t>
      </w:r>
      <w:r>
        <w:rPr>
          <w:sz w:val="19"/>
          <w:szCs w:val="19"/>
        </w:rPr>
        <w:lastRenderedPageBreak/>
        <w:t>(2008/C 14/02) and the Commission Communication on the revision of the method for setting the reference and discount rates, the following calculation procedure shall be used:</w:t>
      </w:r>
    </w:p>
    <w:p w:rsidR="00065632" w:rsidRDefault="00065632" w:rsidP="00065632">
      <w:pPr>
        <w:pStyle w:val="Odstavecseseznamem"/>
        <w:numPr>
          <w:ilvl w:val="0"/>
          <w:numId w:val="53"/>
        </w:numPr>
      </w:pPr>
      <w:r>
        <w:t xml:space="preserve">Each applicant for aid is subject to the calculation of financial rating – it is possible to use the rating of specialised agencies (S&amp;P, </w:t>
      </w:r>
      <w:proofErr w:type="spellStart"/>
      <w:r>
        <w:t>Moodys</w:t>
      </w:r>
      <w:proofErr w:type="spellEnd"/>
      <w:r>
        <w:t>, etc.), the rating compiled by the EC or even the appropriate national rating systems or, as appropriate, the rating system used by banks to determine the failure rate.</w:t>
      </w:r>
    </w:p>
    <w:p w:rsidR="00065632" w:rsidRDefault="00065632" w:rsidP="00065632">
      <w:pPr>
        <w:pStyle w:val="Odstavecseseznamem"/>
        <w:numPr>
          <w:ilvl w:val="0"/>
          <w:numId w:val="53"/>
        </w:numPr>
      </w:pPr>
      <w:r>
        <w:t>Based on the result of this rating and the loan guarantee rate, the beneficiary will be assigned in accordance with the Commission Communication on the revision of the method for setting the reference and discount rates the appropriate risk premium (range 0.6–10% p.a., depending on the estimated risk level).</w:t>
      </w:r>
    </w:p>
    <w:p w:rsidR="00065632" w:rsidRPr="0040398D" w:rsidRDefault="00065632" w:rsidP="00065632">
      <w:pPr>
        <w:pStyle w:val="Odstavecseseznamem"/>
        <w:numPr>
          <w:ilvl w:val="0"/>
          <w:numId w:val="53"/>
        </w:numPr>
      </w:pPr>
      <w:r>
        <w:t xml:space="preserve">The sum of the currently applicable basic reference rate (effective at the time of granting the aid in the form of a loan – currently at the level of 0.52% p.a.) and the risk premium set by the rating can be used to quantify the market interest rate, the </w:t>
      </w:r>
      <w:r>
        <w:rPr>
          <w:i/>
          <w:iCs/>
        </w:rPr>
        <w:t>fair rate of return</w:t>
      </w:r>
      <w:r>
        <w:t xml:space="preserve">. </w:t>
      </w:r>
    </w:p>
    <w:p w:rsidR="00065632" w:rsidRPr="00615742" w:rsidRDefault="00065632" w:rsidP="00065632">
      <w:pPr>
        <w:pStyle w:val="Odstavecseseznamem"/>
        <w:numPr>
          <w:ilvl w:val="0"/>
          <w:numId w:val="53"/>
        </w:numPr>
      </w:pPr>
      <w:r>
        <w:t>In the event that the amount of the interest rate paid by the beneficiary will be lower than the interest rate without state aid, the difference between the interest that would be paid by the beneficiary with the interest rate without state aid and the interest that shall be paid with the preferential rate granted to the beneficiary, is regarded as aid.</w:t>
      </w:r>
    </w:p>
    <w:p w:rsidR="00065632" w:rsidRDefault="00065632" w:rsidP="0077225E">
      <w:pPr>
        <w:pStyle w:val="Textkomente"/>
        <w:rPr>
          <w:sz w:val="19"/>
          <w:szCs w:val="19"/>
        </w:rPr>
      </w:pPr>
      <w:r>
        <w:rPr>
          <w:sz w:val="19"/>
          <w:szCs w:val="19"/>
        </w:rPr>
        <w:t>By way of illustration, the Contractor presents a conversion table in accordance with the Commission Communication, which is the basis for determining the amount of risk premium in basis points of interest rate:</w:t>
      </w:r>
    </w:p>
    <w:tbl>
      <w:tblPr>
        <w:tblW w:w="0" w:type="auto"/>
        <w:tblInd w:w="-56" w:type="dxa"/>
        <w:tblBorders>
          <w:bottom w:val="single" w:sz="4" w:space="0" w:color="72C7E7"/>
          <w:insideH w:val="single" w:sz="4" w:space="0" w:color="72C7E7"/>
        </w:tblBorders>
        <w:tblCellMar>
          <w:top w:w="28" w:type="dxa"/>
          <w:left w:w="28" w:type="dxa"/>
          <w:bottom w:w="28" w:type="dxa"/>
          <w:right w:w="28" w:type="dxa"/>
        </w:tblCellMar>
        <w:tblLook w:val="00A0" w:firstRow="1" w:lastRow="0" w:firstColumn="1" w:lastColumn="0" w:noHBand="0" w:noVBand="0"/>
      </w:tblPr>
      <w:tblGrid>
        <w:gridCol w:w="3693"/>
        <w:gridCol w:w="1814"/>
        <w:gridCol w:w="1810"/>
        <w:gridCol w:w="1809"/>
      </w:tblGrid>
      <w:tr w:rsidR="00065632" w:rsidRPr="009E74F1">
        <w:tc>
          <w:tcPr>
            <w:tcW w:w="9126" w:type="dxa"/>
            <w:gridSpan w:val="4"/>
            <w:shd w:val="clear" w:color="auto" w:fill="72C7E7"/>
            <w:vAlign w:val="center"/>
          </w:tcPr>
          <w:p w:rsidR="00065632" w:rsidRPr="00693AAF" w:rsidRDefault="00065632" w:rsidP="00693AAF">
            <w:pPr>
              <w:spacing w:after="0"/>
              <w:jc w:val="center"/>
              <w:rPr>
                <w:b/>
                <w:bCs/>
                <w:color w:val="FFFFFF"/>
              </w:rPr>
            </w:pPr>
            <w:r w:rsidRPr="00693AAF">
              <w:rPr>
                <w:b/>
                <w:bCs/>
                <w:color w:val="FFFFFF"/>
              </w:rPr>
              <w:t>Loan margins in basis points</w:t>
            </w:r>
          </w:p>
        </w:tc>
      </w:tr>
      <w:tr w:rsidR="00065632" w:rsidRPr="009E74F1">
        <w:tc>
          <w:tcPr>
            <w:tcW w:w="3693" w:type="dxa"/>
            <w:vMerge w:val="restart"/>
            <w:shd w:val="clear" w:color="auto" w:fill="FFFFFF"/>
            <w:vAlign w:val="center"/>
          </w:tcPr>
          <w:p w:rsidR="00065632" w:rsidRPr="00693AAF" w:rsidRDefault="00065632" w:rsidP="00693AAF">
            <w:pPr>
              <w:spacing w:after="0"/>
              <w:jc w:val="center"/>
              <w:rPr>
                <w:b/>
                <w:bCs/>
              </w:rPr>
            </w:pPr>
            <w:r w:rsidRPr="00693AAF">
              <w:rPr>
                <w:b/>
                <w:bCs/>
              </w:rPr>
              <w:t>Rating category</w:t>
            </w:r>
          </w:p>
        </w:tc>
        <w:tc>
          <w:tcPr>
            <w:tcW w:w="5433" w:type="dxa"/>
            <w:gridSpan w:val="3"/>
            <w:shd w:val="clear" w:color="auto" w:fill="FFFFFF"/>
          </w:tcPr>
          <w:p w:rsidR="00065632" w:rsidRPr="00693AAF" w:rsidRDefault="00065632" w:rsidP="00693AAF">
            <w:pPr>
              <w:spacing w:after="0"/>
              <w:jc w:val="center"/>
              <w:rPr>
                <w:b/>
                <w:bCs/>
              </w:rPr>
            </w:pPr>
            <w:r w:rsidRPr="00693AAF">
              <w:rPr>
                <w:b/>
                <w:bCs/>
              </w:rPr>
              <w:t>Security</w:t>
            </w:r>
          </w:p>
        </w:tc>
      </w:tr>
      <w:tr w:rsidR="00065632" w:rsidRPr="009E74F1">
        <w:tc>
          <w:tcPr>
            <w:tcW w:w="3693" w:type="dxa"/>
            <w:vMerge/>
            <w:shd w:val="clear" w:color="auto" w:fill="FFFFFF"/>
            <w:vAlign w:val="center"/>
          </w:tcPr>
          <w:p w:rsidR="00065632" w:rsidRPr="00693AAF" w:rsidRDefault="00065632" w:rsidP="00693AAF">
            <w:pPr>
              <w:spacing w:after="0"/>
              <w:jc w:val="center"/>
              <w:rPr>
                <w:b/>
                <w:bCs/>
              </w:rPr>
            </w:pPr>
          </w:p>
        </w:tc>
        <w:tc>
          <w:tcPr>
            <w:tcW w:w="1814" w:type="dxa"/>
            <w:shd w:val="clear" w:color="auto" w:fill="FFFFFF"/>
            <w:vAlign w:val="center"/>
          </w:tcPr>
          <w:p w:rsidR="00065632" w:rsidRPr="00693AAF" w:rsidRDefault="00065632" w:rsidP="00693AAF">
            <w:pPr>
              <w:spacing w:after="0"/>
              <w:jc w:val="center"/>
              <w:rPr>
                <w:b/>
                <w:bCs/>
              </w:rPr>
            </w:pPr>
            <w:r w:rsidRPr="00693AAF">
              <w:rPr>
                <w:b/>
                <w:bCs/>
              </w:rPr>
              <w:t>High</w:t>
            </w:r>
          </w:p>
        </w:tc>
        <w:tc>
          <w:tcPr>
            <w:tcW w:w="1810" w:type="dxa"/>
            <w:shd w:val="clear" w:color="auto" w:fill="FFFFFF"/>
            <w:vAlign w:val="center"/>
          </w:tcPr>
          <w:p w:rsidR="00065632" w:rsidRPr="00693AAF" w:rsidRDefault="00065632" w:rsidP="00693AAF">
            <w:pPr>
              <w:spacing w:after="0"/>
              <w:jc w:val="center"/>
              <w:rPr>
                <w:b/>
                <w:bCs/>
              </w:rPr>
            </w:pPr>
            <w:r w:rsidRPr="00693AAF">
              <w:rPr>
                <w:b/>
                <w:bCs/>
              </w:rPr>
              <w:t>Regular</w:t>
            </w:r>
          </w:p>
        </w:tc>
        <w:tc>
          <w:tcPr>
            <w:tcW w:w="1809" w:type="dxa"/>
            <w:shd w:val="clear" w:color="auto" w:fill="FFFFFF"/>
            <w:vAlign w:val="center"/>
          </w:tcPr>
          <w:p w:rsidR="00065632" w:rsidRPr="00693AAF" w:rsidRDefault="00065632" w:rsidP="00693AAF">
            <w:pPr>
              <w:spacing w:after="0"/>
              <w:jc w:val="center"/>
              <w:rPr>
                <w:b/>
                <w:bCs/>
              </w:rPr>
            </w:pPr>
            <w:r w:rsidRPr="00693AAF">
              <w:rPr>
                <w:b/>
                <w:bCs/>
              </w:rPr>
              <w:t>Low</w:t>
            </w:r>
          </w:p>
        </w:tc>
      </w:tr>
      <w:tr w:rsidR="00065632" w:rsidRPr="009E74F1">
        <w:tc>
          <w:tcPr>
            <w:tcW w:w="3693" w:type="dxa"/>
            <w:shd w:val="clear" w:color="auto" w:fill="FFFFFF"/>
          </w:tcPr>
          <w:p w:rsidR="00065632" w:rsidRPr="00693AAF" w:rsidRDefault="00065632" w:rsidP="00693AAF">
            <w:pPr>
              <w:spacing w:after="0"/>
              <w:rPr>
                <w:b/>
                <w:bCs/>
              </w:rPr>
            </w:pPr>
            <w:r w:rsidRPr="00693AAF">
              <w:rPr>
                <w:b/>
                <w:bCs/>
              </w:rPr>
              <w:t>Very good (AAA-A)</w:t>
            </w:r>
          </w:p>
        </w:tc>
        <w:tc>
          <w:tcPr>
            <w:tcW w:w="1814" w:type="dxa"/>
            <w:shd w:val="clear" w:color="auto" w:fill="FFFFFF"/>
            <w:vAlign w:val="center"/>
          </w:tcPr>
          <w:p w:rsidR="00065632" w:rsidRPr="009E74F1" w:rsidRDefault="00065632" w:rsidP="00693AAF">
            <w:pPr>
              <w:spacing w:after="0"/>
              <w:jc w:val="center"/>
            </w:pPr>
            <w:r>
              <w:t>60</w:t>
            </w:r>
          </w:p>
        </w:tc>
        <w:tc>
          <w:tcPr>
            <w:tcW w:w="1810" w:type="dxa"/>
            <w:shd w:val="clear" w:color="auto" w:fill="FFFFFF"/>
            <w:vAlign w:val="center"/>
          </w:tcPr>
          <w:p w:rsidR="00065632" w:rsidRPr="009E74F1" w:rsidRDefault="00065632" w:rsidP="00693AAF">
            <w:pPr>
              <w:spacing w:after="0"/>
              <w:jc w:val="center"/>
            </w:pPr>
            <w:r>
              <w:t>75</w:t>
            </w:r>
          </w:p>
        </w:tc>
        <w:tc>
          <w:tcPr>
            <w:tcW w:w="1809" w:type="dxa"/>
            <w:shd w:val="clear" w:color="auto" w:fill="FFFFFF"/>
            <w:vAlign w:val="center"/>
          </w:tcPr>
          <w:p w:rsidR="00065632" w:rsidRPr="009E74F1" w:rsidRDefault="00065632" w:rsidP="00693AAF">
            <w:pPr>
              <w:spacing w:after="0"/>
              <w:jc w:val="center"/>
            </w:pPr>
            <w:r>
              <w:t>100</w:t>
            </w:r>
          </w:p>
        </w:tc>
      </w:tr>
      <w:tr w:rsidR="00065632" w:rsidRPr="009E74F1">
        <w:tc>
          <w:tcPr>
            <w:tcW w:w="3693" w:type="dxa"/>
            <w:shd w:val="clear" w:color="auto" w:fill="FFFFFF"/>
          </w:tcPr>
          <w:p w:rsidR="00065632" w:rsidRPr="00693AAF" w:rsidRDefault="00065632" w:rsidP="00693AAF">
            <w:pPr>
              <w:spacing w:after="0"/>
              <w:rPr>
                <w:b/>
                <w:bCs/>
              </w:rPr>
            </w:pPr>
            <w:r w:rsidRPr="00693AAF">
              <w:rPr>
                <w:b/>
                <w:bCs/>
              </w:rPr>
              <w:t>Good (BBB)</w:t>
            </w:r>
          </w:p>
        </w:tc>
        <w:tc>
          <w:tcPr>
            <w:tcW w:w="1814" w:type="dxa"/>
            <w:shd w:val="clear" w:color="auto" w:fill="FFFFFF"/>
            <w:vAlign w:val="center"/>
          </w:tcPr>
          <w:p w:rsidR="00065632" w:rsidRPr="009E74F1" w:rsidRDefault="00065632" w:rsidP="00693AAF">
            <w:pPr>
              <w:spacing w:after="0"/>
              <w:jc w:val="center"/>
            </w:pPr>
            <w:r>
              <w:t>75</w:t>
            </w:r>
          </w:p>
        </w:tc>
        <w:tc>
          <w:tcPr>
            <w:tcW w:w="1810" w:type="dxa"/>
            <w:shd w:val="clear" w:color="auto" w:fill="FFFFFF"/>
            <w:vAlign w:val="center"/>
          </w:tcPr>
          <w:p w:rsidR="00065632" w:rsidRPr="009E74F1" w:rsidRDefault="00065632" w:rsidP="00693AAF">
            <w:pPr>
              <w:spacing w:after="0"/>
              <w:jc w:val="center"/>
            </w:pPr>
            <w:r>
              <w:t>100</w:t>
            </w:r>
          </w:p>
        </w:tc>
        <w:tc>
          <w:tcPr>
            <w:tcW w:w="1809" w:type="dxa"/>
            <w:shd w:val="clear" w:color="auto" w:fill="FFFFFF"/>
            <w:vAlign w:val="center"/>
          </w:tcPr>
          <w:p w:rsidR="00065632" w:rsidRPr="009E74F1" w:rsidRDefault="00065632" w:rsidP="00693AAF">
            <w:pPr>
              <w:spacing w:after="0"/>
              <w:jc w:val="center"/>
            </w:pPr>
            <w:r>
              <w:t>220</w:t>
            </w:r>
          </w:p>
        </w:tc>
      </w:tr>
      <w:tr w:rsidR="00065632" w:rsidRPr="009E74F1">
        <w:tc>
          <w:tcPr>
            <w:tcW w:w="3693" w:type="dxa"/>
            <w:shd w:val="clear" w:color="auto" w:fill="FFFFFF"/>
          </w:tcPr>
          <w:p w:rsidR="00065632" w:rsidRPr="00693AAF" w:rsidRDefault="00065632" w:rsidP="00693AAF">
            <w:pPr>
              <w:spacing w:after="0"/>
              <w:rPr>
                <w:b/>
                <w:bCs/>
              </w:rPr>
            </w:pPr>
            <w:r w:rsidRPr="00693AAF">
              <w:rPr>
                <w:b/>
                <w:bCs/>
              </w:rPr>
              <w:t>Satisfactory (BB)</w:t>
            </w:r>
          </w:p>
        </w:tc>
        <w:tc>
          <w:tcPr>
            <w:tcW w:w="1814" w:type="dxa"/>
            <w:shd w:val="clear" w:color="auto" w:fill="FFFFFF"/>
            <w:vAlign w:val="center"/>
          </w:tcPr>
          <w:p w:rsidR="00065632" w:rsidRPr="009E74F1" w:rsidRDefault="00065632" w:rsidP="00693AAF">
            <w:pPr>
              <w:spacing w:after="0"/>
              <w:jc w:val="center"/>
            </w:pPr>
            <w:r>
              <w:t>100</w:t>
            </w:r>
          </w:p>
        </w:tc>
        <w:tc>
          <w:tcPr>
            <w:tcW w:w="1810" w:type="dxa"/>
            <w:shd w:val="clear" w:color="auto" w:fill="FFFFFF"/>
            <w:vAlign w:val="center"/>
          </w:tcPr>
          <w:p w:rsidR="00065632" w:rsidRPr="009E74F1" w:rsidRDefault="00065632" w:rsidP="00693AAF">
            <w:pPr>
              <w:spacing w:after="0"/>
              <w:jc w:val="center"/>
            </w:pPr>
            <w:r>
              <w:t>220</w:t>
            </w:r>
          </w:p>
        </w:tc>
        <w:tc>
          <w:tcPr>
            <w:tcW w:w="1809" w:type="dxa"/>
            <w:shd w:val="clear" w:color="auto" w:fill="FFFFFF"/>
            <w:vAlign w:val="center"/>
          </w:tcPr>
          <w:p w:rsidR="00065632" w:rsidRPr="009E74F1" w:rsidRDefault="00065632" w:rsidP="00693AAF">
            <w:pPr>
              <w:spacing w:after="0"/>
              <w:jc w:val="center"/>
            </w:pPr>
            <w:r>
              <w:t>400</w:t>
            </w:r>
          </w:p>
        </w:tc>
      </w:tr>
      <w:tr w:rsidR="00065632" w:rsidRPr="009E74F1">
        <w:tc>
          <w:tcPr>
            <w:tcW w:w="3693" w:type="dxa"/>
            <w:shd w:val="clear" w:color="auto" w:fill="FFFFFF"/>
          </w:tcPr>
          <w:p w:rsidR="00065632" w:rsidRPr="00693AAF" w:rsidRDefault="00065632" w:rsidP="00693AAF">
            <w:pPr>
              <w:spacing w:after="0"/>
              <w:rPr>
                <w:b/>
                <w:bCs/>
              </w:rPr>
            </w:pPr>
            <w:r w:rsidRPr="00693AAF">
              <w:rPr>
                <w:b/>
                <w:bCs/>
              </w:rPr>
              <w:t>Weak (B)</w:t>
            </w:r>
          </w:p>
        </w:tc>
        <w:tc>
          <w:tcPr>
            <w:tcW w:w="1814" w:type="dxa"/>
            <w:shd w:val="clear" w:color="auto" w:fill="FFFFFF"/>
            <w:vAlign w:val="center"/>
          </w:tcPr>
          <w:p w:rsidR="00065632" w:rsidRPr="009E74F1" w:rsidRDefault="00065632" w:rsidP="00693AAF">
            <w:pPr>
              <w:spacing w:after="0"/>
              <w:jc w:val="center"/>
            </w:pPr>
            <w:r>
              <w:t>220</w:t>
            </w:r>
          </w:p>
        </w:tc>
        <w:tc>
          <w:tcPr>
            <w:tcW w:w="1810" w:type="dxa"/>
            <w:shd w:val="clear" w:color="auto" w:fill="FFFFFF"/>
            <w:vAlign w:val="center"/>
          </w:tcPr>
          <w:p w:rsidR="00065632" w:rsidRPr="009E74F1" w:rsidRDefault="00065632" w:rsidP="00693AAF">
            <w:pPr>
              <w:spacing w:after="0"/>
              <w:jc w:val="center"/>
            </w:pPr>
            <w:r>
              <w:t>400</w:t>
            </w:r>
          </w:p>
        </w:tc>
        <w:tc>
          <w:tcPr>
            <w:tcW w:w="1809" w:type="dxa"/>
            <w:shd w:val="clear" w:color="auto" w:fill="FFFFFF"/>
            <w:vAlign w:val="center"/>
          </w:tcPr>
          <w:p w:rsidR="00065632" w:rsidRPr="009E74F1" w:rsidRDefault="00065632" w:rsidP="00693AAF">
            <w:pPr>
              <w:spacing w:after="0"/>
              <w:jc w:val="center"/>
            </w:pPr>
            <w:r>
              <w:t>650</w:t>
            </w:r>
          </w:p>
        </w:tc>
      </w:tr>
      <w:tr w:rsidR="00065632" w:rsidRPr="009E74F1">
        <w:tc>
          <w:tcPr>
            <w:tcW w:w="3693" w:type="dxa"/>
            <w:shd w:val="clear" w:color="auto" w:fill="FFFFFF"/>
          </w:tcPr>
          <w:p w:rsidR="00065632" w:rsidRPr="00693AAF" w:rsidRDefault="00065632" w:rsidP="00693AAF">
            <w:pPr>
              <w:spacing w:after="0"/>
              <w:rPr>
                <w:b/>
                <w:bCs/>
              </w:rPr>
            </w:pPr>
            <w:r w:rsidRPr="00693AAF">
              <w:rPr>
                <w:b/>
                <w:bCs/>
              </w:rPr>
              <w:t>Poor/Financial difficulties (CCC and less)</w:t>
            </w:r>
          </w:p>
        </w:tc>
        <w:tc>
          <w:tcPr>
            <w:tcW w:w="1814" w:type="dxa"/>
            <w:shd w:val="clear" w:color="auto" w:fill="FFFFFF"/>
            <w:vAlign w:val="center"/>
          </w:tcPr>
          <w:p w:rsidR="00065632" w:rsidRPr="009E74F1" w:rsidRDefault="00065632" w:rsidP="00693AAF">
            <w:pPr>
              <w:spacing w:after="0"/>
              <w:jc w:val="center"/>
            </w:pPr>
            <w:r>
              <w:t>400</w:t>
            </w:r>
          </w:p>
        </w:tc>
        <w:tc>
          <w:tcPr>
            <w:tcW w:w="1810" w:type="dxa"/>
            <w:shd w:val="clear" w:color="auto" w:fill="FFFFFF"/>
            <w:vAlign w:val="center"/>
          </w:tcPr>
          <w:p w:rsidR="00065632" w:rsidRPr="009E74F1" w:rsidRDefault="00065632" w:rsidP="00693AAF">
            <w:pPr>
              <w:spacing w:after="0"/>
              <w:jc w:val="center"/>
            </w:pPr>
            <w:r>
              <w:t>650</w:t>
            </w:r>
          </w:p>
        </w:tc>
        <w:tc>
          <w:tcPr>
            <w:tcW w:w="1809" w:type="dxa"/>
            <w:shd w:val="clear" w:color="auto" w:fill="FFFFFF"/>
            <w:vAlign w:val="center"/>
          </w:tcPr>
          <w:p w:rsidR="00065632" w:rsidRPr="009E74F1" w:rsidRDefault="00065632" w:rsidP="00693AAF">
            <w:pPr>
              <w:spacing w:after="0"/>
              <w:jc w:val="center"/>
            </w:pPr>
            <w:r>
              <w:t>1,000</w:t>
            </w:r>
          </w:p>
        </w:tc>
      </w:tr>
    </w:tbl>
    <w:p w:rsidR="00065632" w:rsidRDefault="00065632" w:rsidP="00EF3AC6">
      <w:pPr>
        <w:pStyle w:val="Titulek"/>
      </w:pPr>
      <w:bookmarkStart w:id="215" w:name="_Toc417655512"/>
      <w:bookmarkStart w:id="216" w:name="_Toc426033923"/>
      <w:r>
        <w:t xml:space="preserve">Table </w:t>
      </w:r>
      <w:r>
        <w:fldChar w:fldCharType="begin"/>
      </w:r>
      <w:r>
        <w:instrText xml:space="preserve"> SEQ Tabulka \* ARABIC </w:instrText>
      </w:r>
      <w:r>
        <w:fldChar w:fldCharType="separate"/>
      </w:r>
      <w:r>
        <w:rPr>
          <w:noProof/>
        </w:rPr>
        <w:t>14</w:t>
      </w:r>
      <w:r>
        <w:fldChar w:fldCharType="end"/>
      </w:r>
      <w:r>
        <w:t>: Underlying matrix for the conversion of risk premium according to the Commission Communication 2008/C 14/02</w:t>
      </w:r>
      <w:bookmarkEnd w:id="215"/>
      <w:bookmarkEnd w:id="216"/>
    </w:p>
    <w:p w:rsidR="00065632" w:rsidRDefault="00065632" w:rsidP="004473E5">
      <w:pPr>
        <w:pStyle w:val="Textkomente"/>
        <w:rPr>
          <w:sz w:val="19"/>
          <w:szCs w:val="19"/>
        </w:rPr>
      </w:pPr>
      <w:r>
        <w:rPr>
          <w:sz w:val="19"/>
          <w:szCs w:val="19"/>
        </w:rPr>
        <w:t>As mentioned in the draft parameters of a loan instrument in Chapter 5.2.4, the Contractor proposes to grant the IROP funds at preferential rates of 0.5 % p.a. where after the involvement of the resources of the co-financing entities and its ratio of co-financing, the final beneficiary is the addressee of the interest rate of up to 100% of the investment amount and the upper limit of this preferential rate is 1.5% p.a. As a practical demonstration of the results in terms of the gross grant equivalent, the Contractor decided to present some model examples.</w:t>
      </w:r>
    </w:p>
    <w:p w:rsidR="00065632" w:rsidRDefault="00065632" w:rsidP="004473E5">
      <w:pPr>
        <w:pStyle w:val="Textkomente"/>
        <w:rPr>
          <w:sz w:val="19"/>
          <w:szCs w:val="19"/>
        </w:rPr>
      </w:pPr>
    </w:p>
    <w:tbl>
      <w:tblPr>
        <w:tblW w:w="9100" w:type="dxa"/>
        <w:tblInd w:w="-56" w:type="dxa"/>
        <w:tblBorders>
          <w:top w:val="single" w:sz="4" w:space="0" w:color="92D400"/>
          <w:bottom w:val="single" w:sz="4" w:space="0" w:color="92D400"/>
          <w:insideH w:val="single" w:sz="4" w:space="0" w:color="92D400"/>
        </w:tblBorders>
        <w:tblCellMar>
          <w:top w:w="28" w:type="dxa"/>
          <w:left w:w="28" w:type="dxa"/>
          <w:bottom w:w="28" w:type="dxa"/>
          <w:right w:w="28" w:type="dxa"/>
        </w:tblCellMar>
        <w:tblLook w:val="00A0" w:firstRow="1" w:lastRow="0" w:firstColumn="1" w:lastColumn="0" w:noHBand="0" w:noVBand="0"/>
      </w:tblPr>
      <w:tblGrid>
        <w:gridCol w:w="3430"/>
        <w:gridCol w:w="1418"/>
        <w:gridCol w:w="1417"/>
        <w:gridCol w:w="1418"/>
        <w:gridCol w:w="1417"/>
      </w:tblGrid>
      <w:tr w:rsidR="00065632">
        <w:tc>
          <w:tcPr>
            <w:tcW w:w="3430" w:type="dxa"/>
            <w:shd w:val="clear" w:color="auto" w:fill="92D400"/>
            <w:vAlign w:val="center"/>
          </w:tcPr>
          <w:p w:rsidR="00065632" w:rsidRPr="00693AAF" w:rsidRDefault="00065632" w:rsidP="00693AAF">
            <w:pPr>
              <w:spacing w:after="0"/>
              <w:jc w:val="center"/>
              <w:rPr>
                <w:b/>
                <w:bCs/>
                <w:color w:val="FFFFFF"/>
              </w:rPr>
            </w:pPr>
            <w:r w:rsidRPr="00693AAF">
              <w:rPr>
                <w:b/>
                <w:bCs/>
                <w:color w:val="FFFFFF"/>
              </w:rPr>
              <w:t>Monitored variable</w:t>
            </w:r>
          </w:p>
        </w:tc>
        <w:tc>
          <w:tcPr>
            <w:tcW w:w="1418" w:type="dxa"/>
            <w:shd w:val="clear" w:color="auto" w:fill="92D400"/>
          </w:tcPr>
          <w:p w:rsidR="00065632" w:rsidRPr="00693AAF" w:rsidRDefault="00065632" w:rsidP="00693AAF">
            <w:pPr>
              <w:spacing w:after="0"/>
              <w:jc w:val="center"/>
              <w:rPr>
                <w:b/>
                <w:bCs/>
                <w:color w:val="FFFFFF"/>
              </w:rPr>
            </w:pPr>
            <w:r w:rsidRPr="00693AAF">
              <w:rPr>
                <w:b/>
                <w:bCs/>
                <w:color w:val="FFFFFF"/>
              </w:rPr>
              <w:t>Minor project</w:t>
            </w:r>
          </w:p>
        </w:tc>
        <w:tc>
          <w:tcPr>
            <w:tcW w:w="1417" w:type="dxa"/>
            <w:shd w:val="clear" w:color="auto" w:fill="92D400"/>
          </w:tcPr>
          <w:p w:rsidR="00065632" w:rsidRPr="00693AAF" w:rsidRDefault="00065632" w:rsidP="00693AAF">
            <w:pPr>
              <w:spacing w:after="0"/>
              <w:jc w:val="center"/>
              <w:rPr>
                <w:b/>
                <w:bCs/>
                <w:color w:val="FFFFFF"/>
              </w:rPr>
            </w:pPr>
            <w:r w:rsidRPr="00693AAF">
              <w:rPr>
                <w:b/>
                <w:bCs/>
                <w:color w:val="FFFFFF"/>
              </w:rPr>
              <w:t>Minor with subsidy</w:t>
            </w:r>
          </w:p>
        </w:tc>
        <w:tc>
          <w:tcPr>
            <w:tcW w:w="1418" w:type="dxa"/>
            <w:shd w:val="clear" w:color="auto" w:fill="92D400"/>
          </w:tcPr>
          <w:p w:rsidR="00065632" w:rsidRPr="00693AAF" w:rsidRDefault="00065632" w:rsidP="00693AAF">
            <w:pPr>
              <w:spacing w:after="0"/>
              <w:jc w:val="center"/>
              <w:rPr>
                <w:b/>
                <w:bCs/>
                <w:color w:val="FFFFFF"/>
              </w:rPr>
            </w:pPr>
            <w:r w:rsidRPr="00693AAF">
              <w:rPr>
                <w:b/>
                <w:bCs/>
                <w:color w:val="FFFFFF"/>
              </w:rPr>
              <w:t>Major project</w:t>
            </w:r>
          </w:p>
        </w:tc>
        <w:tc>
          <w:tcPr>
            <w:tcW w:w="1417" w:type="dxa"/>
            <w:shd w:val="clear" w:color="auto" w:fill="92D400"/>
          </w:tcPr>
          <w:p w:rsidR="00065632" w:rsidRPr="00693AAF" w:rsidRDefault="00065632" w:rsidP="00693AAF">
            <w:pPr>
              <w:spacing w:after="0"/>
              <w:jc w:val="center"/>
              <w:rPr>
                <w:b/>
                <w:bCs/>
                <w:color w:val="FFFFFF"/>
              </w:rPr>
            </w:pPr>
            <w:r w:rsidRPr="00693AAF">
              <w:rPr>
                <w:b/>
                <w:bCs/>
                <w:color w:val="FFFFFF"/>
              </w:rPr>
              <w:t>Major with subsidy</w:t>
            </w:r>
          </w:p>
        </w:tc>
      </w:tr>
      <w:tr w:rsidR="00065632">
        <w:tc>
          <w:tcPr>
            <w:tcW w:w="3430" w:type="dxa"/>
            <w:shd w:val="clear" w:color="auto" w:fill="C9DD03"/>
          </w:tcPr>
          <w:p w:rsidR="00065632" w:rsidRPr="00693AAF" w:rsidRDefault="00065632" w:rsidP="00693AAF">
            <w:pPr>
              <w:spacing w:after="0"/>
              <w:rPr>
                <w:b/>
                <w:bCs/>
                <w:color w:val="FFFFFF"/>
              </w:rPr>
            </w:pPr>
            <w:r w:rsidRPr="00693AAF">
              <w:rPr>
                <w:b/>
                <w:bCs/>
                <w:color w:val="FFFFFF"/>
              </w:rPr>
              <w:t>Total eligible investment amount</w:t>
            </w:r>
          </w:p>
        </w:tc>
        <w:tc>
          <w:tcPr>
            <w:tcW w:w="1418" w:type="dxa"/>
            <w:shd w:val="clear" w:color="auto" w:fill="FFFFFF"/>
            <w:vAlign w:val="center"/>
          </w:tcPr>
          <w:p w:rsidR="00065632" w:rsidRPr="0046431C" w:rsidRDefault="00065632" w:rsidP="00693AAF">
            <w:pPr>
              <w:spacing w:after="0"/>
              <w:jc w:val="center"/>
            </w:pPr>
            <w:r>
              <w:t xml:space="preserve">CZK 5 million </w:t>
            </w:r>
          </w:p>
        </w:tc>
        <w:tc>
          <w:tcPr>
            <w:tcW w:w="1417" w:type="dxa"/>
            <w:shd w:val="clear" w:color="auto" w:fill="FFFFFF"/>
            <w:vAlign w:val="center"/>
          </w:tcPr>
          <w:p w:rsidR="00065632" w:rsidRPr="0046431C" w:rsidRDefault="00065632" w:rsidP="00693AAF">
            <w:pPr>
              <w:spacing w:after="0"/>
              <w:jc w:val="center"/>
            </w:pPr>
            <w:r>
              <w:t>CZK 5 million</w:t>
            </w:r>
          </w:p>
        </w:tc>
        <w:tc>
          <w:tcPr>
            <w:tcW w:w="1418" w:type="dxa"/>
            <w:shd w:val="clear" w:color="auto" w:fill="FFFFFF"/>
            <w:vAlign w:val="center"/>
          </w:tcPr>
          <w:p w:rsidR="00065632" w:rsidRPr="0046431C" w:rsidRDefault="00065632" w:rsidP="00693AAF">
            <w:pPr>
              <w:spacing w:after="0"/>
              <w:jc w:val="center"/>
            </w:pPr>
            <w:r>
              <w:t>CZK 15 million</w:t>
            </w:r>
          </w:p>
        </w:tc>
        <w:tc>
          <w:tcPr>
            <w:tcW w:w="1417" w:type="dxa"/>
            <w:shd w:val="clear" w:color="auto" w:fill="FFFFFF"/>
            <w:vAlign w:val="center"/>
          </w:tcPr>
          <w:p w:rsidR="00065632" w:rsidRPr="0046431C" w:rsidRDefault="00065632" w:rsidP="00693AAF">
            <w:pPr>
              <w:spacing w:after="0"/>
              <w:jc w:val="center"/>
            </w:pPr>
            <w:r>
              <w:t>CZK 15 million</w:t>
            </w:r>
          </w:p>
        </w:tc>
      </w:tr>
      <w:tr w:rsidR="00065632">
        <w:tc>
          <w:tcPr>
            <w:tcW w:w="3430" w:type="dxa"/>
            <w:shd w:val="clear" w:color="auto" w:fill="C9DD03"/>
          </w:tcPr>
          <w:p w:rsidR="00065632" w:rsidRPr="00693AAF" w:rsidRDefault="00065632" w:rsidP="00693AAF">
            <w:pPr>
              <w:spacing w:after="0"/>
              <w:rPr>
                <w:b/>
                <w:bCs/>
                <w:color w:val="FFFFFF"/>
              </w:rPr>
            </w:pPr>
            <w:r w:rsidRPr="00693AAF">
              <w:rPr>
                <w:b/>
                <w:bCs/>
                <w:color w:val="FFFFFF"/>
              </w:rPr>
              <w:t>Share of IROP resources</w:t>
            </w:r>
          </w:p>
        </w:tc>
        <w:tc>
          <w:tcPr>
            <w:tcW w:w="1418" w:type="dxa"/>
            <w:shd w:val="clear" w:color="auto" w:fill="FFFFFF"/>
            <w:vAlign w:val="center"/>
          </w:tcPr>
          <w:p w:rsidR="00065632" w:rsidRPr="0046431C" w:rsidRDefault="00065632" w:rsidP="00693AAF">
            <w:pPr>
              <w:spacing w:after="0"/>
              <w:jc w:val="center"/>
            </w:pPr>
            <w:r>
              <w:t>50%</w:t>
            </w:r>
          </w:p>
        </w:tc>
        <w:tc>
          <w:tcPr>
            <w:tcW w:w="1417" w:type="dxa"/>
            <w:shd w:val="clear" w:color="auto" w:fill="FFFFFF"/>
            <w:vAlign w:val="center"/>
          </w:tcPr>
          <w:p w:rsidR="00065632" w:rsidRPr="0046431C" w:rsidRDefault="00065632" w:rsidP="00693AAF">
            <w:pPr>
              <w:spacing w:after="0"/>
              <w:jc w:val="center"/>
            </w:pPr>
            <w:r>
              <w:t>50%</w:t>
            </w:r>
          </w:p>
        </w:tc>
        <w:tc>
          <w:tcPr>
            <w:tcW w:w="1418" w:type="dxa"/>
            <w:shd w:val="clear" w:color="auto" w:fill="FFFFFF"/>
            <w:vAlign w:val="center"/>
          </w:tcPr>
          <w:p w:rsidR="00065632" w:rsidRPr="0046431C" w:rsidRDefault="00065632" w:rsidP="00693AAF">
            <w:pPr>
              <w:spacing w:after="0"/>
              <w:jc w:val="center"/>
            </w:pPr>
            <w:r>
              <w:t>50%</w:t>
            </w:r>
          </w:p>
        </w:tc>
        <w:tc>
          <w:tcPr>
            <w:tcW w:w="1417" w:type="dxa"/>
            <w:shd w:val="clear" w:color="auto" w:fill="FFFFFF"/>
            <w:vAlign w:val="center"/>
          </w:tcPr>
          <w:p w:rsidR="00065632" w:rsidRPr="0046431C" w:rsidRDefault="00065632" w:rsidP="00693AAF">
            <w:pPr>
              <w:spacing w:after="0"/>
              <w:jc w:val="center"/>
            </w:pPr>
            <w:r>
              <w:t>50%</w:t>
            </w:r>
          </w:p>
        </w:tc>
      </w:tr>
      <w:tr w:rsidR="00065632">
        <w:tc>
          <w:tcPr>
            <w:tcW w:w="3430" w:type="dxa"/>
            <w:shd w:val="clear" w:color="auto" w:fill="C9DD03"/>
          </w:tcPr>
          <w:p w:rsidR="00065632" w:rsidRPr="00693AAF" w:rsidRDefault="00065632" w:rsidP="00693AAF">
            <w:pPr>
              <w:spacing w:after="0"/>
              <w:rPr>
                <w:b/>
                <w:bCs/>
                <w:color w:val="FFFFFF"/>
              </w:rPr>
            </w:pPr>
            <w:r w:rsidRPr="00693AAF">
              <w:rPr>
                <w:b/>
                <w:bCs/>
                <w:color w:val="FFFFFF"/>
              </w:rPr>
              <w:t>Loan amount</w:t>
            </w:r>
          </w:p>
        </w:tc>
        <w:tc>
          <w:tcPr>
            <w:tcW w:w="1418" w:type="dxa"/>
            <w:shd w:val="clear" w:color="auto" w:fill="FFFFFF"/>
            <w:vAlign w:val="center"/>
          </w:tcPr>
          <w:p w:rsidR="00065632" w:rsidRPr="0046431C" w:rsidRDefault="00065632" w:rsidP="00693AAF">
            <w:pPr>
              <w:spacing w:after="0"/>
              <w:jc w:val="center"/>
            </w:pPr>
            <w:r>
              <w:t>CZK 2.5 million</w:t>
            </w:r>
          </w:p>
        </w:tc>
        <w:tc>
          <w:tcPr>
            <w:tcW w:w="1417" w:type="dxa"/>
            <w:shd w:val="clear" w:color="auto" w:fill="FFFFFF"/>
            <w:vAlign w:val="center"/>
          </w:tcPr>
          <w:p w:rsidR="00065632" w:rsidRPr="0046431C" w:rsidRDefault="00065632" w:rsidP="00693AAF">
            <w:pPr>
              <w:spacing w:after="0"/>
              <w:jc w:val="center"/>
            </w:pPr>
            <w:r>
              <w:t>CZK 2.25 million</w:t>
            </w:r>
          </w:p>
        </w:tc>
        <w:tc>
          <w:tcPr>
            <w:tcW w:w="1418" w:type="dxa"/>
            <w:shd w:val="clear" w:color="auto" w:fill="FFFFFF"/>
            <w:vAlign w:val="center"/>
          </w:tcPr>
          <w:p w:rsidR="00065632" w:rsidRPr="0046431C" w:rsidRDefault="00065632" w:rsidP="00693AAF">
            <w:pPr>
              <w:spacing w:after="0"/>
              <w:jc w:val="center"/>
            </w:pPr>
            <w:r>
              <w:t>CZK 7.5 million</w:t>
            </w:r>
          </w:p>
        </w:tc>
        <w:tc>
          <w:tcPr>
            <w:tcW w:w="1417" w:type="dxa"/>
            <w:shd w:val="clear" w:color="auto" w:fill="FFFFFF"/>
            <w:vAlign w:val="center"/>
          </w:tcPr>
          <w:p w:rsidR="00065632" w:rsidRPr="0046431C" w:rsidRDefault="00065632" w:rsidP="00693AAF">
            <w:pPr>
              <w:spacing w:after="0"/>
              <w:jc w:val="center"/>
            </w:pPr>
            <w:r>
              <w:t>CZK 6.75 million</w:t>
            </w:r>
          </w:p>
        </w:tc>
      </w:tr>
      <w:tr w:rsidR="00065632">
        <w:tc>
          <w:tcPr>
            <w:tcW w:w="3430" w:type="dxa"/>
            <w:shd w:val="clear" w:color="auto" w:fill="C9DD03"/>
          </w:tcPr>
          <w:p w:rsidR="00065632" w:rsidRPr="00693AAF" w:rsidRDefault="00065632" w:rsidP="00693AAF">
            <w:pPr>
              <w:spacing w:after="0"/>
              <w:rPr>
                <w:b/>
                <w:bCs/>
                <w:color w:val="FFFFFF"/>
              </w:rPr>
            </w:pPr>
            <w:r w:rsidRPr="00693AAF">
              <w:rPr>
                <w:b/>
                <w:bCs/>
                <w:color w:val="FFFFFF"/>
              </w:rPr>
              <w:t>Subsidy of 10% of the whole</w:t>
            </w:r>
          </w:p>
        </w:tc>
        <w:tc>
          <w:tcPr>
            <w:tcW w:w="1418" w:type="dxa"/>
            <w:shd w:val="clear" w:color="auto" w:fill="FFFFFF"/>
            <w:vAlign w:val="center"/>
          </w:tcPr>
          <w:p w:rsidR="00065632" w:rsidRPr="0046431C" w:rsidRDefault="00065632" w:rsidP="00693AAF">
            <w:pPr>
              <w:spacing w:after="0"/>
              <w:jc w:val="center"/>
            </w:pPr>
            <w:r>
              <w:t>0</w:t>
            </w:r>
          </w:p>
        </w:tc>
        <w:tc>
          <w:tcPr>
            <w:tcW w:w="1417" w:type="dxa"/>
            <w:shd w:val="clear" w:color="auto" w:fill="FFFFFF"/>
            <w:vAlign w:val="center"/>
          </w:tcPr>
          <w:p w:rsidR="00065632" w:rsidRPr="0046431C" w:rsidRDefault="00065632" w:rsidP="00693AAF">
            <w:pPr>
              <w:spacing w:after="0"/>
              <w:jc w:val="center"/>
            </w:pPr>
            <w:r>
              <w:t>CZK 0.25 million</w:t>
            </w:r>
          </w:p>
        </w:tc>
        <w:tc>
          <w:tcPr>
            <w:tcW w:w="1418" w:type="dxa"/>
            <w:shd w:val="clear" w:color="auto" w:fill="FFFFFF"/>
            <w:vAlign w:val="center"/>
          </w:tcPr>
          <w:p w:rsidR="00065632" w:rsidRPr="0046431C" w:rsidRDefault="00065632" w:rsidP="00693AAF">
            <w:pPr>
              <w:spacing w:after="0"/>
              <w:jc w:val="center"/>
            </w:pPr>
            <w:r>
              <w:t>0</w:t>
            </w:r>
          </w:p>
        </w:tc>
        <w:tc>
          <w:tcPr>
            <w:tcW w:w="1417" w:type="dxa"/>
            <w:shd w:val="clear" w:color="auto" w:fill="FFFFFF"/>
            <w:vAlign w:val="center"/>
          </w:tcPr>
          <w:p w:rsidR="00065632" w:rsidRPr="0046431C" w:rsidRDefault="00065632" w:rsidP="00693AAF">
            <w:pPr>
              <w:spacing w:after="0"/>
              <w:jc w:val="center"/>
            </w:pPr>
            <w:r>
              <w:t>CZK 0.75 million</w:t>
            </w:r>
          </w:p>
        </w:tc>
      </w:tr>
      <w:tr w:rsidR="00065632">
        <w:tc>
          <w:tcPr>
            <w:tcW w:w="3430" w:type="dxa"/>
            <w:shd w:val="clear" w:color="auto" w:fill="C9DD03"/>
          </w:tcPr>
          <w:p w:rsidR="00065632" w:rsidRPr="00693AAF" w:rsidRDefault="00065632" w:rsidP="00693AAF">
            <w:pPr>
              <w:spacing w:after="0"/>
              <w:rPr>
                <w:b/>
                <w:bCs/>
                <w:color w:val="FFFFFF"/>
              </w:rPr>
            </w:pPr>
            <w:r w:rsidRPr="00693AAF">
              <w:rPr>
                <w:b/>
                <w:bCs/>
                <w:color w:val="FFFFFF"/>
              </w:rPr>
              <w:t>Maturity</w:t>
            </w:r>
          </w:p>
        </w:tc>
        <w:tc>
          <w:tcPr>
            <w:tcW w:w="1418" w:type="dxa"/>
            <w:shd w:val="clear" w:color="auto" w:fill="FFFFFF"/>
            <w:vAlign w:val="center"/>
          </w:tcPr>
          <w:p w:rsidR="00065632" w:rsidRPr="0046431C" w:rsidRDefault="00065632" w:rsidP="00693AAF">
            <w:pPr>
              <w:spacing w:after="0"/>
              <w:jc w:val="center"/>
            </w:pPr>
            <w:r>
              <w:t>10 years</w:t>
            </w:r>
          </w:p>
        </w:tc>
        <w:tc>
          <w:tcPr>
            <w:tcW w:w="1417" w:type="dxa"/>
            <w:shd w:val="clear" w:color="auto" w:fill="FFFFFF"/>
            <w:vAlign w:val="center"/>
          </w:tcPr>
          <w:p w:rsidR="00065632" w:rsidRPr="0046431C" w:rsidRDefault="00065632" w:rsidP="00693AAF">
            <w:pPr>
              <w:spacing w:after="0"/>
              <w:jc w:val="center"/>
            </w:pPr>
            <w:r>
              <w:t>10 years</w:t>
            </w:r>
          </w:p>
        </w:tc>
        <w:tc>
          <w:tcPr>
            <w:tcW w:w="1418" w:type="dxa"/>
            <w:shd w:val="clear" w:color="auto" w:fill="FFFFFF"/>
            <w:vAlign w:val="center"/>
          </w:tcPr>
          <w:p w:rsidR="00065632" w:rsidRPr="0046431C" w:rsidRDefault="00065632" w:rsidP="00693AAF">
            <w:pPr>
              <w:spacing w:after="0"/>
              <w:jc w:val="center"/>
            </w:pPr>
            <w:r>
              <w:t>15 years</w:t>
            </w:r>
          </w:p>
        </w:tc>
        <w:tc>
          <w:tcPr>
            <w:tcW w:w="1417" w:type="dxa"/>
            <w:shd w:val="clear" w:color="auto" w:fill="FFFFFF"/>
            <w:vAlign w:val="center"/>
          </w:tcPr>
          <w:p w:rsidR="00065632" w:rsidRPr="0046431C" w:rsidRDefault="00065632" w:rsidP="00693AAF">
            <w:pPr>
              <w:spacing w:after="0"/>
              <w:jc w:val="center"/>
            </w:pPr>
            <w:r>
              <w:t>15 years</w:t>
            </w:r>
          </w:p>
        </w:tc>
      </w:tr>
      <w:tr w:rsidR="00065632">
        <w:tc>
          <w:tcPr>
            <w:tcW w:w="3430" w:type="dxa"/>
            <w:shd w:val="clear" w:color="auto" w:fill="C9DD03"/>
          </w:tcPr>
          <w:p w:rsidR="00065632" w:rsidRPr="00693AAF" w:rsidRDefault="00065632" w:rsidP="00693AAF">
            <w:pPr>
              <w:spacing w:after="0"/>
              <w:rPr>
                <w:b/>
                <w:bCs/>
                <w:color w:val="FFFFFF"/>
              </w:rPr>
            </w:pPr>
            <w:r w:rsidRPr="00693AAF">
              <w:rPr>
                <w:b/>
                <w:bCs/>
                <w:color w:val="FFFFFF"/>
              </w:rPr>
              <w:t>EU reference rate</w:t>
            </w:r>
          </w:p>
        </w:tc>
        <w:tc>
          <w:tcPr>
            <w:tcW w:w="1418" w:type="dxa"/>
            <w:shd w:val="clear" w:color="auto" w:fill="FFFFFF"/>
            <w:vAlign w:val="center"/>
          </w:tcPr>
          <w:p w:rsidR="00065632" w:rsidRPr="0046431C" w:rsidRDefault="00065632" w:rsidP="00693AAF">
            <w:pPr>
              <w:spacing w:after="0"/>
              <w:jc w:val="center"/>
            </w:pPr>
            <w:r>
              <w:t>0.52 %</w:t>
            </w:r>
          </w:p>
        </w:tc>
        <w:tc>
          <w:tcPr>
            <w:tcW w:w="1417" w:type="dxa"/>
            <w:shd w:val="clear" w:color="auto" w:fill="FFFFFF"/>
            <w:vAlign w:val="center"/>
          </w:tcPr>
          <w:p w:rsidR="00065632" w:rsidRPr="0046431C" w:rsidRDefault="00065632" w:rsidP="00693AAF">
            <w:pPr>
              <w:spacing w:after="0"/>
              <w:jc w:val="center"/>
            </w:pPr>
            <w:r>
              <w:t>0.52 %</w:t>
            </w:r>
          </w:p>
        </w:tc>
        <w:tc>
          <w:tcPr>
            <w:tcW w:w="1418" w:type="dxa"/>
            <w:shd w:val="clear" w:color="auto" w:fill="FFFFFF"/>
            <w:vAlign w:val="center"/>
          </w:tcPr>
          <w:p w:rsidR="00065632" w:rsidRPr="0046431C" w:rsidRDefault="00065632" w:rsidP="00693AAF">
            <w:pPr>
              <w:spacing w:after="0"/>
              <w:jc w:val="center"/>
            </w:pPr>
            <w:r>
              <w:t>0.52 %</w:t>
            </w:r>
          </w:p>
        </w:tc>
        <w:tc>
          <w:tcPr>
            <w:tcW w:w="1417" w:type="dxa"/>
            <w:shd w:val="clear" w:color="auto" w:fill="FFFFFF"/>
            <w:vAlign w:val="center"/>
          </w:tcPr>
          <w:p w:rsidR="00065632" w:rsidRPr="0046431C" w:rsidRDefault="00065632" w:rsidP="00693AAF">
            <w:pPr>
              <w:spacing w:after="0"/>
              <w:jc w:val="center"/>
            </w:pPr>
            <w:r>
              <w:t>0.52 %</w:t>
            </w:r>
          </w:p>
        </w:tc>
      </w:tr>
      <w:tr w:rsidR="00065632">
        <w:tc>
          <w:tcPr>
            <w:tcW w:w="3430" w:type="dxa"/>
            <w:shd w:val="clear" w:color="auto" w:fill="C9DD03"/>
          </w:tcPr>
          <w:p w:rsidR="00065632" w:rsidRPr="00693AAF" w:rsidRDefault="00065632" w:rsidP="00693AAF">
            <w:pPr>
              <w:spacing w:after="0"/>
              <w:rPr>
                <w:b/>
                <w:bCs/>
                <w:color w:val="FFFFFF"/>
              </w:rPr>
            </w:pPr>
            <w:r w:rsidRPr="00693AAF">
              <w:rPr>
                <w:b/>
                <w:bCs/>
                <w:color w:val="FFFFFF"/>
              </w:rPr>
              <w:t>Risk premium per Commission Communication</w:t>
            </w:r>
          </w:p>
          <w:p w:rsidR="00065632" w:rsidRPr="00693AAF" w:rsidRDefault="00065632" w:rsidP="00693AAF">
            <w:pPr>
              <w:spacing w:after="0"/>
              <w:rPr>
                <w:b/>
                <w:bCs/>
                <w:color w:val="FFFFFF"/>
              </w:rPr>
            </w:pPr>
            <w:r w:rsidRPr="00693AAF">
              <w:rPr>
                <w:color w:val="FFFFFF"/>
              </w:rPr>
              <w:lastRenderedPageBreak/>
              <w:t>-</w:t>
            </w:r>
            <w:r w:rsidRPr="00693AAF">
              <w:rPr>
                <w:b/>
                <w:bCs/>
                <w:color w:val="FFFFFF"/>
              </w:rPr>
              <w:t xml:space="preserve"> Category BB, ordinary security</w:t>
            </w:r>
          </w:p>
        </w:tc>
        <w:tc>
          <w:tcPr>
            <w:tcW w:w="1418" w:type="dxa"/>
            <w:shd w:val="clear" w:color="auto" w:fill="FFFFFF"/>
            <w:vAlign w:val="center"/>
          </w:tcPr>
          <w:p w:rsidR="00065632" w:rsidRPr="0046431C" w:rsidRDefault="00065632" w:rsidP="00693AAF">
            <w:pPr>
              <w:spacing w:after="0"/>
              <w:jc w:val="center"/>
            </w:pPr>
            <w:r>
              <w:lastRenderedPageBreak/>
              <w:t>2.2 %</w:t>
            </w:r>
          </w:p>
        </w:tc>
        <w:tc>
          <w:tcPr>
            <w:tcW w:w="1417" w:type="dxa"/>
            <w:shd w:val="clear" w:color="auto" w:fill="FFFFFF"/>
            <w:vAlign w:val="center"/>
          </w:tcPr>
          <w:p w:rsidR="00065632" w:rsidRPr="0046431C" w:rsidRDefault="00065632" w:rsidP="00693AAF">
            <w:pPr>
              <w:spacing w:after="0"/>
              <w:jc w:val="center"/>
            </w:pPr>
            <w:r>
              <w:t>2.2 %</w:t>
            </w:r>
          </w:p>
        </w:tc>
        <w:tc>
          <w:tcPr>
            <w:tcW w:w="1418" w:type="dxa"/>
            <w:shd w:val="clear" w:color="auto" w:fill="FFFFFF"/>
            <w:vAlign w:val="center"/>
          </w:tcPr>
          <w:p w:rsidR="00065632" w:rsidRPr="0046431C" w:rsidRDefault="00065632" w:rsidP="00693AAF">
            <w:pPr>
              <w:spacing w:after="0"/>
              <w:jc w:val="center"/>
            </w:pPr>
            <w:r>
              <w:t>2.2 %</w:t>
            </w:r>
          </w:p>
        </w:tc>
        <w:tc>
          <w:tcPr>
            <w:tcW w:w="1417" w:type="dxa"/>
            <w:shd w:val="clear" w:color="auto" w:fill="FFFFFF"/>
            <w:vAlign w:val="center"/>
          </w:tcPr>
          <w:p w:rsidR="00065632" w:rsidRPr="0046431C" w:rsidRDefault="00065632" w:rsidP="00693AAF">
            <w:pPr>
              <w:spacing w:after="0"/>
              <w:jc w:val="center"/>
            </w:pPr>
            <w:r>
              <w:t>2.2 %</w:t>
            </w:r>
          </w:p>
        </w:tc>
      </w:tr>
      <w:tr w:rsidR="00065632">
        <w:tc>
          <w:tcPr>
            <w:tcW w:w="3430" w:type="dxa"/>
            <w:shd w:val="clear" w:color="auto" w:fill="C9DD03"/>
          </w:tcPr>
          <w:p w:rsidR="00065632" w:rsidRPr="00693AAF" w:rsidRDefault="00065632" w:rsidP="00693AAF">
            <w:pPr>
              <w:spacing w:after="0"/>
              <w:rPr>
                <w:b/>
                <w:bCs/>
                <w:color w:val="FFFFFF"/>
              </w:rPr>
            </w:pPr>
            <w:r w:rsidRPr="00693AAF">
              <w:rPr>
                <w:b/>
                <w:bCs/>
                <w:color w:val="FFFFFF"/>
              </w:rPr>
              <w:lastRenderedPageBreak/>
              <w:t>Interest rate on IROP resources</w:t>
            </w:r>
          </w:p>
        </w:tc>
        <w:tc>
          <w:tcPr>
            <w:tcW w:w="1418" w:type="dxa"/>
            <w:shd w:val="clear" w:color="auto" w:fill="FFFFFF"/>
            <w:vAlign w:val="center"/>
          </w:tcPr>
          <w:p w:rsidR="00065632" w:rsidRPr="0046431C" w:rsidRDefault="00065632" w:rsidP="00693AAF">
            <w:pPr>
              <w:spacing w:after="0"/>
              <w:jc w:val="center"/>
            </w:pPr>
            <w:r>
              <w:t>0.5 %</w:t>
            </w:r>
          </w:p>
        </w:tc>
        <w:tc>
          <w:tcPr>
            <w:tcW w:w="1417" w:type="dxa"/>
            <w:shd w:val="clear" w:color="auto" w:fill="FFFFFF"/>
            <w:vAlign w:val="center"/>
          </w:tcPr>
          <w:p w:rsidR="00065632" w:rsidRPr="0046431C" w:rsidRDefault="00065632" w:rsidP="00693AAF">
            <w:pPr>
              <w:spacing w:after="0"/>
              <w:jc w:val="center"/>
            </w:pPr>
            <w:r>
              <w:t>0.5 %</w:t>
            </w:r>
          </w:p>
        </w:tc>
        <w:tc>
          <w:tcPr>
            <w:tcW w:w="1418" w:type="dxa"/>
            <w:shd w:val="clear" w:color="auto" w:fill="FFFFFF"/>
            <w:vAlign w:val="center"/>
          </w:tcPr>
          <w:p w:rsidR="00065632" w:rsidRPr="0046431C" w:rsidRDefault="00065632" w:rsidP="00693AAF">
            <w:pPr>
              <w:spacing w:after="0"/>
              <w:jc w:val="center"/>
            </w:pPr>
            <w:r>
              <w:t>0.5 %</w:t>
            </w:r>
          </w:p>
        </w:tc>
        <w:tc>
          <w:tcPr>
            <w:tcW w:w="1417" w:type="dxa"/>
            <w:shd w:val="clear" w:color="auto" w:fill="FFFFFF"/>
            <w:vAlign w:val="center"/>
          </w:tcPr>
          <w:p w:rsidR="00065632" w:rsidRPr="0046431C" w:rsidRDefault="00065632" w:rsidP="00693AAF">
            <w:pPr>
              <w:spacing w:after="0"/>
              <w:jc w:val="center"/>
            </w:pPr>
            <w:r>
              <w:t>0.5 %</w:t>
            </w:r>
          </w:p>
        </w:tc>
      </w:tr>
      <w:tr w:rsidR="00065632">
        <w:tc>
          <w:tcPr>
            <w:tcW w:w="3430" w:type="dxa"/>
            <w:shd w:val="clear" w:color="auto" w:fill="C9DD03"/>
          </w:tcPr>
          <w:p w:rsidR="00065632" w:rsidRPr="00693AAF" w:rsidRDefault="00065632" w:rsidP="00693AAF">
            <w:pPr>
              <w:spacing w:after="0"/>
              <w:rPr>
                <w:b/>
                <w:bCs/>
                <w:color w:val="FFFFFF"/>
              </w:rPr>
            </w:pPr>
            <w:r w:rsidRPr="00693AAF">
              <w:rPr>
                <w:b/>
                <w:bCs/>
                <w:color w:val="FFFFFF"/>
              </w:rPr>
              <w:t>Interest rate for final beneficiary</w:t>
            </w:r>
          </w:p>
        </w:tc>
        <w:tc>
          <w:tcPr>
            <w:tcW w:w="1418" w:type="dxa"/>
            <w:shd w:val="clear" w:color="auto" w:fill="FFFFFF"/>
            <w:vAlign w:val="center"/>
          </w:tcPr>
          <w:p w:rsidR="00065632" w:rsidRPr="0046431C" w:rsidRDefault="00065632" w:rsidP="00693AAF">
            <w:pPr>
              <w:spacing w:after="0"/>
              <w:jc w:val="center"/>
            </w:pPr>
            <w:r>
              <w:t>1.0 %</w:t>
            </w:r>
          </w:p>
        </w:tc>
        <w:tc>
          <w:tcPr>
            <w:tcW w:w="1417" w:type="dxa"/>
            <w:shd w:val="clear" w:color="auto" w:fill="FFFFFF"/>
            <w:vAlign w:val="center"/>
          </w:tcPr>
          <w:p w:rsidR="00065632" w:rsidRPr="0046431C" w:rsidRDefault="00065632" w:rsidP="00693AAF">
            <w:pPr>
              <w:spacing w:after="0"/>
              <w:jc w:val="center"/>
            </w:pPr>
            <w:r>
              <w:t>1.0 %</w:t>
            </w:r>
          </w:p>
        </w:tc>
        <w:tc>
          <w:tcPr>
            <w:tcW w:w="1418" w:type="dxa"/>
            <w:shd w:val="clear" w:color="auto" w:fill="FFFFFF"/>
            <w:vAlign w:val="center"/>
          </w:tcPr>
          <w:p w:rsidR="00065632" w:rsidRPr="0046431C" w:rsidRDefault="00065632" w:rsidP="00693AAF">
            <w:pPr>
              <w:spacing w:after="0"/>
              <w:jc w:val="center"/>
            </w:pPr>
            <w:r>
              <w:t>1.0 %</w:t>
            </w:r>
          </w:p>
        </w:tc>
        <w:tc>
          <w:tcPr>
            <w:tcW w:w="1417" w:type="dxa"/>
            <w:shd w:val="clear" w:color="auto" w:fill="FFFFFF"/>
            <w:vAlign w:val="center"/>
          </w:tcPr>
          <w:p w:rsidR="00065632" w:rsidRPr="0046431C" w:rsidRDefault="00065632" w:rsidP="00693AAF">
            <w:pPr>
              <w:spacing w:after="0"/>
              <w:jc w:val="center"/>
            </w:pPr>
            <w:r>
              <w:t>1.0 %</w:t>
            </w:r>
          </w:p>
        </w:tc>
      </w:tr>
      <w:tr w:rsidR="00065632">
        <w:tc>
          <w:tcPr>
            <w:tcW w:w="3430" w:type="dxa"/>
            <w:shd w:val="clear" w:color="auto" w:fill="C9DD03"/>
          </w:tcPr>
          <w:p w:rsidR="00065632" w:rsidRPr="00693AAF" w:rsidRDefault="00065632" w:rsidP="00693AAF">
            <w:pPr>
              <w:spacing w:after="0"/>
              <w:rPr>
                <w:b/>
                <w:bCs/>
                <w:color w:val="FFFFFF"/>
              </w:rPr>
            </w:pPr>
            <w:r w:rsidRPr="00693AAF">
              <w:rPr>
                <w:b/>
                <w:bCs/>
                <w:color w:val="FFFFFF"/>
              </w:rPr>
              <w:t>Gross Grant Equivalent</w:t>
            </w:r>
          </w:p>
        </w:tc>
        <w:tc>
          <w:tcPr>
            <w:tcW w:w="1418" w:type="dxa"/>
            <w:shd w:val="clear" w:color="auto" w:fill="FFFFFF"/>
            <w:vAlign w:val="center"/>
          </w:tcPr>
          <w:p w:rsidR="00065632" w:rsidRPr="00693AAF" w:rsidRDefault="00065632" w:rsidP="00693AAF">
            <w:pPr>
              <w:spacing w:after="0"/>
              <w:jc w:val="center"/>
              <w:rPr>
                <w:b/>
                <w:bCs/>
              </w:rPr>
            </w:pPr>
            <w:r w:rsidRPr="00693AAF">
              <w:rPr>
                <w:b/>
                <w:bCs/>
              </w:rPr>
              <w:t>CZK 0.44 million</w:t>
            </w:r>
          </w:p>
        </w:tc>
        <w:tc>
          <w:tcPr>
            <w:tcW w:w="1417" w:type="dxa"/>
            <w:shd w:val="clear" w:color="auto" w:fill="FFFFFF"/>
            <w:vAlign w:val="center"/>
          </w:tcPr>
          <w:p w:rsidR="00065632" w:rsidRPr="00693AAF" w:rsidRDefault="00065632" w:rsidP="00693AAF">
            <w:pPr>
              <w:spacing w:after="0"/>
              <w:jc w:val="center"/>
              <w:rPr>
                <w:b/>
                <w:bCs/>
              </w:rPr>
            </w:pPr>
            <w:r w:rsidRPr="00693AAF">
              <w:rPr>
                <w:b/>
                <w:bCs/>
              </w:rPr>
              <w:t>CZK 0.66 million</w:t>
            </w:r>
          </w:p>
        </w:tc>
        <w:tc>
          <w:tcPr>
            <w:tcW w:w="1418" w:type="dxa"/>
            <w:shd w:val="clear" w:color="auto" w:fill="FFFFFF"/>
            <w:vAlign w:val="center"/>
          </w:tcPr>
          <w:p w:rsidR="00065632" w:rsidRPr="00693AAF" w:rsidRDefault="00065632" w:rsidP="00693AAF">
            <w:pPr>
              <w:spacing w:after="0"/>
              <w:jc w:val="center"/>
              <w:rPr>
                <w:b/>
                <w:bCs/>
              </w:rPr>
            </w:pPr>
            <w:r w:rsidRPr="00693AAF">
              <w:rPr>
                <w:b/>
                <w:bCs/>
              </w:rPr>
              <w:t>CZK 1.92 million</w:t>
            </w:r>
          </w:p>
        </w:tc>
        <w:tc>
          <w:tcPr>
            <w:tcW w:w="1417" w:type="dxa"/>
            <w:shd w:val="clear" w:color="auto" w:fill="FFFFFF"/>
            <w:vAlign w:val="center"/>
          </w:tcPr>
          <w:p w:rsidR="00065632" w:rsidRPr="00693AAF" w:rsidRDefault="00065632" w:rsidP="00693AAF">
            <w:pPr>
              <w:spacing w:after="0"/>
              <w:jc w:val="center"/>
              <w:rPr>
                <w:b/>
                <w:bCs/>
              </w:rPr>
            </w:pPr>
            <w:r w:rsidRPr="00693AAF">
              <w:rPr>
                <w:b/>
                <w:bCs/>
              </w:rPr>
              <w:t>CZK 2.58 million</w:t>
            </w:r>
          </w:p>
        </w:tc>
      </w:tr>
      <w:tr w:rsidR="00065632">
        <w:tc>
          <w:tcPr>
            <w:tcW w:w="3430" w:type="dxa"/>
            <w:shd w:val="clear" w:color="auto" w:fill="C9DD03"/>
          </w:tcPr>
          <w:p w:rsidR="00065632" w:rsidRPr="00693AAF" w:rsidRDefault="00065632" w:rsidP="00693AAF">
            <w:pPr>
              <w:spacing w:after="0"/>
              <w:rPr>
                <w:b/>
                <w:bCs/>
                <w:color w:val="FFFFFF"/>
              </w:rPr>
            </w:pPr>
            <w:r w:rsidRPr="00693AAF">
              <w:rPr>
                <w:b/>
                <w:bCs/>
                <w:color w:val="FFFFFF"/>
              </w:rPr>
              <w:t>GGE as percentage of total investment</w:t>
            </w:r>
          </w:p>
        </w:tc>
        <w:tc>
          <w:tcPr>
            <w:tcW w:w="1418" w:type="dxa"/>
            <w:shd w:val="clear" w:color="auto" w:fill="FFFFFF"/>
            <w:vAlign w:val="center"/>
          </w:tcPr>
          <w:p w:rsidR="00065632" w:rsidRPr="00693AAF" w:rsidRDefault="00065632" w:rsidP="00693AAF">
            <w:pPr>
              <w:spacing w:after="0"/>
              <w:jc w:val="center"/>
              <w:rPr>
                <w:b/>
                <w:bCs/>
              </w:rPr>
            </w:pPr>
            <w:r w:rsidRPr="00693AAF">
              <w:rPr>
                <w:b/>
                <w:bCs/>
              </w:rPr>
              <w:t>8.8 %</w:t>
            </w:r>
          </w:p>
        </w:tc>
        <w:tc>
          <w:tcPr>
            <w:tcW w:w="1417" w:type="dxa"/>
            <w:shd w:val="clear" w:color="auto" w:fill="FFFFFF"/>
            <w:vAlign w:val="center"/>
          </w:tcPr>
          <w:p w:rsidR="00065632" w:rsidRPr="00693AAF" w:rsidRDefault="00065632" w:rsidP="00693AAF">
            <w:pPr>
              <w:spacing w:after="0"/>
              <w:jc w:val="center"/>
              <w:rPr>
                <w:b/>
                <w:bCs/>
              </w:rPr>
            </w:pPr>
            <w:r w:rsidRPr="00693AAF">
              <w:rPr>
                <w:b/>
                <w:bCs/>
              </w:rPr>
              <w:t>13.2 %</w:t>
            </w:r>
          </w:p>
        </w:tc>
        <w:tc>
          <w:tcPr>
            <w:tcW w:w="1418" w:type="dxa"/>
            <w:shd w:val="clear" w:color="auto" w:fill="FFFFFF"/>
            <w:vAlign w:val="center"/>
          </w:tcPr>
          <w:p w:rsidR="00065632" w:rsidRPr="00693AAF" w:rsidRDefault="00065632" w:rsidP="00693AAF">
            <w:pPr>
              <w:spacing w:after="0"/>
              <w:jc w:val="center"/>
              <w:rPr>
                <w:b/>
                <w:bCs/>
              </w:rPr>
            </w:pPr>
            <w:r w:rsidRPr="00693AAF">
              <w:rPr>
                <w:b/>
                <w:bCs/>
              </w:rPr>
              <w:t>12.8 %</w:t>
            </w:r>
          </w:p>
        </w:tc>
        <w:tc>
          <w:tcPr>
            <w:tcW w:w="1417" w:type="dxa"/>
            <w:shd w:val="clear" w:color="auto" w:fill="FFFFFF"/>
            <w:vAlign w:val="center"/>
          </w:tcPr>
          <w:p w:rsidR="00065632" w:rsidRPr="00693AAF" w:rsidRDefault="00065632" w:rsidP="00693AAF">
            <w:pPr>
              <w:spacing w:after="0"/>
              <w:jc w:val="center"/>
              <w:rPr>
                <w:b/>
                <w:bCs/>
              </w:rPr>
            </w:pPr>
            <w:r w:rsidRPr="00693AAF">
              <w:rPr>
                <w:b/>
                <w:bCs/>
              </w:rPr>
              <w:t>17.2 %</w:t>
            </w:r>
          </w:p>
        </w:tc>
      </w:tr>
    </w:tbl>
    <w:p w:rsidR="00065632" w:rsidRDefault="00065632" w:rsidP="00742FB5">
      <w:pPr>
        <w:pStyle w:val="Titulek"/>
        <w:rPr>
          <w:sz w:val="19"/>
          <w:szCs w:val="19"/>
        </w:rPr>
      </w:pPr>
      <w:bookmarkStart w:id="217" w:name="_Toc417655513"/>
      <w:bookmarkStart w:id="218" w:name="_Toc426033924"/>
      <w:r>
        <w:t xml:space="preserve">Table </w:t>
      </w:r>
      <w:r>
        <w:fldChar w:fldCharType="begin"/>
      </w:r>
      <w:r>
        <w:instrText xml:space="preserve"> SEQ Tabulka \* ARABIC </w:instrText>
      </w:r>
      <w:r>
        <w:fldChar w:fldCharType="separate"/>
      </w:r>
      <w:r>
        <w:rPr>
          <w:noProof/>
        </w:rPr>
        <w:t>15</w:t>
      </w:r>
      <w:r>
        <w:fldChar w:fldCharType="end"/>
      </w:r>
      <w:r>
        <w:t>: Calculation of gross grant equivalent in model projects</w:t>
      </w:r>
      <w:bookmarkEnd w:id="217"/>
      <w:bookmarkEnd w:id="218"/>
    </w:p>
    <w:p w:rsidR="00065632" w:rsidRDefault="00065632" w:rsidP="005C281A">
      <w:pPr>
        <w:pStyle w:val="Textkomente"/>
        <w:rPr>
          <w:sz w:val="19"/>
          <w:szCs w:val="19"/>
        </w:rPr>
      </w:pPr>
      <w:r>
        <w:rPr>
          <w:sz w:val="19"/>
          <w:szCs w:val="19"/>
        </w:rPr>
        <w:t>The expected typical attributes of projects which will be applying for IROP aid under specific objective 2.5 were selected for the calculation of model projects.</w:t>
      </w:r>
    </w:p>
    <w:p w:rsidR="00065632" w:rsidRDefault="00065632" w:rsidP="0077225E"/>
    <w:p w:rsidR="00065632" w:rsidRDefault="00065632" w:rsidP="0077225E">
      <w:r>
        <w:br w:type="page"/>
      </w:r>
    </w:p>
    <w:p w:rsidR="00065632" w:rsidRPr="00FF775B" w:rsidRDefault="00065632" w:rsidP="0077225E">
      <w:pPr>
        <w:pStyle w:val="Nadpis2"/>
      </w:pPr>
      <w:bookmarkStart w:id="219" w:name="_Toc400580864"/>
      <w:bookmarkStart w:id="220" w:name="_Toc418767171"/>
      <w:bookmarkStart w:id="221" w:name="_Toc426033681"/>
      <w:r>
        <w:lastRenderedPageBreak/>
        <w:t>Specification of the expected results</w:t>
      </w:r>
      <w:bookmarkEnd w:id="219"/>
      <w:bookmarkEnd w:id="220"/>
      <w:bookmarkEnd w:id="221"/>
    </w:p>
    <w:p w:rsidR="00065632" w:rsidRDefault="00065632" w:rsidP="0077225E">
      <w:pPr>
        <w:rPr>
          <w:color w:val="000000"/>
        </w:rPr>
      </w:pPr>
      <w:r>
        <w:rPr>
          <w:color w:val="000000"/>
        </w:rPr>
        <w:t xml:space="preserve">The Contractor submitted the proposed IROP indicator system to a detailed analysis based on the latest version of the operational programme (version dated 15/12/2014). </w:t>
      </w:r>
    </w:p>
    <w:p w:rsidR="00065632" w:rsidRDefault="00065632" w:rsidP="0077225E">
      <w:pPr>
        <w:pStyle w:val="Nadpis3"/>
      </w:pPr>
      <w:bookmarkStart w:id="222" w:name="_Toc400580865"/>
      <w:bookmarkStart w:id="223" w:name="_Toc418767172"/>
      <w:bookmarkStart w:id="224" w:name="_Toc426033682"/>
      <w:r>
        <w:t>Draft indicators</w:t>
      </w:r>
      <w:bookmarkEnd w:id="222"/>
      <w:bookmarkEnd w:id="223"/>
      <w:bookmarkEnd w:id="224"/>
    </w:p>
    <w:p w:rsidR="00065632" w:rsidRDefault="00065632" w:rsidP="0077225E">
      <w:r>
        <w:t xml:space="preserve">The Contractor has not assessed the relevance of the proposed system of result and output indicators since the setting of the functional system is the responsibility of the Managing Authority – the Contractor does not anticipate the need to change the monitored indicators due to the transformation of the subsidy scheme into aid implemented with the use of financial instruments in the specific objective 2.5; only the setting of the milestone and target values must undergo the needed change. </w:t>
      </w:r>
    </w:p>
    <w:p w:rsidR="00065632" w:rsidRDefault="00065632" w:rsidP="0077225E">
      <w:pPr>
        <w:pStyle w:val="Nadpis3"/>
      </w:pPr>
      <w:bookmarkStart w:id="225" w:name="_Toc400580866"/>
      <w:bookmarkStart w:id="226" w:name="_Toc418767173"/>
      <w:bookmarkStart w:id="227" w:name="_Toc426033683"/>
      <w:r>
        <w:t>Key factors to be taken into consideration when reviewing the indicator values</w:t>
      </w:r>
      <w:bookmarkEnd w:id="225"/>
      <w:bookmarkEnd w:id="226"/>
      <w:bookmarkEnd w:id="227"/>
    </w:p>
    <w:p w:rsidR="00065632" w:rsidRDefault="00065632" w:rsidP="0077225E">
      <w:r>
        <w:t xml:space="preserve">The setting of the milestone and target values of the indicator system is very closely linked to the choice of the particular final form of the individual financial instruments and their parameters; it must be based on the knowledge of the specific limitations and must reflect the clarification of the remaining open issues and risks – for these reasons, </w:t>
      </w:r>
      <w:r>
        <w:rPr>
          <w:b/>
          <w:bCs/>
        </w:rPr>
        <w:t>the Contractor cannot propose specific new values into which the existing monitored indicators should be converted</w:t>
      </w:r>
      <w:r>
        <w:t xml:space="preserve">. </w:t>
      </w:r>
    </w:p>
    <w:p w:rsidR="00065632" w:rsidRDefault="00065632" w:rsidP="0077225E">
      <w:r>
        <w:t>Four key factors can be identified, which in the case of a change of the form of the aid from subsidy to financial instruments can have a significant impact on the adequacy of the setting of the values of indicators or, as appropriate, may require conversion of the currently proposed values:</w:t>
      </w:r>
    </w:p>
    <w:p w:rsidR="00065632" w:rsidRPr="003C39CF" w:rsidRDefault="00065632" w:rsidP="00065632">
      <w:pPr>
        <w:pStyle w:val="Odstavecseseznamem"/>
        <w:numPr>
          <w:ilvl w:val="0"/>
          <w:numId w:val="30"/>
        </w:numPr>
      </w:pPr>
      <w:r>
        <w:rPr>
          <w:b/>
          <w:bCs/>
        </w:rPr>
        <w:t>Parameters of financial instruments</w:t>
      </w:r>
      <w:r>
        <w:t xml:space="preserve"> – the choice of the final design of the financial instrument, mainly the intensity of granted aid (it can differ among projects, in particular depending on the result of the applicant's risk scoring, based on the selected state aid scheme), the degree of use of preferential remuneration and the ability to ensure adequate sources of co-financing (mainly the rate of co-financing and results of setting up the </w:t>
      </w:r>
      <w:r>
        <w:rPr>
          <w:i/>
          <w:iCs/>
        </w:rPr>
        <w:t>rate of risk sharing</w:t>
      </w:r>
      <w:r>
        <w:t>), and the proportion of the subsidy component within the instrument.</w:t>
      </w:r>
    </w:p>
    <w:p w:rsidR="00065632" w:rsidRDefault="00065632" w:rsidP="00065632">
      <w:pPr>
        <w:pStyle w:val="Odstavecseseznamem"/>
        <w:numPr>
          <w:ilvl w:val="0"/>
          <w:numId w:val="30"/>
        </w:numPr>
      </w:pPr>
      <w:r>
        <w:rPr>
          <w:b/>
          <w:bCs/>
        </w:rPr>
        <w:t>Time delay</w:t>
      </w:r>
      <w:r>
        <w:t xml:space="preserve"> – The schedule for announcing first calls for tender (and the relating simultaneously set indicators) allowing for the possibility of launching the first calls in certain areas already in Q2 2015, however the launch of financial instruments will not be possible earlier than in Q1 2016 (see the conclusions of Chapter 5.2.9 Action Plan).</w:t>
      </w:r>
    </w:p>
    <w:p w:rsidR="00065632" w:rsidRPr="002033B3" w:rsidRDefault="00065632" w:rsidP="00065632">
      <w:pPr>
        <w:pStyle w:val="Odstavecseseznamem"/>
        <w:numPr>
          <w:ilvl w:val="0"/>
          <w:numId w:val="30"/>
        </w:numPr>
      </w:pPr>
      <w:r>
        <w:rPr>
          <w:b/>
          <w:bCs/>
        </w:rPr>
        <w:t>Temporary lower rate of interest demand</w:t>
      </w:r>
      <w:r>
        <w:t xml:space="preserve"> – Based on the available experience with the JESSICA and other instruments that have already been used in the Czech Republic, there is a slower initial rate of interest demand for new instruments – the effect of the unknown and untested phenomena. Based on the experience again, it can be expected that the situation will improve gradually as soon as the effect of communication campaigns is more broadly and comprehensively perceived (we recommend starting it without delay and on a wider scale) and the particular (positive) experience of the applicants is reflected. The possible negative effect of the action of this factor may adequately positively balance the effect of expectation of a faster release of the funds for projects aided through the financial instruments – thanks to immediate certification of the tranche of funds at the time of approval of the instrument and thanks to the lower administrative demands on processing the application for aid and issuing the decision to grant the aid.</w:t>
      </w:r>
    </w:p>
    <w:p w:rsidR="00065632" w:rsidRDefault="00065632" w:rsidP="00065632">
      <w:pPr>
        <w:pStyle w:val="Odstavecseseznamem"/>
        <w:numPr>
          <w:ilvl w:val="0"/>
          <w:numId w:val="30"/>
        </w:numPr>
      </w:pPr>
      <w:r>
        <w:rPr>
          <w:b/>
          <w:bCs/>
        </w:rPr>
        <w:t>Inclusion of the multiplier effect</w:t>
      </w:r>
      <w:r>
        <w:t xml:space="preserve"> – It is necessary to include in the calculation of the indicator system the revolving effect of the proposed financial instruments at two basic levels:</w:t>
      </w:r>
    </w:p>
    <w:p w:rsidR="00065632" w:rsidRDefault="00065632" w:rsidP="00065632">
      <w:pPr>
        <w:pStyle w:val="Odstavecseseznamem"/>
        <w:numPr>
          <w:ilvl w:val="1"/>
          <w:numId w:val="30"/>
        </w:numPr>
        <w:ind w:left="993"/>
      </w:pPr>
      <w:r>
        <w:t>at the level of the option of re-using the returning resources by the established fund (repayment of the loan principal, payment of interest) and their reinvesting (impact on the result and output indicators);</w:t>
      </w:r>
    </w:p>
    <w:p w:rsidR="00065632" w:rsidRDefault="00065632" w:rsidP="00065632">
      <w:pPr>
        <w:pStyle w:val="Odstavecseseznamem"/>
        <w:numPr>
          <w:ilvl w:val="1"/>
          <w:numId w:val="30"/>
        </w:numPr>
        <w:ind w:left="993"/>
      </w:pPr>
      <w:r>
        <w:t>at the level of leverage where it is possible to use a higher level of involvement of the co-financing entities to aid the projects or, more precisely, to aid projects up to 100% of the eligible investment costs with limited involvement of the IROP resources (impact on the result and output indicators);</w:t>
      </w:r>
    </w:p>
    <w:p w:rsidR="00065632" w:rsidRDefault="00065632" w:rsidP="00065632">
      <w:pPr>
        <w:pStyle w:val="Odstavecseseznamem"/>
        <w:numPr>
          <w:ilvl w:val="1"/>
          <w:numId w:val="30"/>
        </w:numPr>
        <w:ind w:left="993"/>
      </w:pPr>
      <w:proofErr w:type="gramStart"/>
      <w:r>
        <w:lastRenderedPageBreak/>
        <w:t>the</w:t>
      </w:r>
      <w:proofErr w:type="gramEnd"/>
      <w:r>
        <w:t xml:space="preserve"> indirect impacts of the introduction of financial instruments also include the positive effect regarding the increase in the efficiency of the ESI funds spending – the returnable resource stimulates the final beneficiaries to minimise costs and to think more economically when making decisions on investments.</w:t>
      </w:r>
    </w:p>
    <w:p w:rsidR="00065632" w:rsidRDefault="00065632" w:rsidP="0077225E">
      <w:r>
        <w:rPr>
          <w:b/>
          <w:bCs/>
        </w:rPr>
        <w:t>At the present moment of the currently conducted ex-ante assessment</w:t>
      </w:r>
      <w:r>
        <w:t xml:space="preserve">, which only after its completion will be included among the sources for the decision-making of the Ministry as the Managing Authority on the use of the financial instruments in a new operational programme, </w:t>
      </w:r>
      <w:r>
        <w:rPr>
          <w:b/>
          <w:bCs/>
        </w:rPr>
        <w:t>it is not possible to clearly quantify the expected impacts of the presented factors on the credibility and reliability of the current setting of the indicator system</w:t>
      </w:r>
      <w:r>
        <w:t xml:space="preserve">. The Contractor proposed a framework method how these four key factors can be reflected in the preparation of indicators – they are described in the following subsections of the report. The Contractor recommends, however, that the representatives of </w:t>
      </w:r>
      <w:proofErr w:type="spellStart"/>
      <w:r>
        <w:t>MoRD</w:t>
      </w:r>
      <w:proofErr w:type="spellEnd"/>
      <w:r>
        <w:t xml:space="preserve"> project management would further extensively and regularly communicate with the administrators responsible for the setting of the indicators and continuously update the conclusions of the calculations and considerations of the presented recommendations, depending on the development of the implementation of the instruments in the IROP 2014-2020.</w:t>
      </w:r>
    </w:p>
    <w:p w:rsidR="00065632" w:rsidRDefault="00065632" w:rsidP="0077225E">
      <w:pPr>
        <w:pStyle w:val="CaptionIntroductionparagraph"/>
      </w:pPr>
      <w:r>
        <w:t>Parameters of the financial instruments</w:t>
      </w:r>
    </w:p>
    <w:p w:rsidR="00065632" w:rsidRDefault="00065632" w:rsidP="0077225E">
      <w:r>
        <w:t>The Contractor proposes that after the final approval of the particular form of the financial instruments, these key attributes were adopted and these data compared with the proposal of the current form of the subsidy aid. The identified differences should be submitted to the administrator of the calculation of the related indicators for the particular area of intervention and the administrator shall include the new data in the current calculation formula that was used for the design of the milestone and target indicators during the preparation of the programme document. Besides this procedure, an adequate guide may be insertion of conclusively valid attributes in the modelling instrument of multiplier effects, which is an annex to the ex-ante assessment, and calculation of the effect of increased number of assisted projects on the values of the monitored indicators.</w:t>
      </w:r>
    </w:p>
    <w:p w:rsidR="00065632" w:rsidRDefault="00065632" w:rsidP="0077225E">
      <w:r>
        <w:t xml:space="preserve">A very important element, which can significantly deflect the setting of the indicator system, is the potential involvement bond financing, generating a significant volume of aided projects outside the original modelled multiplier effects (associated with the quantification of the impacts of the revolving nature of the instruments). </w:t>
      </w:r>
    </w:p>
    <w:p w:rsidR="00065632" w:rsidRDefault="00065632" w:rsidP="0077225E">
      <w:pPr>
        <w:pStyle w:val="CaptionIntroductionparagraph"/>
      </w:pPr>
      <w:r>
        <w:t>Time delay</w:t>
      </w:r>
    </w:p>
    <w:p w:rsidR="00065632" w:rsidRDefault="00065632" w:rsidP="0077225E">
      <w:r>
        <w:t>The current modelling instrument of the multiplier effect (annex to the ex-ante analysis), which is one of the key materials for the possibility of refinement of the set-up of values of indicator after the introduction of financial instruments, is set up in accordance with the presupposition of commencement of drawing as envisaged by the action timetable, included in the second interim report. In the event that there will be a deviation from the plan or that the currently used parameters of the modelling set-up will be deemed inadequate by the Contracting Authority, it is possible to adjust the instrument to deliver more accurate and relevant conclusions, by means of inputs in the adjustment of the indicators.</w:t>
      </w:r>
    </w:p>
    <w:p w:rsidR="00065632" w:rsidRDefault="00065632" w:rsidP="0077225E">
      <w:r>
        <w:t>If it would be decided to launch the first round of calls for subsidies where the financial instruments would replace the subsidy financing in the “second round”, i.e. after their final resolution and approval by the relevant national and European authorities, it is necessary to incorporate these assumptions in the model (changes in the available allocation) and by correlation in the calculation formula following up the conclusions of modelling.</w:t>
      </w:r>
    </w:p>
    <w:p w:rsidR="00065632" w:rsidRDefault="00065632" w:rsidP="0077225E">
      <w:pPr>
        <w:pStyle w:val="CaptionIntroductionparagraph"/>
      </w:pPr>
      <w:r>
        <w:t>Temporary lower rate of interest demand</w:t>
      </w:r>
    </w:p>
    <w:p w:rsidR="00065632" w:rsidRDefault="00065632" w:rsidP="0077225E">
      <w:r>
        <w:t>The Contractor set a steady rate of drawing of the initial allocation of the specific objective 2.5 for five years (i.e. drawing of 20% of the allocation in 2016–2020), which stems from the following assumptions:</w:t>
      </w:r>
    </w:p>
    <w:p w:rsidR="00065632" w:rsidRDefault="00065632" w:rsidP="00065632">
      <w:pPr>
        <w:pStyle w:val="Odstavecseseznamem"/>
        <w:numPr>
          <w:ilvl w:val="0"/>
          <w:numId w:val="31"/>
        </w:numPr>
      </w:pPr>
      <w:r>
        <w:t>At the time when the discussion on the material of the Ministry of Finance regarding the set-up of the national strategy towards the use of financial instruments by the Government of the Czech Republic is accomplished (assumed date is February 2015), the issue will capture more space in the public debate, which will allow initial familiarisation of the potential applicants with the upcoming changes in the allocation of ESI funds.</w:t>
      </w:r>
    </w:p>
    <w:p w:rsidR="00065632" w:rsidRDefault="00065632" w:rsidP="00065632">
      <w:pPr>
        <w:pStyle w:val="Odstavecseseznamem"/>
        <w:numPr>
          <w:ilvl w:val="0"/>
          <w:numId w:val="31"/>
        </w:numPr>
      </w:pPr>
      <w:r>
        <w:t xml:space="preserve">After the decision of the government to support the incorporation of the financial instruments in the operational programmes and thereafter with the positive decision of the </w:t>
      </w:r>
      <w:proofErr w:type="spellStart"/>
      <w:r>
        <w:t>MoRD</w:t>
      </w:r>
      <w:proofErr w:type="spellEnd"/>
      <w:r>
        <w:t xml:space="preserve"> and of other ministries on the involvement of the financial instruments in their programmes, a comprehensive information campaign will be launched, which will explain to the potential applicants the benefits of </w:t>
      </w:r>
      <w:r>
        <w:lastRenderedPageBreak/>
        <w:t>converting the selected areas into financial instruments (see chapter 3, as well as the potentially higher aid intensity as compared to the trend of its decline for the new period), explain the changes (streamlining) in the mechanism of functioning of the process from application to implementation, and highlight the successful aspects of the functioning of the available financial instruments (JESSICA, PANEL).</w:t>
      </w:r>
    </w:p>
    <w:p w:rsidR="00065632" w:rsidRDefault="00065632" w:rsidP="00065632">
      <w:pPr>
        <w:pStyle w:val="Odstavecseseznamem"/>
        <w:numPr>
          <w:ilvl w:val="0"/>
          <w:numId w:val="31"/>
        </w:numPr>
      </w:pPr>
      <w:r>
        <w:t xml:space="preserve">The potentially lower rate of interest demand for the drawing on the financial instruments will be compensated to some extent by the acceleration of the process of allocating the aid (the funds are certified in advance) and, at the same time, by the fact that they are included in the calculations of the indicators immediately after the transfer from the fund of funds to earmarked funds of the </w:t>
      </w:r>
      <w:proofErr w:type="spellStart"/>
      <w:r>
        <w:t>MoRD</w:t>
      </w:r>
      <w:proofErr w:type="spellEnd"/>
      <w:r>
        <w:t xml:space="preserve"> (fulfilment of financial indicators).</w:t>
      </w:r>
    </w:p>
    <w:p w:rsidR="00065632" w:rsidRDefault="00065632" w:rsidP="0077225E">
      <w:pPr>
        <w:pStyle w:val="CaptionIntroductionparagraph"/>
      </w:pPr>
      <w:r>
        <w:t>Including the multiplier effect</w:t>
      </w:r>
    </w:p>
    <w:p w:rsidR="00065632" w:rsidRDefault="00065632" w:rsidP="0077225E">
      <w:r>
        <w:t>To take account of the first two effects, it is possible to use the conclusions of the multiplication modelling in accordance with the ex-ante assessment where the third effect can be allowed for only with the use of a conservative expert estimate. In the result (nationwide) indicators it is necessary to restore the coordination activities with other managing authorities, particularly with those that are congruently considering the possible introduction of financial instruments in areas that are measured through a shared indicator.</w:t>
      </w:r>
    </w:p>
    <w:p w:rsidR="00065632" w:rsidRDefault="00065632" w:rsidP="0077225E">
      <w:pPr>
        <w:pStyle w:val="Nadpis3"/>
      </w:pPr>
      <w:bookmarkStart w:id="228" w:name="_Toc418767174"/>
      <w:bookmarkStart w:id="229" w:name="_Toc426033684"/>
      <w:r>
        <w:t>Sample indicator calculation – the number of aided projects</w:t>
      </w:r>
      <w:bookmarkEnd w:id="228"/>
      <w:bookmarkEnd w:id="229"/>
    </w:p>
    <w:p w:rsidR="00065632" w:rsidRDefault="00065632" w:rsidP="0077225E">
      <w:r>
        <w:t xml:space="preserve">According to the information available, the indicator is most commonly determined in the current practice by allocation conversion against the costs of a typical project (possibly broken down into several groups of typical projects according to the investment amount and the estimated interest in these individual project groups) and subsequently the known number of aided projects is further converted against the typical attributes of the particular indicator (annual reduction in greenhouse gases emissions, reduction in the final energy consumption, etc.). It is possible to proceed similarly also in the case of financial instruments, except that </w:t>
      </w:r>
      <w:proofErr w:type="gramStart"/>
      <w:r>
        <w:t>here,</w:t>
      </w:r>
      <w:proofErr w:type="gramEnd"/>
      <w:r>
        <w:t xml:space="preserve"> the expected multiplier effect is added, increasing the value of the number of assisted projects.</w:t>
      </w:r>
    </w:p>
    <w:p w:rsidR="00065632" w:rsidRDefault="00065632" w:rsidP="006C0793">
      <w:r>
        <w:t xml:space="preserve">The Contractor does not assume that it would be necessary to make any changes to the indicator system or, as appropriate, to the values presented in the performance framework. Although the preparation of the financial instruments will lead to a delay in the commencement of the drawing in selected areas of the IROP, this deficiency will be offset by faster certification and therefore, </w:t>
      </w:r>
      <w:r>
        <w:rPr>
          <w:b/>
          <w:bCs/>
        </w:rPr>
        <w:t>it is not necessary to change the value of the milestone indicated for the year 2018.</w:t>
      </w:r>
      <w:r>
        <w:t xml:space="preserve"> Although it could be expected that due to the re-employment of resources returned through revolving or otherwise, there will be an increase in drawing already during the programming period (see the estimates of the possible increase below), </w:t>
      </w:r>
      <w:r>
        <w:rPr>
          <w:b/>
          <w:bCs/>
        </w:rPr>
        <w:t>the Contractor does not recommend changing the value of the stated target value of indicators related to the year 2023.</w:t>
      </w:r>
      <w:r>
        <w:t xml:space="preserve"> For the sake of caution, the Contractor proposes retaining the currently set values within the IROP indicator system while being aware that they are likely to be overdrawn in 2023. The Contractor advises caution especially due to the fact that there are many influences that may deflect the mentioned predictions of drawing or, more precisely, because the model of anticipated drawing is built on a number of assumptions and simplifications, which were necessary to be made in the ex-ante phase. Many of the above-mentioned risks and limitations are listed in the subsequent Article 5.5.4.</w:t>
      </w:r>
    </w:p>
    <w:p w:rsidR="00065632" w:rsidRDefault="00065632" w:rsidP="007813A3">
      <w:r>
        <w:t>According to the results of multiplier modelling (see Annex 2 to the final report), the following conclusions can be made:</w:t>
      </w:r>
    </w:p>
    <w:p w:rsidR="00065632" w:rsidRDefault="00065632" w:rsidP="00065632">
      <w:pPr>
        <w:pStyle w:val="Odstavecseseznamem"/>
        <w:numPr>
          <w:ilvl w:val="0"/>
          <w:numId w:val="55"/>
        </w:numPr>
      </w:pPr>
      <w:r>
        <w:t xml:space="preserve">In the case of aid </w:t>
      </w:r>
      <w:r>
        <w:rPr>
          <w:b/>
          <w:bCs/>
        </w:rPr>
        <w:t>for the projects under specific objective 2.5</w:t>
      </w:r>
      <w:r>
        <w:t xml:space="preserve">, it is possible to infer based on the conclusions of the multiplier effect modelling that the possible new employment of the funds returned through revolving into the investment cycle is still able to generate even during the programming period additional drawing of CZK 3.986 billion, which means </w:t>
      </w:r>
      <w:r>
        <w:rPr>
          <w:b/>
          <w:bCs/>
        </w:rPr>
        <w:t>up to 23.7% of the original allocation</w:t>
      </w:r>
      <w:r>
        <w:t>.</w:t>
      </w:r>
    </w:p>
    <w:p w:rsidR="00065632" w:rsidRDefault="00065632" w:rsidP="00065632">
      <w:pPr>
        <w:pStyle w:val="Odstavecseseznamem"/>
        <w:numPr>
          <w:ilvl w:val="0"/>
          <w:numId w:val="55"/>
        </w:numPr>
      </w:pPr>
      <w:r>
        <w:rPr>
          <w:b/>
          <w:bCs/>
        </w:rPr>
        <w:t>Although it is a potentially significant deflection of the presently set values of the indicator system, the Contractor does not consider appropriate and desirable for the sake of caution to raise the level of the indicators.</w:t>
      </w:r>
    </w:p>
    <w:p w:rsidR="00065632" w:rsidRDefault="00065632" w:rsidP="007813A3">
      <w:r>
        <w:t>Working with the assumptions taken into account in the model and findings from the questionnaire survey, the Contractor concludes that involvement of the entire IROP allocation in the form of a soft loan may bring about the following changes in terms of indicators:</w:t>
      </w:r>
    </w:p>
    <w:tbl>
      <w:tblPr>
        <w:tblW w:w="0" w:type="auto"/>
        <w:tblInd w:w="-56" w:type="dxa"/>
        <w:tblBorders>
          <w:bottom w:val="single" w:sz="4" w:space="0" w:color="92D400"/>
          <w:insideH w:val="single" w:sz="4" w:space="0" w:color="92D400"/>
        </w:tblBorders>
        <w:tblCellMar>
          <w:top w:w="28" w:type="dxa"/>
          <w:left w:w="28" w:type="dxa"/>
          <w:bottom w:w="28" w:type="dxa"/>
          <w:right w:w="28" w:type="dxa"/>
        </w:tblCellMar>
        <w:tblLook w:val="00A0" w:firstRow="1" w:lastRow="0" w:firstColumn="1" w:lastColumn="0" w:noHBand="0" w:noVBand="0"/>
      </w:tblPr>
      <w:tblGrid>
        <w:gridCol w:w="2006"/>
        <w:gridCol w:w="1669"/>
        <w:gridCol w:w="1944"/>
        <w:gridCol w:w="1672"/>
        <w:gridCol w:w="1891"/>
      </w:tblGrid>
      <w:tr w:rsidR="00065632">
        <w:tc>
          <w:tcPr>
            <w:tcW w:w="2013" w:type="dxa"/>
            <w:shd w:val="clear" w:color="auto" w:fill="92D400"/>
          </w:tcPr>
          <w:p w:rsidR="00065632" w:rsidRPr="00693AAF" w:rsidRDefault="00065632" w:rsidP="00693AAF">
            <w:pPr>
              <w:spacing w:after="0"/>
              <w:rPr>
                <w:b/>
                <w:bCs/>
                <w:color w:val="FFFFFF"/>
              </w:rPr>
            </w:pPr>
            <w:r w:rsidRPr="00693AAF">
              <w:rPr>
                <w:b/>
                <w:bCs/>
                <w:color w:val="FFFFFF"/>
              </w:rPr>
              <w:t xml:space="preserve"> Indicator</w:t>
            </w:r>
          </w:p>
        </w:tc>
        <w:tc>
          <w:tcPr>
            <w:tcW w:w="1675" w:type="dxa"/>
            <w:shd w:val="clear" w:color="auto" w:fill="92D400"/>
          </w:tcPr>
          <w:p w:rsidR="00065632" w:rsidRPr="00693AAF" w:rsidRDefault="00065632" w:rsidP="00693AAF">
            <w:pPr>
              <w:spacing w:after="0"/>
              <w:jc w:val="left"/>
              <w:rPr>
                <w:b/>
                <w:bCs/>
                <w:color w:val="FFFFFF"/>
              </w:rPr>
            </w:pPr>
            <w:r w:rsidRPr="00693AAF">
              <w:rPr>
                <w:b/>
                <w:bCs/>
                <w:color w:val="FFFFFF"/>
              </w:rPr>
              <w:t>Current 2018 milestone</w:t>
            </w:r>
          </w:p>
        </w:tc>
        <w:tc>
          <w:tcPr>
            <w:tcW w:w="1952" w:type="dxa"/>
            <w:shd w:val="clear" w:color="auto" w:fill="92D400"/>
          </w:tcPr>
          <w:p w:rsidR="00065632" w:rsidRPr="00693AAF" w:rsidRDefault="00065632" w:rsidP="00693AAF">
            <w:pPr>
              <w:spacing w:after="0"/>
              <w:jc w:val="left"/>
              <w:rPr>
                <w:b/>
                <w:bCs/>
                <w:color w:val="FFFFFF"/>
              </w:rPr>
            </w:pPr>
            <w:r w:rsidRPr="00693AAF">
              <w:rPr>
                <w:b/>
                <w:bCs/>
                <w:color w:val="FFFFFF"/>
              </w:rPr>
              <w:t>Potential change for the 2018 milestone</w:t>
            </w:r>
          </w:p>
        </w:tc>
        <w:tc>
          <w:tcPr>
            <w:tcW w:w="1678" w:type="dxa"/>
            <w:shd w:val="clear" w:color="auto" w:fill="92D400"/>
          </w:tcPr>
          <w:p w:rsidR="00065632" w:rsidRPr="00693AAF" w:rsidRDefault="00065632" w:rsidP="00693AAF">
            <w:pPr>
              <w:spacing w:after="0"/>
              <w:jc w:val="left"/>
              <w:rPr>
                <w:b/>
                <w:bCs/>
                <w:color w:val="FFFFFF"/>
              </w:rPr>
            </w:pPr>
            <w:r w:rsidRPr="00693AAF">
              <w:rPr>
                <w:b/>
                <w:bCs/>
                <w:color w:val="FFFFFF"/>
              </w:rPr>
              <w:t>Current 2023 target</w:t>
            </w:r>
          </w:p>
        </w:tc>
        <w:tc>
          <w:tcPr>
            <w:tcW w:w="1898" w:type="dxa"/>
            <w:shd w:val="clear" w:color="auto" w:fill="92D400"/>
          </w:tcPr>
          <w:p w:rsidR="00065632" w:rsidRPr="00693AAF" w:rsidRDefault="00065632" w:rsidP="00693AAF">
            <w:pPr>
              <w:spacing w:after="0"/>
              <w:jc w:val="left"/>
              <w:rPr>
                <w:b/>
                <w:bCs/>
                <w:color w:val="FFFFFF"/>
              </w:rPr>
            </w:pPr>
            <w:r w:rsidRPr="00693AAF">
              <w:rPr>
                <w:b/>
                <w:bCs/>
                <w:color w:val="FFFFFF"/>
              </w:rPr>
              <w:t>Potential change for the 2023 target</w:t>
            </w:r>
          </w:p>
        </w:tc>
      </w:tr>
      <w:tr w:rsidR="00065632">
        <w:tc>
          <w:tcPr>
            <w:tcW w:w="2013" w:type="dxa"/>
            <w:shd w:val="clear" w:color="auto" w:fill="FFFFFF"/>
            <w:vAlign w:val="center"/>
          </w:tcPr>
          <w:p w:rsidR="00065632" w:rsidRDefault="00065632" w:rsidP="00693AAF">
            <w:pPr>
              <w:spacing w:after="0"/>
              <w:jc w:val="left"/>
            </w:pPr>
            <w:r>
              <w:lastRenderedPageBreak/>
              <w:t>Reducing the final household energy consumption in the CR (</w:t>
            </w:r>
            <w:proofErr w:type="spellStart"/>
            <w:r>
              <w:t>MWh</w:t>
            </w:r>
            <w:proofErr w:type="spellEnd"/>
            <w:r>
              <w:t>/year)</w:t>
            </w:r>
          </w:p>
        </w:tc>
        <w:tc>
          <w:tcPr>
            <w:tcW w:w="1675" w:type="dxa"/>
            <w:shd w:val="clear" w:color="auto" w:fill="FFFFFF"/>
            <w:vAlign w:val="center"/>
          </w:tcPr>
          <w:p w:rsidR="00065632" w:rsidRDefault="00065632" w:rsidP="00693AAF">
            <w:pPr>
              <w:spacing w:after="0"/>
              <w:jc w:val="center"/>
            </w:pPr>
            <w:r>
              <w:t>N/A</w:t>
            </w:r>
          </w:p>
        </w:tc>
        <w:tc>
          <w:tcPr>
            <w:tcW w:w="1952" w:type="dxa"/>
            <w:shd w:val="clear" w:color="auto" w:fill="FFFFFF"/>
            <w:vAlign w:val="center"/>
          </w:tcPr>
          <w:p w:rsidR="00065632" w:rsidRDefault="00065632" w:rsidP="00693AAF">
            <w:pPr>
              <w:spacing w:after="0"/>
              <w:jc w:val="center"/>
            </w:pPr>
            <w:r>
              <w:t>N/A</w:t>
            </w:r>
          </w:p>
        </w:tc>
        <w:tc>
          <w:tcPr>
            <w:tcW w:w="1678" w:type="dxa"/>
            <w:shd w:val="clear" w:color="auto" w:fill="FFFFFF"/>
            <w:vAlign w:val="center"/>
          </w:tcPr>
          <w:p w:rsidR="00065632" w:rsidRDefault="00065632" w:rsidP="00693AAF">
            <w:pPr>
              <w:spacing w:after="0"/>
              <w:jc w:val="center"/>
            </w:pPr>
            <w:r>
              <w:t>64,583,333</w:t>
            </w:r>
          </w:p>
        </w:tc>
        <w:tc>
          <w:tcPr>
            <w:tcW w:w="1898" w:type="dxa"/>
            <w:shd w:val="clear" w:color="auto" w:fill="FFFFFF"/>
            <w:vAlign w:val="center"/>
          </w:tcPr>
          <w:p w:rsidR="00065632" w:rsidRDefault="00065632" w:rsidP="00693AAF">
            <w:pPr>
              <w:spacing w:after="0"/>
              <w:jc w:val="center"/>
            </w:pPr>
            <w:r>
              <w:t>63,293,000</w:t>
            </w:r>
          </w:p>
        </w:tc>
      </w:tr>
      <w:tr w:rsidR="00065632">
        <w:tc>
          <w:tcPr>
            <w:tcW w:w="2013" w:type="dxa"/>
            <w:shd w:val="clear" w:color="auto" w:fill="FFFFFF"/>
            <w:vAlign w:val="center"/>
          </w:tcPr>
          <w:p w:rsidR="00065632" w:rsidRDefault="00065632" w:rsidP="00693AAF">
            <w:pPr>
              <w:spacing w:after="0"/>
              <w:jc w:val="left"/>
            </w:pPr>
            <w:r>
              <w:t>Number of households with better energy consumption classification</w:t>
            </w:r>
          </w:p>
        </w:tc>
        <w:tc>
          <w:tcPr>
            <w:tcW w:w="1675" w:type="dxa"/>
            <w:shd w:val="clear" w:color="auto" w:fill="FFFFFF"/>
            <w:vAlign w:val="center"/>
          </w:tcPr>
          <w:p w:rsidR="00065632" w:rsidRDefault="00065632" w:rsidP="00693AAF">
            <w:pPr>
              <w:spacing w:after="0"/>
              <w:jc w:val="center"/>
            </w:pPr>
            <w:r>
              <w:t>33,484</w:t>
            </w:r>
          </w:p>
        </w:tc>
        <w:tc>
          <w:tcPr>
            <w:tcW w:w="1952" w:type="dxa"/>
            <w:shd w:val="clear" w:color="auto" w:fill="FFFFFF"/>
            <w:vAlign w:val="center"/>
          </w:tcPr>
          <w:p w:rsidR="00065632" w:rsidRDefault="00065632" w:rsidP="00693AAF">
            <w:pPr>
              <w:spacing w:after="0"/>
              <w:jc w:val="center"/>
            </w:pPr>
            <w:r>
              <w:t> No change</w:t>
            </w:r>
            <w:r>
              <w:br/>
              <w:t>– 33,484</w:t>
            </w:r>
            <w:r>
              <w:rPr>
                <w:rStyle w:val="Znakapoznpodarou"/>
              </w:rPr>
              <w:footnoteReference w:id="22"/>
            </w:r>
          </w:p>
        </w:tc>
        <w:tc>
          <w:tcPr>
            <w:tcW w:w="1678" w:type="dxa"/>
            <w:shd w:val="clear" w:color="auto" w:fill="FFFFFF"/>
            <w:vAlign w:val="center"/>
          </w:tcPr>
          <w:p w:rsidR="00065632" w:rsidRDefault="00065632" w:rsidP="00693AAF">
            <w:pPr>
              <w:spacing w:after="0"/>
              <w:jc w:val="center"/>
            </w:pPr>
            <w:r>
              <w:t>75,338</w:t>
            </w:r>
          </w:p>
        </w:tc>
        <w:tc>
          <w:tcPr>
            <w:tcW w:w="1898" w:type="dxa"/>
            <w:shd w:val="clear" w:color="auto" w:fill="FFFFFF"/>
            <w:vAlign w:val="center"/>
          </w:tcPr>
          <w:p w:rsidR="00065632" w:rsidRDefault="00065632" w:rsidP="00693AAF">
            <w:pPr>
              <w:spacing w:after="0"/>
              <w:jc w:val="center"/>
            </w:pPr>
            <w:r>
              <w:t>93,193</w:t>
            </w:r>
          </w:p>
        </w:tc>
      </w:tr>
      <w:tr w:rsidR="00065632">
        <w:tc>
          <w:tcPr>
            <w:tcW w:w="2013" w:type="dxa"/>
            <w:shd w:val="clear" w:color="auto" w:fill="FFFFFF"/>
            <w:vAlign w:val="center"/>
          </w:tcPr>
          <w:p w:rsidR="00065632" w:rsidRDefault="00065632" w:rsidP="00693AAF">
            <w:pPr>
              <w:spacing w:after="0"/>
              <w:jc w:val="left"/>
            </w:pPr>
            <w:r>
              <w:t>Number of households with reduced energy consumption without improvements in energy consumption classification</w:t>
            </w:r>
          </w:p>
        </w:tc>
        <w:tc>
          <w:tcPr>
            <w:tcW w:w="1675" w:type="dxa"/>
            <w:shd w:val="clear" w:color="auto" w:fill="FFFFFF"/>
            <w:vAlign w:val="center"/>
          </w:tcPr>
          <w:p w:rsidR="00065632" w:rsidRDefault="00065632" w:rsidP="00693AAF">
            <w:pPr>
              <w:spacing w:after="0"/>
              <w:jc w:val="center"/>
            </w:pPr>
            <w:r>
              <w:t>N/A</w:t>
            </w:r>
          </w:p>
        </w:tc>
        <w:tc>
          <w:tcPr>
            <w:tcW w:w="1952" w:type="dxa"/>
            <w:shd w:val="clear" w:color="auto" w:fill="FFFFFF"/>
            <w:vAlign w:val="center"/>
          </w:tcPr>
          <w:p w:rsidR="00065632" w:rsidRDefault="00065632" w:rsidP="00693AAF">
            <w:pPr>
              <w:spacing w:after="0"/>
              <w:jc w:val="center"/>
            </w:pPr>
            <w:r>
              <w:t>N/A</w:t>
            </w:r>
          </w:p>
        </w:tc>
        <w:tc>
          <w:tcPr>
            <w:tcW w:w="1678" w:type="dxa"/>
            <w:shd w:val="clear" w:color="auto" w:fill="FFFFFF"/>
            <w:vAlign w:val="center"/>
          </w:tcPr>
          <w:p w:rsidR="00065632" w:rsidRDefault="00065632" w:rsidP="00693AAF">
            <w:pPr>
              <w:spacing w:after="0"/>
              <w:jc w:val="center"/>
            </w:pPr>
            <w:r>
              <w:t>25,000</w:t>
            </w:r>
          </w:p>
        </w:tc>
        <w:tc>
          <w:tcPr>
            <w:tcW w:w="1898" w:type="dxa"/>
            <w:shd w:val="clear" w:color="auto" w:fill="FFFFFF"/>
            <w:vAlign w:val="center"/>
          </w:tcPr>
          <w:p w:rsidR="00065632" w:rsidRDefault="00065632" w:rsidP="00693AAF">
            <w:pPr>
              <w:spacing w:after="0"/>
              <w:jc w:val="center"/>
            </w:pPr>
            <w:r>
              <w:t>30,925</w:t>
            </w:r>
          </w:p>
        </w:tc>
      </w:tr>
      <w:tr w:rsidR="00065632">
        <w:tc>
          <w:tcPr>
            <w:tcW w:w="2013" w:type="dxa"/>
            <w:shd w:val="clear" w:color="auto" w:fill="FFFFFF"/>
            <w:vAlign w:val="center"/>
          </w:tcPr>
          <w:p w:rsidR="00065632" w:rsidRDefault="00065632" w:rsidP="00693AAF">
            <w:pPr>
              <w:spacing w:after="0"/>
              <w:jc w:val="left"/>
            </w:pPr>
            <w:r>
              <w:t>Estimated annual reduction in greenhouse gas emissions (tons of equivalent of CO</w:t>
            </w:r>
            <w:r w:rsidRPr="00693AAF">
              <w:rPr>
                <w:vertAlign w:val="subscript"/>
              </w:rPr>
              <w:t>2</w:t>
            </w:r>
            <w:r>
              <w:t>)</w:t>
            </w:r>
          </w:p>
        </w:tc>
        <w:tc>
          <w:tcPr>
            <w:tcW w:w="1675" w:type="dxa"/>
            <w:shd w:val="clear" w:color="auto" w:fill="FFFFFF"/>
            <w:vAlign w:val="center"/>
          </w:tcPr>
          <w:p w:rsidR="00065632" w:rsidRDefault="00065632" w:rsidP="00693AAF">
            <w:pPr>
              <w:spacing w:after="0"/>
              <w:jc w:val="center"/>
            </w:pPr>
            <w:r>
              <w:t>N/A</w:t>
            </w:r>
          </w:p>
        </w:tc>
        <w:tc>
          <w:tcPr>
            <w:tcW w:w="1952" w:type="dxa"/>
            <w:shd w:val="clear" w:color="auto" w:fill="FFFFFF"/>
            <w:vAlign w:val="center"/>
          </w:tcPr>
          <w:p w:rsidR="00065632" w:rsidRDefault="00065632" w:rsidP="00693AAF">
            <w:pPr>
              <w:spacing w:after="0"/>
              <w:jc w:val="center"/>
            </w:pPr>
            <w:r>
              <w:t>N/A</w:t>
            </w:r>
          </w:p>
        </w:tc>
        <w:tc>
          <w:tcPr>
            <w:tcW w:w="1678" w:type="dxa"/>
            <w:shd w:val="clear" w:color="auto" w:fill="FFFFFF"/>
            <w:vAlign w:val="center"/>
          </w:tcPr>
          <w:p w:rsidR="00065632" w:rsidRDefault="00065632" w:rsidP="00693AAF">
            <w:pPr>
              <w:spacing w:after="0"/>
              <w:jc w:val="center"/>
            </w:pPr>
            <w:r>
              <w:t>205,221</w:t>
            </w:r>
          </w:p>
        </w:tc>
        <w:tc>
          <w:tcPr>
            <w:tcW w:w="1898" w:type="dxa"/>
            <w:shd w:val="clear" w:color="auto" w:fill="FFFFFF"/>
            <w:vAlign w:val="center"/>
          </w:tcPr>
          <w:p w:rsidR="00065632" w:rsidRDefault="00065632" w:rsidP="00693AAF">
            <w:pPr>
              <w:spacing w:after="0"/>
              <w:jc w:val="center"/>
            </w:pPr>
            <w:r>
              <w:t>253,858</w:t>
            </w:r>
          </w:p>
        </w:tc>
      </w:tr>
    </w:tbl>
    <w:p w:rsidR="00065632" w:rsidRDefault="00065632" w:rsidP="00011767">
      <w:pPr>
        <w:pStyle w:val="Titulek"/>
      </w:pPr>
      <w:bookmarkStart w:id="230" w:name="_Toc417655514"/>
      <w:bookmarkStart w:id="231" w:name="_Toc426033925"/>
      <w:r>
        <w:t xml:space="preserve">Table </w:t>
      </w:r>
      <w:r>
        <w:fldChar w:fldCharType="begin"/>
      </w:r>
      <w:r>
        <w:instrText xml:space="preserve"> SEQ Tabulka \* ARABIC </w:instrText>
      </w:r>
      <w:r>
        <w:fldChar w:fldCharType="separate"/>
      </w:r>
      <w:r>
        <w:rPr>
          <w:noProof/>
        </w:rPr>
        <w:t>16</w:t>
      </w:r>
      <w:r>
        <w:fldChar w:fldCharType="end"/>
      </w:r>
      <w:r>
        <w:t>: Assessment of the multiplier effect in relation to the proposed indicator values</w:t>
      </w:r>
      <w:bookmarkEnd w:id="230"/>
      <w:bookmarkEnd w:id="231"/>
    </w:p>
    <w:p w:rsidR="00065632" w:rsidRDefault="00065632" w:rsidP="002129AE">
      <w:r>
        <w:t>Despite the Contractor’s recommendation that the current values should be preserved, it is possible according to the evaluation by the project management representatives to review the indicator values, however, in addition to the above stated specific results of modelling, it is further necessary during the revision to take into account additional factors (see the four main factors and their proposed consideration above) and/or take into account additional limitations of standard modelling, as specified below.</w:t>
      </w:r>
    </w:p>
    <w:p w:rsidR="00065632" w:rsidRDefault="00065632" w:rsidP="0077225E">
      <w:pPr>
        <w:pStyle w:val="Nadpis3"/>
      </w:pPr>
      <w:bookmarkStart w:id="232" w:name="_Toc418767175"/>
      <w:bookmarkStart w:id="233" w:name="_Toc426033685"/>
      <w:r>
        <w:t>Risks and limitations</w:t>
      </w:r>
      <w:bookmarkEnd w:id="232"/>
      <w:bookmarkEnd w:id="233"/>
    </w:p>
    <w:p w:rsidR="00065632" w:rsidRPr="009960C8" w:rsidRDefault="00065632" w:rsidP="0077225E">
      <w:r>
        <w:t>Below, the Contractor specified further selected limitations and risks of modelling milestone and target values of indicators, which must be adequately taken into account in the calculation of values of indicators.</w:t>
      </w:r>
    </w:p>
    <w:p w:rsidR="00065632" w:rsidRDefault="00065632" w:rsidP="0077225E">
      <w:pPr>
        <w:pStyle w:val="Highlight2"/>
      </w:pPr>
      <w:r>
        <w:t xml:space="preserve">Deflection due to using the term “typical project” </w:t>
      </w:r>
    </w:p>
    <w:p w:rsidR="00065632" w:rsidRDefault="00065632" w:rsidP="0077225E">
      <w:r>
        <w:t xml:space="preserve">The average value per project or unit of measure may be subject to a major deviation of different events are combined in one equation — typically if a monitored indicator aggregates benefits for a very diverse group of aided measures (e.g. </w:t>
      </w:r>
      <w:r>
        <w:rPr>
          <w:i/>
          <w:iCs/>
        </w:rPr>
        <w:t>minimum revitalisation projects</w:t>
      </w:r>
      <w:r>
        <w:t xml:space="preserve"> focused only on thermal insulation of the external walls, wall, roof, ceiling and floor constructions and </w:t>
      </w:r>
      <w:r>
        <w:rPr>
          <w:i/>
          <w:iCs/>
        </w:rPr>
        <w:t>more comprehensive projects</w:t>
      </w:r>
      <w:r>
        <w:t>, including also elements of passive heating and cooling, shading and installation of controlled ventilation with recovery of exhaust air, including installation of a new source for heating of a residential building).</w:t>
      </w:r>
    </w:p>
    <w:p w:rsidR="00065632" w:rsidRDefault="00065632" w:rsidP="0077225E">
      <w:pPr>
        <w:pStyle w:val="Odstavecseseznamem"/>
        <w:ind w:left="0"/>
      </w:pPr>
      <w:r>
        <w:t>To make the calculation more accurate we recommend distributing the calculation for typical projects according to their extent and complexity (each equation will assume different average expense-to-revenue ratio) or introduce adequate expert adjustment of the calculated target value at the discretion of the administrator.</w:t>
      </w:r>
    </w:p>
    <w:p w:rsidR="00065632" w:rsidRDefault="00065632" w:rsidP="0077225E">
      <w:pPr>
        <w:pStyle w:val="Highlight2"/>
      </w:pPr>
      <w:r>
        <w:t>Changes in the distribution of allocation for the respective groups of measures and their specific objectives</w:t>
      </w:r>
    </w:p>
    <w:p w:rsidR="00065632" w:rsidRDefault="00065632" w:rsidP="0077225E">
      <w:r>
        <w:t>The allocation for the entire IROP specific objective 2.5 was added, and allocation was not subtracted which will be drawn in a different manner (probably through subsidies) by projects from a territory which the IROP plans to address as a priority. The Contractor used recalculation of allocation using the current exchange rate CZK/EUR.</w:t>
      </w:r>
    </w:p>
    <w:p w:rsidR="00065632" w:rsidRDefault="00065632" w:rsidP="0077225E">
      <w:r>
        <w:lastRenderedPageBreak/>
        <w:t>The Contractor recommends to always adequately reflect the changes associated with the aforementioned facts (earmarking allocation for subsidies, exchange rate changes) as well as other similar changes (reallocation within IROP between specific objectives, etc.) using up-to-date data.</w:t>
      </w:r>
    </w:p>
    <w:p w:rsidR="00065632" w:rsidRDefault="00065632" w:rsidP="0077225E">
      <w:pPr>
        <w:pStyle w:val="Highlight2"/>
      </w:pPr>
      <w:r>
        <w:t>Major Projects</w:t>
      </w:r>
    </w:p>
    <w:p w:rsidR="00065632" w:rsidRDefault="00065632" w:rsidP="0077225E">
      <w:r>
        <w:t xml:space="preserve">The capability of fulfilling the target values can be significantly affected by whether the Managing Authority has information about the readiness of the applicants to submit major projects (which is intended to mean significantly higher expenses than the rest of the “typical” projects). If there is higher or lower likelihood that applications for the major projects will be submitted, it is necessary in the planning of values to take these project administrators into account by an adequate adjustment of mathematically calculated values. </w:t>
      </w:r>
    </w:p>
    <w:p w:rsidR="00065632" w:rsidRDefault="00065632" w:rsidP="0077225E">
      <w:pPr>
        <w:rPr>
          <w:highlight w:val="yellow"/>
        </w:rPr>
      </w:pPr>
    </w:p>
    <w:p w:rsidR="00065632" w:rsidRDefault="00065632" w:rsidP="0077225E">
      <w:pPr>
        <w:spacing w:after="0"/>
        <w:jc w:val="left"/>
      </w:pPr>
      <w:r>
        <w:br w:type="page"/>
      </w:r>
    </w:p>
    <w:p w:rsidR="00065632" w:rsidRDefault="00065632" w:rsidP="0077225E">
      <w:pPr>
        <w:pStyle w:val="Nadpis2"/>
      </w:pPr>
      <w:bookmarkStart w:id="234" w:name="_Toc400580867"/>
      <w:bookmarkStart w:id="235" w:name="_Toc418767176"/>
      <w:bookmarkStart w:id="236" w:name="_Toc426033686"/>
      <w:r>
        <w:lastRenderedPageBreak/>
        <w:t>Provisions enabling the review and update of the ex-ante assessment</w:t>
      </w:r>
      <w:bookmarkEnd w:id="234"/>
      <w:bookmarkEnd w:id="235"/>
      <w:bookmarkEnd w:id="236"/>
    </w:p>
    <w:p w:rsidR="00065632" w:rsidRDefault="00065632" w:rsidP="00A12D6C">
      <w:r>
        <w:t>In conducting the ex-ante assessment, the Contractor used assumptions and model examples. Before proceeding to the actual implementation of the financial instrument within IROP, these assumptions should be supplemented or updated in connection with further development of the situation after termination of work on the assessment. The chapter specifies places that might be most prone to changes in case of changes of accompanying conditions.</w:t>
      </w:r>
    </w:p>
    <w:p w:rsidR="00065632" w:rsidRDefault="00065632" w:rsidP="0077225E">
      <w:pPr>
        <w:pStyle w:val="CaptionIntroductionparagraph"/>
      </w:pPr>
      <w:r>
        <w:t>Provisions of the report requiring review or supplementation before the implementation of the instrument</w:t>
      </w:r>
    </w:p>
    <w:p w:rsidR="00065632" w:rsidRDefault="00065632" w:rsidP="0077225E">
      <w:r>
        <w:t>Most assumptions, risks or open issues that may disturb the internal logic of argumentation and conclusions of the ex-ante assessment can be found in chapter 5.1.6.4. In this part of the report, the Contractor clearly describes the observed issues and ambiguities/uncertainties and specifies what steps can be taken within the corrective measures or, as appropriate, to prevent the emergence of problems. The Contractor recommends that before the commencement of the implementation of the financial instruments and their launching, the Contracting Authority should review the text of this chapter and draw adequate conclusions in the event of a significant increase in the likelihood or gravity of the impact of the monitored factors that have a considerable effect on the conclusions of the ex-ante assessment.</w:t>
      </w:r>
    </w:p>
    <w:p w:rsidR="00065632" w:rsidRDefault="00065632" w:rsidP="0077225E">
      <w:r>
        <w:t>In addition to the above-mentioned chapter, it is advisable that the Contracting Authority would review to an adequately reasonable extent the validity of the conclusions presented in the following chapters of the ex-ante assessment:</w:t>
      </w:r>
    </w:p>
    <w:p w:rsidR="00065632" w:rsidRDefault="00065632" w:rsidP="00065632">
      <w:pPr>
        <w:pStyle w:val="Odstavecseseznamem"/>
        <w:numPr>
          <w:ilvl w:val="0"/>
          <w:numId w:val="32"/>
        </w:numPr>
      </w:pPr>
      <w:r>
        <w:rPr>
          <w:b/>
          <w:bCs/>
        </w:rPr>
        <w:t>Analysis of market failure and suboptimal investment situations</w:t>
      </w:r>
      <w:r>
        <w:t xml:space="preserve"> – conclusions on the quantification of market failures or, as appropriate, the potential for crowding out market-provided funding;</w:t>
      </w:r>
    </w:p>
    <w:p w:rsidR="00065632" w:rsidRPr="00A64F67" w:rsidRDefault="00065632" w:rsidP="00065632">
      <w:pPr>
        <w:pStyle w:val="Odstavecseseznamem"/>
        <w:numPr>
          <w:ilvl w:val="0"/>
          <w:numId w:val="32"/>
        </w:numPr>
        <w:rPr>
          <w:b/>
          <w:bCs/>
        </w:rPr>
      </w:pPr>
      <w:r>
        <w:rPr>
          <w:b/>
          <w:bCs/>
        </w:rPr>
        <w:t>Assessment of the added value of the financial instruments and estimate of the additional public and private resources</w:t>
      </w:r>
      <w:r>
        <w:t xml:space="preserve"> – annex to the ex-ante assessment, instrument for the modelling of the multiplier effects must be updated whenever there is a change in any of the input attributes;</w:t>
      </w:r>
    </w:p>
    <w:p w:rsidR="00065632" w:rsidRPr="00A64F67" w:rsidRDefault="00065632" w:rsidP="00065632">
      <w:pPr>
        <w:pStyle w:val="Odstavecseseznamem"/>
        <w:numPr>
          <w:ilvl w:val="1"/>
          <w:numId w:val="32"/>
        </w:numPr>
      </w:pPr>
      <w:r>
        <w:t>It is necessary, if need be, to modify on a correlative basis the conclusions from the draft investment strategy and the draft setting of the indicator system;</w:t>
      </w:r>
    </w:p>
    <w:p w:rsidR="00065632" w:rsidRPr="00A64F67" w:rsidRDefault="00065632" w:rsidP="00065632">
      <w:pPr>
        <w:pStyle w:val="Odstavecseseznamem"/>
        <w:numPr>
          <w:ilvl w:val="0"/>
          <w:numId w:val="32"/>
        </w:numPr>
        <w:rPr>
          <w:b/>
          <w:bCs/>
        </w:rPr>
      </w:pPr>
      <w:r>
        <w:rPr>
          <w:b/>
          <w:bCs/>
        </w:rPr>
        <w:t>Draft investment strategy</w:t>
      </w:r>
      <w:r>
        <w:t xml:space="preserve"> – in the case of changes in the assumptions on which the draft financial instrument was built or, possibly, based on the findings generated from additional analyses or results of negotiations with key interest groups, it is necessary to update the conclusions of the draft setting of the particular form of the financial instrument. In the case of an obvious delay in the implementation of the action plan. the action plan must be updated and correlative implications for the validity of the conclusions of the ex-ante assessment must be drawn from the possible delay;</w:t>
      </w:r>
    </w:p>
    <w:p w:rsidR="00065632" w:rsidRDefault="00065632" w:rsidP="00065632">
      <w:pPr>
        <w:pStyle w:val="Odstavecseseznamem"/>
        <w:numPr>
          <w:ilvl w:val="0"/>
          <w:numId w:val="32"/>
        </w:numPr>
      </w:pPr>
      <w:r>
        <w:rPr>
          <w:b/>
          <w:bCs/>
        </w:rPr>
        <w:t>Draft implementation structure</w:t>
      </w:r>
      <w:r>
        <w:t xml:space="preserve"> – all the conclusions are preliminary and may be changed depending on the development of the negotiation on the “roof national structure” and in connection with results of negotiations about "shared implementation structure" at the level of the financial instrument;</w:t>
      </w:r>
    </w:p>
    <w:p w:rsidR="00065632" w:rsidRPr="00431945" w:rsidRDefault="00065632" w:rsidP="00065632">
      <w:pPr>
        <w:pStyle w:val="Odstavecseseznamem"/>
        <w:numPr>
          <w:ilvl w:val="0"/>
          <w:numId w:val="32"/>
        </w:numPr>
        <w:rPr>
          <w:b/>
          <w:bCs/>
        </w:rPr>
      </w:pPr>
      <w:r>
        <w:rPr>
          <w:b/>
          <w:bCs/>
        </w:rPr>
        <w:t>Assessment of the compatibility with the state aid guidelines</w:t>
      </w:r>
      <w:r>
        <w:t xml:space="preserve"> – depending on further specification of the setting of the instruments and depending on the results of the negotiation on the draft with the EC it may be necessary, where appropriate, to update the conclusions of this chapter;</w:t>
      </w:r>
    </w:p>
    <w:p w:rsidR="00065632" w:rsidRPr="00431945" w:rsidRDefault="00065632" w:rsidP="00065632">
      <w:pPr>
        <w:pStyle w:val="Odstavecseseznamem"/>
        <w:numPr>
          <w:ilvl w:val="0"/>
          <w:numId w:val="32"/>
        </w:numPr>
        <w:rPr>
          <w:b/>
          <w:bCs/>
        </w:rPr>
      </w:pPr>
      <w:r>
        <w:rPr>
          <w:b/>
          <w:bCs/>
        </w:rPr>
        <w:t>Specification of the expected results</w:t>
      </w:r>
      <w:r>
        <w:t xml:space="preserve"> – the chapter contains a comprehensive description of the corrective mechanisms that need to be done in the event that there is a change in some of the assumptions of the model, which was applied for the instruments during the implementation of the ex-ante assessment.</w:t>
      </w:r>
    </w:p>
    <w:p w:rsidR="00065632" w:rsidRDefault="00065632" w:rsidP="0077225E">
      <w:pPr>
        <w:pStyle w:val="CaptionIntroductionparagraph"/>
      </w:pPr>
      <w:r>
        <w:t>Provisions requiring review on an ongoing basis during the programming period</w:t>
      </w:r>
    </w:p>
    <w:p w:rsidR="00065632" w:rsidRDefault="00065632" w:rsidP="0077225E">
      <w:r>
        <w:t xml:space="preserve">The Contractor once again points out that as regards the factors mentioned in the introduction to chapter </w:t>
      </w:r>
      <w:r>
        <w:rPr>
          <w:b/>
          <w:bCs/>
        </w:rPr>
        <w:t>Draft investment strategy – a description of the initial situation</w:t>
      </w:r>
      <w:r>
        <w:t xml:space="preserve">, it is important that they are monitored even after the launch of the aid through the newly created financial instruments and reviewed whether no </w:t>
      </w:r>
      <w:r>
        <w:lastRenderedPageBreak/>
        <w:t>such changes have occurred that would require an update of the ex-ante assessment or possibly of the tool design as such.</w:t>
      </w:r>
    </w:p>
    <w:p w:rsidR="00065632" w:rsidRDefault="00065632" w:rsidP="0077225E">
      <w:r>
        <w:t>The ex-ante assessment as a whole should be subject to a regular validity review each time when there is a serious violation of the validity of the assumptions based on which the ex-ante assessment was carried out or, as the case may be, if it turns out that the conditions on the target market or the overall economic situation has changed. Moreover, a review should be carried out by the representative of the managing authority regularly every two years from its acceptance.  The review should be focused primarily on the following chapters:</w:t>
      </w:r>
    </w:p>
    <w:p w:rsidR="00065632" w:rsidRDefault="00065632" w:rsidP="00065632">
      <w:pPr>
        <w:pStyle w:val="Odstavecseseznamem"/>
        <w:numPr>
          <w:ilvl w:val="0"/>
          <w:numId w:val="32"/>
        </w:numPr>
      </w:pPr>
      <w:r>
        <w:rPr>
          <w:b/>
          <w:bCs/>
        </w:rPr>
        <w:t>Analysis of market failure and suboptimal investment situations</w:t>
      </w:r>
      <w:r>
        <w:t xml:space="preserve"> – conclusions on the quantification of market failures or, as appropriate, the potential for crowding out market-provided funding;</w:t>
      </w:r>
    </w:p>
    <w:p w:rsidR="00065632" w:rsidRPr="00A64F67" w:rsidRDefault="00065632" w:rsidP="00065632">
      <w:pPr>
        <w:pStyle w:val="Odstavecseseznamem"/>
        <w:numPr>
          <w:ilvl w:val="0"/>
          <w:numId w:val="32"/>
        </w:numPr>
        <w:rPr>
          <w:b/>
          <w:bCs/>
        </w:rPr>
      </w:pPr>
      <w:r>
        <w:rPr>
          <w:b/>
          <w:bCs/>
        </w:rPr>
        <w:t>Assessment of the added value of the financial instruments and estimate of the additional public and private resources</w:t>
      </w:r>
      <w:r>
        <w:t xml:space="preserve"> – annex to the ex-ante assessment, instrument for the modelling of the multiplier effects must be updated whenever there is a change in any of the input attributes;</w:t>
      </w:r>
    </w:p>
    <w:p w:rsidR="00065632" w:rsidRPr="00A64F67" w:rsidRDefault="00065632" w:rsidP="00065632">
      <w:pPr>
        <w:pStyle w:val="Odstavecseseznamem"/>
        <w:numPr>
          <w:ilvl w:val="1"/>
          <w:numId w:val="32"/>
        </w:numPr>
      </w:pPr>
      <w:r>
        <w:t>It is necessary, if need be, to modify on a correlative basis the conclusions from the draft investment strategy and the draft setting of the indicator system;</w:t>
      </w:r>
    </w:p>
    <w:p w:rsidR="00065632" w:rsidRPr="00A64F67" w:rsidRDefault="00065632" w:rsidP="00065632">
      <w:pPr>
        <w:pStyle w:val="Odstavecseseznamem"/>
        <w:numPr>
          <w:ilvl w:val="0"/>
          <w:numId w:val="32"/>
        </w:numPr>
        <w:rPr>
          <w:b/>
          <w:bCs/>
        </w:rPr>
      </w:pPr>
      <w:r>
        <w:rPr>
          <w:b/>
          <w:bCs/>
        </w:rPr>
        <w:t>Draft investment strategy</w:t>
      </w:r>
      <w:r>
        <w:t xml:space="preserve"> – in the case of changes in the assumptions on which the draft financial instrument was built, it is necessary to update the conclusions of the draft setting of the particular form of the financial instrument;</w:t>
      </w:r>
    </w:p>
    <w:p w:rsidR="00065632" w:rsidRPr="00431945" w:rsidRDefault="00065632" w:rsidP="00065632">
      <w:pPr>
        <w:pStyle w:val="Odstavecseseznamem"/>
        <w:numPr>
          <w:ilvl w:val="0"/>
          <w:numId w:val="32"/>
        </w:numPr>
        <w:rPr>
          <w:b/>
          <w:bCs/>
        </w:rPr>
      </w:pPr>
      <w:r>
        <w:rPr>
          <w:b/>
          <w:bCs/>
        </w:rPr>
        <w:t>Specification of the expected results</w:t>
      </w:r>
      <w:r>
        <w:t xml:space="preserve"> – the chapter contains a comprehensive description of the corrective mechanisms that need to be done in the event that there is a change in some of the assumptions of the model, which was applied for the instruments during the implementation of the ex-ante assessment.</w:t>
      </w:r>
    </w:p>
    <w:p w:rsidR="00065632" w:rsidRDefault="00065632" w:rsidP="0030412A">
      <w:r>
        <w:t>A special case requiring updates and supplementation of the ex-ante assessment is the moment of approval of legislative changes in the area of social housing; they will allow the managing authority decide whether it is good to continue to provide subsidy aid or whether it will be better to shift the area to financial instruments. At that point, it will be necessary to update the respective parts of chapter 4 and supplement, in the reflection of the new set-up of the monitored area, all the chapter of block B of the ex-ante assessment, i.e. chapter 5 of the report.</w:t>
      </w:r>
    </w:p>
    <w:p w:rsidR="00065632" w:rsidRDefault="00065632" w:rsidP="0030412A">
      <w:r>
        <w:t>The update of the ex-ante assessment is necessary, in particular, in the case of the preparation of the second investment cycle (after the return of the investment proceeds). Its need may arise from the ongoing evaluation of the Programme or the need for reallocation within the Programme. It concerns the fundamental particulars of the ex-ante assessment described above. If the MA determines that there has been a change in the circumstances or economic situation, on the basis of which the initial ex-ante assessment was carried out and which may affect the course of the implementation and fulfilment of the objectives of the financial instrument, the MA shall update the original assessment and, as far as possible, modify the conditions for granting the aid through the financial instrument. The modification of the ex-ante assessment is also consulted with the PCA and the NCA.</w:t>
      </w:r>
    </w:p>
    <w:p w:rsidR="00065632" w:rsidRPr="003C422D" w:rsidRDefault="00065632" w:rsidP="0077225E">
      <w:r>
        <w:t>For the possibility of implementing the corrective measures in these cases, it is advisable to set functional monitoring and reporting for the whole period, which can timely notify the possible deficiencies of the proposed arrangement and enable a timely response announcing the achievement of optimal setting delivering the desired results aimed at the meeting of the set objectives. It is primarily necessary to set up the escalation procedure and the risk monitoring system that will allow timely reporting of the announced deficiencies to the adequate level of decision-making within the managing authority whereby opening the possibility of implementing the above-mentioned corrective measures.</w:t>
      </w:r>
    </w:p>
    <w:p w:rsidR="00065632" w:rsidRPr="00046696" w:rsidRDefault="00065632" w:rsidP="00BD1785">
      <w:r>
        <w:t>In all the above cases, it is advisable to proceed in accordance with the described methodological procedures used by the Contractor for the preparation of ex-ante assessment – these methodological procedures are described in this report, in the Input Report of the project or in the Annexes of the ex-ante assessment.</w:t>
      </w:r>
    </w:p>
    <w:p w:rsidR="00065632" w:rsidRDefault="00065632" w:rsidP="00DF217B">
      <w:pPr>
        <w:pStyle w:val="Nadpis1"/>
      </w:pPr>
      <w:bookmarkStart w:id="237" w:name="_Toc401150117"/>
      <w:bookmarkStart w:id="238" w:name="_Toc418767177"/>
      <w:bookmarkStart w:id="239" w:name="_Toc397701301"/>
      <w:bookmarkStart w:id="240" w:name="_Toc426033687"/>
      <w:r>
        <w:lastRenderedPageBreak/>
        <w:t>Annexes</w:t>
      </w:r>
      <w:bookmarkEnd w:id="237"/>
      <w:bookmarkEnd w:id="238"/>
      <w:bookmarkEnd w:id="240"/>
    </w:p>
    <w:p w:rsidR="00065632" w:rsidRPr="00943CD0" w:rsidRDefault="00065632" w:rsidP="0054691C">
      <w:r>
        <w:t>The second interim report of the ex-ante assessment is accompanied by the following annexes:</w:t>
      </w:r>
    </w:p>
    <w:p w:rsidR="00065632" w:rsidRPr="00573A70" w:rsidRDefault="00065632" w:rsidP="00065632">
      <w:pPr>
        <w:pStyle w:val="Odstavecseseznamem"/>
        <w:numPr>
          <w:ilvl w:val="0"/>
          <w:numId w:val="14"/>
        </w:numPr>
      </w:pPr>
      <w:r>
        <w:t>Annex No 1:</w:t>
      </w:r>
      <w:r>
        <w:tab/>
        <w:t>Results of the pre-screening investigation</w:t>
      </w:r>
    </w:p>
    <w:p w:rsidR="00065632" w:rsidRPr="00573A70" w:rsidRDefault="00065632" w:rsidP="00065632">
      <w:pPr>
        <w:pStyle w:val="Odstavecseseznamem"/>
        <w:numPr>
          <w:ilvl w:val="0"/>
          <w:numId w:val="14"/>
        </w:numPr>
      </w:pPr>
      <w:r>
        <w:t>Annex No 2:</w:t>
      </w:r>
      <w:r>
        <w:tab/>
        <w:t>Multiplier effect modelling</w:t>
      </w:r>
    </w:p>
    <w:p w:rsidR="00065632" w:rsidRDefault="00065632" w:rsidP="00065632">
      <w:pPr>
        <w:pStyle w:val="Odstavecseseznamem"/>
        <w:numPr>
          <w:ilvl w:val="0"/>
          <w:numId w:val="14"/>
        </w:numPr>
      </w:pPr>
      <w:r>
        <w:t>Annex No 3:</w:t>
      </w:r>
      <w:r>
        <w:tab/>
        <w:t>Evaluation of the complement with bargain bank products in the Czech Republic</w:t>
      </w:r>
    </w:p>
    <w:p w:rsidR="00065632" w:rsidRDefault="00065632" w:rsidP="00DF217B">
      <w:pPr>
        <w:pStyle w:val="Nadpis1"/>
      </w:pPr>
      <w:bookmarkStart w:id="241" w:name="_Toc401150118"/>
      <w:bookmarkStart w:id="242" w:name="_Toc418767178"/>
      <w:bookmarkStart w:id="243" w:name="_Toc426033688"/>
      <w:r>
        <w:lastRenderedPageBreak/>
        <w:t>List of sources</w:t>
      </w:r>
      <w:bookmarkEnd w:id="239"/>
      <w:bookmarkEnd w:id="241"/>
      <w:bookmarkEnd w:id="242"/>
      <w:bookmarkEnd w:id="243"/>
    </w:p>
    <w:p w:rsidR="00065632" w:rsidRPr="00482E5E" w:rsidRDefault="00065632" w:rsidP="00256BE3">
      <w:r>
        <w:t>The following input information and background materials were used for the preparation of this report:</w:t>
      </w:r>
    </w:p>
    <w:p w:rsidR="00065632" w:rsidRPr="00482E5E" w:rsidRDefault="00065632" w:rsidP="00065632">
      <w:pPr>
        <w:numPr>
          <w:ilvl w:val="0"/>
          <w:numId w:val="7"/>
        </w:numPr>
      </w:pPr>
      <w:r>
        <w:rPr>
          <w:b/>
          <w:bCs/>
        </w:rPr>
        <w:t>Regulation (EU) No 1303/2013 of the European Parliament and of the Council</w:t>
      </w:r>
      <w:r>
        <w:t xml:space="preserve"> of 17 December 2013 laying down common provisions on the European Regional Development Fund, the European Social Fund, the Cohesion Fund, the European Agricultural Fund for Rural Development and the European Maritime and Fisheries Fund and laying down general provisions on the European Regional Development Fund, the European Social Fund, the Cohesion Fund and the European Maritime and Fisheries Fund and repealing Council Regulation (EC) No 1083/2006 (hereinafter referred to as the </w:t>
      </w:r>
      <w:r>
        <w:rPr>
          <w:b/>
          <w:bCs/>
        </w:rPr>
        <w:t>“Common Provisions Regulation”</w:t>
      </w:r>
      <w:r>
        <w:t>);</w:t>
      </w:r>
    </w:p>
    <w:p w:rsidR="00065632" w:rsidRPr="00482E5E" w:rsidRDefault="00065632" w:rsidP="00065632">
      <w:pPr>
        <w:numPr>
          <w:ilvl w:val="0"/>
          <w:numId w:val="7"/>
        </w:numPr>
      </w:pPr>
      <w:r>
        <w:rPr>
          <w:b/>
          <w:bCs/>
        </w:rPr>
        <w:t>Regulation No 966/2012 of the European Parliament and of the Council</w:t>
      </w:r>
      <w:r>
        <w:t xml:space="preserve"> of 25 October 2012 on the financial rules applicable to the general budget of the Union and repealing Council Regulation (EC, </w:t>
      </w:r>
      <w:proofErr w:type="spellStart"/>
      <w:r>
        <w:t>Euratom</w:t>
      </w:r>
      <w:proofErr w:type="spellEnd"/>
      <w:r>
        <w:t xml:space="preserve">) No 1605/2002 (hereinafter the </w:t>
      </w:r>
      <w:r>
        <w:rPr>
          <w:b/>
          <w:bCs/>
        </w:rPr>
        <w:t>“Financial Regulation”</w:t>
      </w:r>
      <w:r>
        <w:t>);</w:t>
      </w:r>
    </w:p>
    <w:p w:rsidR="00065632" w:rsidRPr="005C4CD6" w:rsidRDefault="00065632" w:rsidP="00065632">
      <w:pPr>
        <w:numPr>
          <w:ilvl w:val="0"/>
          <w:numId w:val="7"/>
        </w:numPr>
      </w:pPr>
      <w:r>
        <w:rPr>
          <w:b/>
          <w:bCs/>
        </w:rPr>
        <w:t>Revised Guidance Note on Financial Engineering Instruments</w:t>
      </w:r>
      <w:r>
        <w:t xml:space="preserve"> under Article 44 of Council Regulation (EC) No 1083/2006 of 8 February 2012;</w:t>
      </w:r>
    </w:p>
    <w:p w:rsidR="00065632" w:rsidRPr="005C4CD6" w:rsidRDefault="00065632" w:rsidP="00065632">
      <w:pPr>
        <w:numPr>
          <w:ilvl w:val="0"/>
          <w:numId w:val="7"/>
        </w:numPr>
      </w:pPr>
      <w:r>
        <w:rPr>
          <w:b/>
          <w:bCs/>
        </w:rPr>
        <w:t>Standard terms and conditions for financial instruments</w:t>
      </w:r>
      <w:r>
        <w:t xml:space="preserve"> pursuant to Article 33(3)(a) of the CPR, version of 16 July 2013;</w:t>
      </w:r>
    </w:p>
    <w:p w:rsidR="00065632" w:rsidRPr="005C4CD6" w:rsidRDefault="00065632" w:rsidP="00065632">
      <w:pPr>
        <w:numPr>
          <w:ilvl w:val="0"/>
          <w:numId w:val="7"/>
        </w:numPr>
      </w:pPr>
      <w:r>
        <w:rPr>
          <w:b/>
          <w:bCs/>
        </w:rPr>
        <w:t>Ex-ante assessment methodology for financial instruments in the 2014 - 2020 programming period:</w:t>
      </w:r>
      <w:r>
        <w:t xml:space="preserve"> General methodology covering all Thematic objectives, Volume I, prepared by PwC for the EC and the EIB;</w:t>
      </w:r>
    </w:p>
    <w:p w:rsidR="00065632" w:rsidRPr="005C4CD6" w:rsidRDefault="00065632" w:rsidP="00065632">
      <w:pPr>
        <w:numPr>
          <w:ilvl w:val="0"/>
          <w:numId w:val="7"/>
        </w:numPr>
      </w:pPr>
      <w:r>
        <w:rPr>
          <w:b/>
          <w:bCs/>
        </w:rPr>
        <w:t>Ex-ante assessment methodology for financial instruments in the 2014 - 2020 programming period:</w:t>
      </w:r>
      <w:r>
        <w:t xml:space="preserve"> Strengthening research, technological development and innovation (Volume 2); prepared by PwC for the EC and the EIB;</w:t>
      </w:r>
    </w:p>
    <w:p w:rsidR="00065632" w:rsidRPr="005C4CD6" w:rsidRDefault="00065632" w:rsidP="00065632">
      <w:pPr>
        <w:numPr>
          <w:ilvl w:val="0"/>
          <w:numId w:val="7"/>
        </w:numPr>
      </w:pPr>
      <w:r>
        <w:rPr>
          <w:b/>
          <w:bCs/>
        </w:rPr>
        <w:t>Ex-ante assessment methodology for financial instruments in the 2014 - 2020 programming period:</w:t>
      </w:r>
      <w:r>
        <w:t xml:space="preserve"> Supporting the shift towards low-carbon economy (Volume 4); prepared by PwC for the EC and the EIB;</w:t>
      </w:r>
    </w:p>
    <w:p w:rsidR="00065632" w:rsidRPr="00B2788B" w:rsidRDefault="00065632" w:rsidP="00065632">
      <w:pPr>
        <w:numPr>
          <w:ilvl w:val="0"/>
          <w:numId w:val="7"/>
        </w:numPr>
      </w:pPr>
      <w:r>
        <w:rPr>
          <w:b/>
          <w:bCs/>
          <w:color w:val="000000"/>
        </w:rPr>
        <w:t>Commission Implementing Regulation (EU) No 964/2014</w:t>
      </w:r>
      <w:r>
        <w:rPr>
          <w:color w:val="000000"/>
        </w:rPr>
        <w:t xml:space="preserve"> of 11 September 2014 laying down rules for the application of Regulation (EU) No 1303/2013 of the European Parliament and of the Council as regards standard terms and conditions for financial instruments;</w:t>
      </w:r>
    </w:p>
    <w:p w:rsidR="00065632" w:rsidRPr="004C1A0C" w:rsidRDefault="00065632" w:rsidP="00065632">
      <w:pPr>
        <w:numPr>
          <w:ilvl w:val="0"/>
          <w:numId w:val="7"/>
        </w:numPr>
      </w:pPr>
      <w:r>
        <w:rPr>
          <w:b/>
          <w:bCs/>
          <w:color w:val="000000"/>
        </w:rPr>
        <w:t>Commission Implementing Regulation (EU) No 480/2014</w:t>
      </w:r>
      <w:r>
        <w:rPr>
          <w:color w:val="000000"/>
        </w:rPr>
        <w:t xml:space="preserve"> of 03 March 2014 supplementing Regulation (EU) No 1303/2013 of the European Parliament and of the Council (EU) laying down common provisions on ESI Funds;</w:t>
      </w:r>
    </w:p>
    <w:p w:rsidR="00065632" w:rsidRPr="00225979" w:rsidRDefault="00065632" w:rsidP="00065632">
      <w:pPr>
        <w:numPr>
          <w:ilvl w:val="0"/>
          <w:numId w:val="7"/>
        </w:numPr>
      </w:pPr>
      <w:r>
        <w:rPr>
          <w:b/>
          <w:bCs/>
          <w:color w:val="000000"/>
        </w:rPr>
        <w:t xml:space="preserve">Commission Implementing Regulation (EU) No 821/2014 </w:t>
      </w:r>
      <w:r>
        <w:rPr>
          <w:color w:val="000000"/>
        </w:rPr>
        <w:t>of 28 July 2014, laying down rules for the application of Regulation (EU) No 1303/2013 of the European Parliament and of the Council as regards detailed arrangements for the transfer and management of programme contributions, the reporting on financial instruments, technical characteristics of information and communication measures for operations and the system to record and store data;</w:t>
      </w:r>
    </w:p>
    <w:p w:rsidR="00065632" w:rsidRDefault="00065632" w:rsidP="00065632">
      <w:pPr>
        <w:numPr>
          <w:ilvl w:val="0"/>
          <w:numId w:val="7"/>
        </w:numPr>
      </w:pPr>
      <w:r>
        <w:rPr>
          <w:b/>
          <w:bCs/>
        </w:rPr>
        <w:t>Commission Regulation (EU) No 1407/2013</w:t>
      </w:r>
      <w:r>
        <w:t xml:space="preserve"> of 18 December 2013 on the application of Articles 107 and 108 of the Treaty on the Functioning of the European Union to de minimis aid,</w:t>
      </w:r>
    </w:p>
    <w:p w:rsidR="00065632" w:rsidRPr="004C1A0C" w:rsidRDefault="00065632" w:rsidP="00065632">
      <w:pPr>
        <w:numPr>
          <w:ilvl w:val="0"/>
          <w:numId w:val="7"/>
        </w:numPr>
      </w:pPr>
      <w:r>
        <w:rPr>
          <w:b/>
          <w:bCs/>
        </w:rPr>
        <w:t>Commission Regulation (EU) No 651/2014</w:t>
      </w:r>
      <w:r>
        <w:t xml:space="preserve"> of 17 June 2014 declaring certain categories of aid compatible with the internal market in application of Articles 107 and 108 of the Treaty;</w:t>
      </w:r>
    </w:p>
    <w:p w:rsidR="00065632" w:rsidRPr="00225979" w:rsidRDefault="00065632" w:rsidP="00065632">
      <w:pPr>
        <w:numPr>
          <w:ilvl w:val="0"/>
          <w:numId w:val="7"/>
        </w:numPr>
      </w:pPr>
      <w:r>
        <w:rPr>
          <w:b/>
          <w:bCs/>
        </w:rPr>
        <w:t>Methodical recommendation for the implementation of financial instruments in the 2014–2020 programming period</w:t>
      </w:r>
      <w:r>
        <w:t>, MRD, version of 17/09/ 2014</w:t>
      </w:r>
    </w:p>
    <w:p w:rsidR="00065632" w:rsidRPr="00482E5E" w:rsidRDefault="00065632" w:rsidP="00065632">
      <w:pPr>
        <w:numPr>
          <w:ilvl w:val="0"/>
          <w:numId w:val="7"/>
        </w:numPr>
      </w:pPr>
      <w:r>
        <w:rPr>
          <w:b/>
          <w:bCs/>
        </w:rPr>
        <w:t>Material for the Government of the Slovak Republic regarding establishment of the Slovak Investment Holding</w:t>
      </w:r>
      <w:r>
        <w:t xml:space="preserve"> as the entity responsible for IFI implementation;</w:t>
      </w:r>
    </w:p>
    <w:p w:rsidR="00065632" w:rsidRPr="00482E5E" w:rsidRDefault="00065632" w:rsidP="00065632">
      <w:pPr>
        <w:numPr>
          <w:ilvl w:val="0"/>
          <w:numId w:val="7"/>
        </w:numPr>
      </w:pPr>
      <w:r>
        <w:rPr>
          <w:b/>
          <w:bCs/>
        </w:rPr>
        <w:t>Internal materials of Deloitte</w:t>
      </w:r>
      <w:r>
        <w:t xml:space="preserve"> and its foreign offices regarding the implementation of IFI within the individual member states;</w:t>
      </w:r>
    </w:p>
    <w:p w:rsidR="00065632" w:rsidRPr="00482E5E" w:rsidRDefault="00065632" w:rsidP="00065632">
      <w:pPr>
        <w:numPr>
          <w:ilvl w:val="0"/>
          <w:numId w:val="7"/>
        </w:numPr>
      </w:pPr>
      <w:r>
        <w:rPr>
          <w:b/>
          <w:bCs/>
        </w:rPr>
        <w:lastRenderedPageBreak/>
        <w:t>Consultations with</w:t>
      </w:r>
      <w:r>
        <w:t xml:space="preserve"> internal </w:t>
      </w:r>
      <w:r>
        <w:rPr>
          <w:b/>
          <w:bCs/>
        </w:rPr>
        <w:t>lawyers</w:t>
      </w:r>
      <w:r>
        <w:t xml:space="preserve"> of Deloitte (</w:t>
      </w:r>
      <w:proofErr w:type="spellStart"/>
      <w:r>
        <w:t>Ambruz</w:t>
      </w:r>
      <w:proofErr w:type="spellEnd"/>
      <w:r>
        <w:t xml:space="preserve"> &amp; Dark Deloitte Legal, </w:t>
      </w:r>
      <w:proofErr w:type="spellStart"/>
      <w:r>
        <w:t>s.r.o</w:t>
      </w:r>
      <w:proofErr w:type="spellEnd"/>
      <w:r>
        <w:t>.);</w:t>
      </w:r>
    </w:p>
    <w:p w:rsidR="00065632" w:rsidRPr="00482E5E" w:rsidRDefault="00065632" w:rsidP="00065632">
      <w:pPr>
        <w:numPr>
          <w:ilvl w:val="0"/>
          <w:numId w:val="7"/>
        </w:numPr>
      </w:pPr>
      <w:r>
        <w:rPr>
          <w:b/>
          <w:bCs/>
        </w:rPr>
        <w:t>Statistical data from the Monit7+ system</w:t>
      </w:r>
      <w:r>
        <w:t>;</w:t>
      </w:r>
    </w:p>
    <w:p w:rsidR="00065632" w:rsidRPr="00482E5E" w:rsidRDefault="00065632" w:rsidP="00065632">
      <w:pPr>
        <w:numPr>
          <w:ilvl w:val="0"/>
          <w:numId w:val="7"/>
        </w:numPr>
      </w:pPr>
      <w:r>
        <w:rPr>
          <w:b/>
          <w:bCs/>
        </w:rPr>
        <w:t xml:space="preserve">Statistical data processed by the Czech Statistical Office, data provided by the </w:t>
      </w:r>
      <w:proofErr w:type="spellStart"/>
      <w:r>
        <w:rPr>
          <w:b/>
          <w:bCs/>
        </w:rPr>
        <w:t>MoRD</w:t>
      </w:r>
      <w:proofErr w:type="spellEnd"/>
      <w:r>
        <w:t>;</w:t>
      </w:r>
    </w:p>
    <w:p w:rsidR="00065632" w:rsidRPr="002B6432" w:rsidRDefault="00065632" w:rsidP="00065632">
      <w:pPr>
        <w:numPr>
          <w:ilvl w:val="0"/>
          <w:numId w:val="7"/>
        </w:numPr>
      </w:pPr>
      <w:r>
        <w:rPr>
          <w:b/>
          <w:bCs/>
        </w:rPr>
        <w:t>List of approved and rejected IROP projects</w:t>
      </w:r>
      <w:r>
        <w:t xml:space="preserve"> </w:t>
      </w:r>
      <w:r>
        <w:rPr>
          <w:b/>
          <w:bCs/>
        </w:rPr>
        <w:t>in the monitored areas of intervention</w:t>
      </w:r>
      <w:r>
        <w:t>;</w:t>
      </w:r>
    </w:p>
    <w:p w:rsidR="00065632" w:rsidRDefault="00065632" w:rsidP="00065632">
      <w:pPr>
        <w:numPr>
          <w:ilvl w:val="0"/>
          <w:numId w:val="7"/>
        </w:numPr>
        <w:jc w:val="left"/>
      </w:pPr>
      <w:r>
        <w:rPr>
          <w:b/>
          <w:bCs/>
        </w:rPr>
        <w:t>Green Savings and New Green Savings programmes – basic information about drawing</w:t>
      </w:r>
      <w:r>
        <w:t>;</w:t>
      </w:r>
    </w:p>
    <w:p w:rsidR="00065632" w:rsidRDefault="00065632" w:rsidP="00065632">
      <w:pPr>
        <w:numPr>
          <w:ilvl w:val="0"/>
          <w:numId w:val="7"/>
        </w:numPr>
        <w:jc w:val="left"/>
      </w:pPr>
      <w:r>
        <w:rPr>
          <w:b/>
          <w:bCs/>
        </w:rPr>
        <w:t>Directive of the European Parliament and of the Council 2012/27/EU on Energy Efficiency</w:t>
      </w:r>
      <w:r>
        <w:t>;</w:t>
      </w:r>
    </w:p>
    <w:p w:rsidR="00065632" w:rsidRPr="00747486" w:rsidRDefault="00065632" w:rsidP="00065632">
      <w:pPr>
        <w:numPr>
          <w:ilvl w:val="0"/>
          <w:numId w:val="7"/>
        </w:numPr>
        <w:jc w:val="left"/>
      </w:pPr>
      <w:r>
        <w:rPr>
          <w:b/>
          <w:bCs/>
        </w:rPr>
        <w:t xml:space="preserve">Strategy of renovation of buildings under Article 4 of the Directive on Energy Efficiency 2012/27/EU; </w:t>
      </w:r>
      <w:proofErr w:type="spellStart"/>
      <w:r>
        <w:t>Šance</w:t>
      </w:r>
      <w:proofErr w:type="spellEnd"/>
      <w:r>
        <w:t xml:space="preserve"> pro </w:t>
      </w:r>
      <w:proofErr w:type="spellStart"/>
      <w:r>
        <w:t>budovy</w:t>
      </w:r>
      <w:proofErr w:type="spellEnd"/>
      <w:r>
        <w:t>, April 2014;</w:t>
      </w:r>
    </w:p>
    <w:p w:rsidR="00065632" w:rsidRPr="00482E5E" w:rsidRDefault="00065632" w:rsidP="00065632">
      <w:pPr>
        <w:numPr>
          <w:ilvl w:val="0"/>
          <w:numId w:val="7"/>
        </w:numPr>
        <w:rPr>
          <w:b/>
          <w:bCs/>
        </w:rPr>
      </w:pPr>
      <w:r>
        <w:rPr>
          <w:b/>
          <w:bCs/>
        </w:rPr>
        <w:t xml:space="preserve">National Energy Efficiency Action Plan of the Czech Republic; </w:t>
      </w:r>
      <w:r>
        <w:t xml:space="preserve">Ministry of Industry and Trade of the CR, </w:t>
      </w:r>
      <w:r>
        <w:br/>
        <w:t>April 2014;</w:t>
      </w:r>
    </w:p>
    <w:p w:rsidR="00065632" w:rsidRPr="003A17CF" w:rsidRDefault="00065632" w:rsidP="00065632">
      <w:pPr>
        <w:numPr>
          <w:ilvl w:val="0"/>
          <w:numId w:val="7"/>
        </w:numPr>
        <w:rPr>
          <w:b/>
          <w:bCs/>
        </w:rPr>
      </w:pPr>
      <w:r>
        <w:rPr>
          <w:b/>
          <w:bCs/>
        </w:rPr>
        <w:t>Quarterly monitoring report on the course of implementation of Structural Funds and the Cohesion Fund in the programming period 2007–2013</w:t>
      </w:r>
      <w:r>
        <w:t>, Ministry of Regional Development, October 2014;</w:t>
      </w:r>
    </w:p>
    <w:p w:rsidR="00065632" w:rsidRDefault="00065632" w:rsidP="00065632">
      <w:pPr>
        <w:numPr>
          <w:ilvl w:val="0"/>
          <w:numId w:val="7"/>
        </w:numPr>
        <w:rPr>
          <w:b/>
          <w:bCs/>
        </w:rPr>
      </w:pPr>
      <w:r>
        <w:rPr>
          <w:b/>
          <w:bCs/>
        </w:rPr>
        <w:t xml:space="preserve">Survey into the housing stock and possibilities of energy savings; </w:t>
      </w:r>
      <w:proofErr w:type="spellStart"/>
      <w:r>
        <w:t>Šance</w:t>
      </w:r>
      <w:proofErr w:type="spellEnd"/>
      <w:r>
        <w:t xml:space="preserve"> pro </w:t>
      </w:r>
      <w:proofErr w:type="spellStart"/>
      <w:r>
        <w:t>budovy</w:t>
      </w:r>
      <w:proofErr w:type="spellEnd"/>
      <w:r>
        <w:t>, December 2013;</w:t>
      </w:r>
    </w:p>
    <w:p w:rsidR="00065632" w:rsidRPr="00195DF5" w:rsidRDefault="00065632" w:rsidP="00065632">
      <w:pPr>
        <w:numPr>
          <w:ilvl w:val="0"/>
          <w:numId w:val="7"/>
        </w:numPr>
        <w:rPr>
          <w:b/>
          <w:bCs/>
        </w:rPr>
      </w:pPr>
      <w:r>
        <w:rPr>
          <w:b/>
          <w:bCs/>
        </w:rPr>
        <w:t xml:space="preserve">Housing investments supported by the European Regional Development Fund 2007-2013, </w:t>
      </w:r>
      <w:r>
        <w:t>European Commission, Directorate-General for Regional and Urban Policy, September 2013;</w:t>
      </w:r>
    </w:p>
    <w:p w:rsidR="00065632" w:rsidRPr="00195DF5" w:rsidRDefault="00065632" w:rsidP="00065632">
      <w:pPr>
        <w:numPr>
          <w:ilvl w:val="0"/>
          <w:numId w:val="7"/>
        </w:numPr>
        <w:rPr>
          <w:b/>
          <w:bCs/>
        </w:rPr>
      </w:pPr>
      <w:r>
        <w:rPr>
          <w:b/>
          <w:bCs/>
        </w:rPr>
        <w:t>Financing energy efficiency in buildings: an international review of best practice and innovation</w:t>
      </w:r>
      <w:r>
        <w:t>, Association for the Conservation of Energy | Report to World Energy Council, October 2013;</w:t>
      </w:r>
    </w:p>
    <w:p w:rsidR="00065632" w:rsidRPr="00195DF5" w:rsidRDefault="00065632" w:rsidP="00065632">
      <w:pPr>
        <w:numPr>
          <w:ilvl w:val="0"/>
          <w:numId w:val="7"/>
        </w:numPr>
        <w:rPr>
          <w:b/>
          <w:bCs/>
        </w:rPr>
      </w:pPr>
      <w:r>
        <w:rPr>
          <w:b/>
          <w:bCs/>
        </w:rPr>
        <w:t>Mobilising investment in energy efficiency - Economic instruments for low</w:t>
      </w:r>
      <w:r>
        <w:rPr>
          <w:rFonts w:ascii="Cambria Math" w:hAnsi="Cambria Math" w:cs="Cambria Math"/>
          <w:b/>
          <w:bCs/>
        </w:rPr>
        <w:t>‐</w:t>
      </w:r>
      <w:r>
        <w:rPr>
          <w:b/>
          <w:bCs/>
        </w:rPr>
        <w:t>energy buildings</w:t>
      </w:r>
      <w:r>
        <w:t>, OECD/IEA, 2012;</w:t>
      </w:r>
    </w:p>
    <w:p w:rsidR="00065632" w:rsidRPr="00785EBF" w:rsidRDefault="00065632" w:rsidP="00065632">
      <w:pPr>
        <w:numPr>
          <w:ilvl w:val="0"/>
          <w:numId w:val="7"/>
        </w:numPr>
        <w:rPr>
          <w:b/>
          <w:bCs/>
        </w:rPr>
      </w:pPr>
      <w:r>
        <w:rPr>
          <w:b/>
          <w:bCs/>
        </w:rPr>
        <w:t xml:space="preserve">Study on the impacts of thermal insulation of buildings on the consumption of coal and natural gas in the Czech Republic, </w:t>
      </w:r>
      <w:proofErr w:type="spellStart"/>
      <w:r>
        <w:t>Hnutí</w:t>
      </w:r>
      <w:proofErr w:type="spellEnd"/>
      <w:r>
        <w:t xml:space="preserve"> </w:t>
      </w:r>
      <w:proofErr w:type="spellStart"/>
      <w:r>
        <w:t>Duha</w:t>
      </w:r>
      <w:proofErr w:type="spellEnd"/>
      <w:r>
        <w:t>, November 2011;</w:t>
      </w:r>
    </w:p>
    <w:p w:rsidR="00065632" w:rsidRDefault="00065632" w:rsidP="00065632">
      <w:pPr>
        <w:numPr>
          <w:ilvl w:val="0"/>
          <w:numId w:val="7"/>
        </w:numPr>
        <w:rPr>
          <w:b/>
          <w:bCs/>
        </w:rPr>
      </w:pPr>
      <w:r>
        <w:rPr>
          <w:b/>
          <w:bCs/>
        </w:rPr>
        <w:t>Final report in the evaluation of implementation of the JESSICA financial remuneration with a view to usability for the programming period 2014–2020</w:t>
      </w:r>
      <w:r>
        <w:t>; IROP Managing Authority, October 2014;</w:t>
      </w:r>
    </w:p>
    <w:p w:rsidR="00065632" w:rsidRPr="005262D7" w:rsidRDefault="00065632" w:rsidP="00065632">
      <w:pPr>
        <w:numPr>
          <w:ilvl w:val="0"/>
          <w:numId w:val="7"/>
        </w:numPr>
        <w:rPr>
          <w:b/>
          <w:bCs/>
        </w:rPr>
      </w:pPr>
      <w:r>
        <w:rPr>
          <w:b/>
          <w:bCs/>
        </w:rPr>
        <w:t xml:space="preserve">Impacts of increased energy efficiency on the Czech economy; </w:t>
      </w:r>
      <w:r>
        <w:t>Office of the Government of the CR, November 2014;</w:t>
      </w:r>
    </w:p>
    <w:p w:rsidR="00065632" w:rsidRPr="00B42329" w:rsidRDefault="00065632" w:rsidP="00065632">
      <w:pPr>
        <w:numPr>
          <w:ilvl w:val="0"/>
          <w:numId w:val="7"/>
        </w:numPr>
        <w:rPr>
          <w:b/>
          <w:bCs/>
        </w:rPr>
      </w:pPr>
      <w:r>
        <w:rPr>
          <w:b/>
          <w:bCs/>
        </w:rPr>
        <w:t>Programming document IROP 2014-2020, Version of 15/12/2014</w:t>
      </w:r>
    </w:p>
    <w:p w:rsidR="00065632" w:rsidRPr="00784EF8" w:rsidRDefault="00065632" w:rsidP="00065632">
      <w:pPr>
        <w:numPr>
          <w:ilvl w:val="0"/>
          <w:numId w:val="7"/>
        </w:numPr>
        <w:rPr>
          <w:b/>
          <w:bCs/>
        </w:rPr>
      </w:pPr>
      <w:r>
        <w:rPr>
          <w:b/>
          <w:bCs/>
        </w:rPr>
        <w:t>Deloitte questionnaire survey, March 2015;</w:t>
      </w:r>
    </w:p>
    <w:p w:rsidR="00065632" w:rsidRPr="00784EF8" w:rsidRDefault="00065632" w:rsidP="00065632">
      <w:pPr>
        <w:numPr>
          <w:ilvl w:val="0"/>
          <w:numId w:val="7"/>
        </w:numPr>
        <w:rPr>
          <w:b/>
          <w:bCs/>
        </w:rPr>
      </w:pPr>
      <w:r>
        <w:rPr>
          <w:b/>
          <w:bCs/>
        </w:rPr>
        <w:t>Green Savings Annual Report for 2013</w:t>
      </w:r>
    </w:p>
    <w:p w:rsidR="00065632" w:rsidRPr="00693AAF" w:rsidRDefault="00065632" w:rsidP="00DF217B">
      <w:pPr>
        <w:pStyle w:val="Zkladntext"/>
        <w:tabs>
          <w:tab w:val="left" w:pos="567"/>
        </w:tabs>
        <w:spacing w:before="12" w:line="247" w:lineRule="auto"/>
        <w:ind w:left="0" w:right="121"/>
        <w:jc w:val="both"/>
        <w:rPr>
          <w:spacing w:val="-2"/>
        </w:rPr>
      </w:pPr>
    </w:p>
    <w:p w:rsidR="00065632" w:rsidRDefault="00065632" w:rsidP="00DF217B">
      <w:pPr>
        <w:pStyle w:val="Nadpis1"/>
        <w:numPr>
          <w:ilvl w:val="0"/>
          <w:numId w:val="0"/>
        </w:numPr>
      </w:pPr>
      <w:bookmarkStart w:id="244" w:name="_Toc397701302"/>
      <w:bookmarkStart w:id="245" w:name="_Toc401150119"/>
      <w:bookmarkStart w:id="246" w:name="_Toc418767179"/>
      <w:bookmarkStart w:id="247" w:name="_Toc426033689"/>
      <w:r>
        <w:lastRenderedPageBreak/>
        <w:t>List of tables and figures</w:t>
      </w:r>
      <w:bookmarkEnd w:id="244"/>
      <w:bookmarkEnd w:id="245"/>
      <w:bookmarkEnd w:id="246"/>
      <w:bookmarkEnd w:id="247"/>
    </w:p>
    <w:p w:rsidR="00065632" w:rsidRDefault="00065632" w:rsidP="00DF217B">
      <w:pPr>
        <w:pStyle w:val="Nadpis2"/>
        <w:numPr>
          <w:ilvl w:val="0"/>
          <w:numId w:val="0"/>
        </w:numPr>
      </w:pPr>
      <w:bookmarkStart w:id="248" w:name="_Toc397701303"/>
      <w:bookmarkStart w:id="249" w:name="_Toc401150120"/>
      <w:bookmarkStart w:id="250" w:name="_Toc418767180"/>
      <w:bookmarkStart w:id="251" w:name="_Toc426033690"/>
      <w:r>
        <w:t>List of tables</w:t>
      </w:r>
      <w:bookmarkEnd w:id="248"/>
      <w:bookmarkEnd w:id="249"/>
      <w:bookmarkEnd w:id="250"/>
      <w:bookmarkEnd w:id="251"/>
    </w:p>
    <w:p w:rsidR="00560258" w:rsidRDefault="00065632">
      <w:pPr>
        <w:pStyle w:val="Seznamobrzk"/>
        <w:tabs>
          <w:tab w:val="right" w:leader="dot" w:pos="9060"/>
        </w:tabs>
        <w:rPr>
          <w:rFonts w:asciiTheme="minorHAnsi" w:eastAsiaTheme="minorEastAsia" w:hAnsiTheme="minorHAnsi" w:cstheme="minorBidi"/>
          <w:noProof/>
          <w:sz w:val="22"/>
          <w:szCs w:val="22"/>
          <w:lang w:val="cs-CZ" w:eastAsia="cs-CZ"/>
        </w:rPr>
      </w:pPr>
      <w:r>
        <w:fldChar w:fldCharType="begin"/>
      </w:r>
      <w:r>
        <w:instrText xml:space="preserve"> TOC \h \z \c "Tabulka" </w:instrText>
      </w:r>
      <w:r>
        <w:fldChar w:fldCharType="separate"/>
      </w:r>
      <w:hyperlink w:anchor="_Toc426033910" w:history="1">
        <w:r w:rsidR="00560258" w:rsidRPr="00E34FD2">
          <w:rPr>
            <w:rStyle w:val="Hypertextovodkaz"/>
            <w:noProof/>
          </w:rPr>
          <w:t>Table 1: Definition of terms</w:t>
        </w:r>
        <w:r w:rsidR="00560258">
          <w:rPr>
            <w:noProof/>
            <w:webHidden/>
          </w:rPr>
          <w:tab/>
        </w:r>
        <w:r w:rsidR="00560258">
          <w:rPr>
            <w:noProof/>
            <w:webHidden/>
          </w:rPr>
          <w:fldChar w:fldCharType="begin"/>
        </w:r>
        <w:r w:rsidR="00560258">
          <w:rPr>
            <w:noProof/>
            <w:webHidden/>
          </w:rPr>
          <w:instrText xml:space="preserve"> PAGEREF _Toc426033910 \h </w:instrText>
        </w:r>
        <w:r w:rsidR="00560258">
          <w:rPr>
            <w:noProof/>
            <w:webHidden/>
          </w:rPr>
        </w:r>
        <w:r w:rsidR="00560258">
          <w:rPr>
            <w:noProof/>
            <w:webHidden/>
          </w:rPr>
          <w:fldChar w:fldCharType="separate"/>
        </w:r>
        <w:r w:rsidR="00560258">
          <w:rPr>
            <w:noProof/>
            <w:webHidden/>
          </w:rPr>
          <w:t>5</w:t>
        </w:r>
        <w:r w:rsidR="00560258">
          <w:rPr>
            <w:noProof/>
            <w:webHidden/>
          </w:rPr>
          <w:fldChar w:fldCharType="end"/>
        </w:r>
      </w:hyperlink>
    </w:p>
    <w:p w:rsidR="00560258" w:rsidRDefault="00560258">
      <w:pPr>
        <w:pStyle w:val="Seznamobrzk"/>
        <w:tabs>
          <w:tab w:val="right" w:leader="dot" w:pos="9060"/>
        </w:tabs>
        <w:rPr>
          <w:rFonts w:asciiTheme="minorHAnsi" w:eastAsiaTheme="minorEastAsia" w:hAnsiTheme="minorHAnsi" w:cstheme="minorBidi"/>
          <w:noProof/>
          <w:sz w:val="22"/>
          <w:szCs w:val="22"/>
          <w:lang w:val="cs-CZ" w:eastAsia="cs-CZ"/>
        </w:rPr>
      </w:pPr>
      <w:hyperlink w:anchor="_Toc426033911" w:history="1">
        <w:r w:rsidRPr="00E34FD2">
          <w:rPr>
            <w:rStyle w:val="Hypertextovodkaz"/>
            <w:noProof/>
          </w:rPr>
          <w:t>Table 2: Definition of attributes for the execution of the pre-screening evaluation</w:t>
        </w:r>
        <w:r>
          <w:rPr>
            <w:noProof/>
            <w:webHidden/>
          </w:rPr>
          <w:tab/>
        </w:r>
        <w:r>
          <w:rPr>
            <w:noProof/>
            <w:webHidden/>
          </w:rPr>
          <w:fldChar w:fldCharType="begin"/>
        </w:r>
        <w:r>
          <w:rPr>
            <w:noProof/>
            <w:webHidden/>
          </w:rPr>
          <w:instrText xml:space="preserve"> PAGEREF _Toc426033911 \h </w:instrText>
        </w:r>
        <w:r>
          <w:rPr>
            <w:noProof/>
            <w:webHidden/>
          </w:rPr>
        </w:r>
        <w:r>
          <w:rPr>
            <w:noProof/>
            <w:webHidden/>
          </w:rPr>
          <w:fldChar w:fldCharType="separate"/>
        </w:r>
        <w:r>
          <w:rPr>
            <w:noProof/>
            <w:webHidden/>
          </w:rPr>
          <w:t>21</w:t>
        </w:r>
        <w:r>
          <w:rPr>
            <w:noProof/>
            <w:webHidden/>
          </w:rPr>
          <w:fldChar w:fldCharType="end"/>
        </w:r>
      </w:hyperlink>
    </w:p>
    <w:p w:rsidR="00560258" w:rsidRDefault="00560258">
      <w:pPr>
        <w:pStyle w:val="Seznamobrzk"/>
        <w:tabs>
          <w:tab w:val="right" w:leader="dot" w:pos="9060"/>
        </w:tabs>
        <w:rPr>
          <w:rFonts w:asciiTheme="minorHAnsi" w:eastAsiaTheme="minorEastAsia" w:hAnsiTheme="minorHAnsi" w:cstheme="minorBidi"/>
          <w:noProof/>
          <w:sz w:val="22"/>
          <w:szCs w:val="22"/>
          <w:lang w:val="cs-CZ" w:eastAsia="cs-CZ"/>
        </w:rPr>
      </w:pPr>
      <w:hyperlink w:anchor="_Toc426033912" w:history="1">
        <w:r w:rsidRPr="00E34FD2">
          <w:rPr>
            <w:rStyle w:val="Hypertextovodkaz"/>
            <w:noProof/>
          </w:rPr>
          <w:t>Table 3: Assessment of potential for use of IFIs in IROP 2014-2020 by individual supported activities</w:t>
        </w:r>
        <w:r>
          <w:rPr>
            <w:noProof/>
            <w:webHidden/>
          </w:rPr>
          <w:tab/>
        </w:r>
        <w:r>
          <w:rPr>
            <w:noProof/>
            <w:webHidden/>
          </w:rPr>
          <w:fldChar w:fldCharType="begin"/>
        </w:r>
        <w:r>
          <w:rPr>
            <w:noProof/>
            <w:webHidden/>
          </w:rPr>
          <w:instrText xml:space="preserve"> PAGEREF _Toc426033912 \h </w:instrText>
        </w:r>
        <w:r>
          <w:rPr>
            <w:noProof/>
            <w:webHidden/>
          </w:rPr>
        </w:r>
        <w:r>
          <w:rPr>
            <w:noProof/>
            <w:webHidden/>
          </w:rPr>
          <w:fldChar w:fldCharType="separate"/>
        </w:r>
        <w:r>
          <w:rPr>
            <w:noProof/>
            <w:webHidden/>
          </w:rPr>
          <w:t>24</w:t>
        </w:r>
        <w:r>
          <w:rPr>
            <w:noProof/>
            <w:webHidden/>
          </w:rPr>
          <w:fldChar w:fldCharType="end"/>
        </w:r>
      </w:hyperlink>
    </w:p>
    <w:p w:rsidR="00560258" w:rsidRDefault="00560258">
      <w:pPr>
        <w:pStyle w:val="Seznamobrzk"/>
        <w:tabs>
          <w:tab w:val="right" w:leader="dot" w:pos="9060"/>
        </w:tabs>
        <w:rPr>
          <w:rFonts w:asciiTheme="minorHAnsi" w:eastAsiaTheme="minorEastAsia" w:hAnsiTheme="minorHAnsi" w:cstheme="minorBidi"/>
          <w:noProof/>
          <w:sz w:val="22"/>
          <w:szCs w:val="22"/>
          <w:lang w:val="cs-CZ" w:eastAsia="cs-CZ"/>
        </w:rPr>
      </w:pPr>
      <w:hyperlink w:anchor="_Toc426033913" w:history="1">
        <w:r w:rsidRPr="00E34FD2">
          <w:rPr>
            <w:rStyle w:val="Hypertextovodkaz"/>
            <w:noProof/>
          </w:rPr>
          <w:t>Table 4: An overview of the potential of subsidy and a loan instrument to correct the identified market failures</w:t>
        </w:r>
        <w:r>
          <w:rPr>
            <w:noProof/>
            <w:webHidden/>
          </w:rPr>
          <w:tab/>
        </w:r>
        <w:r>
          <w:rPr>
            <w:noProof/>
            <w:webHidden/>
          </w:rPr>
          <w:fldChar w:fldCharType="begin"/>
        </w:r>
        <w:r>
          <w:rPr>
            <w:noProof/>
            <w:webHidden/>
          </w:rPr>
          <w:instrText xml:space="preserve"> PAGEREF _Toc426033913 \h </w:instrText>
        </w:r>
        <w:r>
          <w:rPr>
            <w:noProof/>
            <w:webHidden/>
          </w:rPr>
        </w:r>
        <w:r>
          <w:rPr>
            <w:noProof/>
            <w:webHidden/>
          </w:rPr>
          <w:fldChar w:fldCharType="separate"/>
        </w:r>
        <w:r>
          <w:rPr>
            <w:noProof/>
            <w:webHidden/>
          </w:rPr>
          <w:t>35</w:t>
        </w:r>
        <w:r>
          <w:rPr>
            <w:noProof/>
            <w:webHidden/>
          </w:rPr>
          <w:fldChar w:fldCharType="end"/>
        </w:r>
      </w:hyperlink>
    </w:p>
    <w:p w:rsidR="00560258" w:rsidRDefault="00560258">
      <w:pPr>
        <w:pStyle w:val="Seznamobrzk"/>
        <w:tabs>
          <w:tab w:val="right" w:leader="dot" w:pos="9060"/>
        </w:tabs>
        <w:rPr>
          <w:rFonts w:asciiTheme="minorHAnsi" w:eastAsiaTheme="minorEastAsia" w:hAnsiTheme="minorHAnsi" w:cstheme="minorBidi"/>
          <w:noProof/>
          <w:sz w:val="22"/>
          <w:szCs w:val="22"/>
          <w:lang w:val="cs-CZ" w:eastAsia="cs-CZ"/>
        </w:rPr>
      </w:pPr>
      <w:hyperlink w:anchor="_Toc426033914" w:history="1">
        <w:r w:rsidRPr="00E34FD2">
          <w:rPr>
            <w:rStyle w:val="Hypertextovodkaz"/>
            <w:noProof/>
          </w:rPr>
          <w:t>Table 5: State of play of the JESSICA programme implementation</w:t>
        </w:r>
        <w:r>
          <w:rPr>
            <w:noProof/>
            <w:webHidden/>
          </w:rPr>
          <w:tab/>
        </w:r>
        <w:r>
          <w:rPr>
            <w:noProof/>
            <w:webHidden/>
          </w:rPr>
          <w:fldChar w:fldCharType="begin"/>
        </w:r>
        <w:r>
          <w:rPr>
            <w:noProof/>
            <w:webHidden/>
          </w:rPr>
          <w:instrText xml:space="preserve"> PAGEREF _Toc426033914 \h </w:instrText>
        </w:r>
        <w:r>
          <w:rPr>
            <w:noProof/>
            <w:webHidden/>
          </w:rPr>
        </w:r>
        <w:r>
          <w:rPr>
            <w:noProof/>
            <w:webHidden/>
          </w:rPr>
          <w:fldChar w:fldCharType="separate"/>
        </w:r>
        <w:r>
          <w:rPr>
            <w:noProof/>
            <w:webHidden/>
          </w:rPr>
          <w:t>42</w:t>
        </w:r>
        <w:r>
          <w:rPr>
            <w:noProof/>
            <w:webHidden/>
          </w:rPr>
          <w:fldChar w:fldCharType="end"/>
        </w:r>
      </w:hyperlink>
    </w:p>
    <w:p w:rsidR="00560258" w:rsidRDefault="00560258">
      <w:pPr>
        <w:pStyle w:val="Seznamobrzk"/>
        <w:tabs>
          <w:tab w:val="right" w:leader="dot" w:pos="9060"/>
        </w:tabs>
        <w:rPr>
          <w:rFonts w:asciiTheme="minorHAnsi" w:eastAsiaTheme="minorEastAsia" w:hAnsiTheme="minorHAnsi" w:cstheme="minorBidi"/>
          <w:noProof/>
          <w:sz w:val="22"/>
          <w:szCs w:val="22"/>
          <w:lang w:val="cs-CZ" w:eastAsia="cs-CZ"/>
        </w:rPr>
      </w:pPr>
      <w:hyperlink w:anchor="_Toc426033915" w:history="1">
        <w:r w:rsidRPr="00E34FD2">
          <w:rPr>
            <w:rStyle w:val="Hypertextovodkaz"/>
            <w:noProof/>
          </w:rPr>
          <w:t>Table 6: Estimated investment need of the residential sector and the corresponding energy savings</w:t>
        </w:r>
        <w:r>
          <w:rPr>
            <w:noProof/>
            <w:webHidden/>
          </w:rPr>
          <w:tab/>
        </w:r>
        <w:r>
          <w:rPr>
            <w:noProof/>
            <w:webHidden/>
          </w:rPr>
          <w:fldChar w:fldCharType="begin"/>
        </w:r>
        <w:r>
          <w:rPr>
            <w:noProof/>
            <w:webHidden/>
          </w:rPr>
          <w:instrText xml:space="preserve"> PAGEREF _Toc426033915 \h </w:instrText>
        </w:r>
        <w:r>
          <w:rPr>
            <w:noProof/>
            <w:webHidden/>
          </w:rPr>
        </w:r>
        <w:r>
          <w:rPr>
            <w:noProof/>
            <w:webHidden/>
          </w:rPr>
          <w:fldChar w:fldCharType="separate"/>
        </w:r>
        <w:r>
          <w:rPr>
            <w:noProof/>
            <w:webHidden/>
          </w:rPr>
          <w:t>44</w:t>
        </w:r>
        <w:r>
          <w:rPr>
            <w:noProof/>
            <w:webHidden/>
          </w:rPr>
          <w:fldChar w:fldCharType="end"/>
        </w:r>
      </w:hyperlink>
    </w:p>
    <w:p w:rsidR="00560258" w:rsidRDefault="00560258">
      <w:pPr>
        <w:pStyle w:val="Seznamobrzk"/>
        <w:tabs>
          <w:tab w:val="right" w:leader="dot" w:pos="9060"/>
        </w:tabs>
        <w:rPr>
          <w:rFonts w:asciiTheme="minorHAnsi" w:eastAsiaTheme="minorEastAsia" w:hAnsiTheme="minorHAnsi" w:cstheme="minorBidi"/>
          <w:noProof/>
          <w:sz w:val="22"/>
          <w:szCs w:val="22"/>
          <w:lang w:val="cs-CZ" w:eastAsia="cs-CZ"/>
        </w:rPr>
      </w:pPr>
      <w:hyperlink w:anchor="_Toc426033916" w:history="1">
        <w:r w:rsidRPr="00E34FD2">
          <w:rPr>
            <w:rStyle w:val="Hypertextovodkaz"/>
            <w:noProof/>
          </w:rPr>
          <w:t>Table 7: Comparison of basic attributes of selected IFIs abroad</w:t>
        </w:r>
        <w:r>
          <w:rPr>
            <w:noProof/>
            <w:webHidden/>
          </w:rPr>
          <w:tab/>
        </w:r>
        <w:r>
          <w:rPr>
            <w:noProof/>
            <w:webHidden/>
          </w:rPr>
          <w:fldChar w:fldCharType="begin"/>
        </w:r>
        <w:r>
          <w:rPr>
            <w:noProof/>
            <w:webHidden/>
          </w:rPr>
          <w:instrText xml:space="preserve"> PAGEREF _Toc426033916 \h </w:instrText>
        </w:r>
        <w:r>
          <w:rPr>
            <w:noProof/>
            <w:webHidden/>
          </w:rPr>
        </w:r>
        <w:r>
          <w:rPr>
            <w:noProof/>
            <w:webHidden/>
          </w:rPr>
          <w:fldChar w:fldCharType="separate"/>
        </w:r>
        <w:r>
          <w:rPr>
            <w:noProof/>
            <w:webHidden/>
          </w:rPr>
          <w:t>59</w:t>
        </w:r>
        <w:r>
          <w:rPr>
            <w:noProof/>
            <w:webHidden/>
          </w:rPr>
          <w:fldChar w:fldCharType="end"/>
        </w:r>
      </w:hyperlink>
    </w:p>
    <w:p w:rsidR="00560258" w:rsidRDefault="00560258">
      <w:pPr>
        <w:pStyle w:val="Seznamobrzk"/>
        <w:tabs>
          <w:tab w:val="right" w:leader="dot" w:pos="9060"/>
        </w:tabs>
        <w:rPr>
          <w:rFonts w:asciiTheme="minorHAnsi" w:eastAsiaTheme="minorEastAsia" w:hAnsiTheme="minorHAnsi" w:cstheme="minorBidi"/>
          <w:noProof/>
          <w:sz w:val="22"/>
          <w:szCs w:val="22"/>
          <w:lang w:val="cs-CZ" w:eastAsia="cs-CZ"/>
        </w:rPr>
      </w:pPr>
      <w:hyperlink w:anchor="_Toc426033917" w:history="1">
        <w:r w:rsidRPr="00E34FD2">
          <w:rPr>
            <w:rStyle w:val="Hypertextovodkaz"/>
            <w:noProof/>
          </w:rPr>
          <w:t>Table 8: Maximal grant amount per one housing unit provided by KfW</w:t>
        </w:r>
        <w:r>
          <w:rPr>
            <w:noProof/>
            <w:webHidden/>
          </w:rPr>
          <w:tab/>
        </w:r>
        <w:r>
          <w:rPr>
            <w:noProof/>
            <w:webHidden/>
          </w:rPr>
          <w:fldChar w:fldCharType="begin"/>
        </w:r>
        <w:r>
          <w:rPr>
            <w:noProof/>
            <w:webHidden/>
          </w:rPr>
          <w:instrText xml:space="preserve"> PAGEREF _Toc426033917 \h </w:instrText>
        </w:r>
        <w:r>
          <w:rPr>
            <w:noProof/>
            <w:webHidden/>
          </w:rPr>
        </w:r>
        <w:r>
          <w:rPr>
            <w:noProof/>
            <w:webHidden/>
          </w:rPr>
          <w:fldChar w:fldCharType="separate"/>
        </w:r>
        <w:r>
          <w:rPr>
            <w:noProof/>
            <w:webHidden/>
          </w:rPr>
          <w:t>62</w:t>
        </w:r>
        <w:r>
          <w:rPr>
            <w:noProof/>
            <w:webHidden/>
          </w:rPr>
          <w:fldChar w:fldCharType="end"/>
        </w:r>
      </w:hyperlink>
    </w:p>
    <w:p w:rsidR="00560258" w:rsidRDefault="00560258">
      <w:pPr>
        <w:pStyle w:val="Seznamobrzk"/>
        <w:tabs>
          <w:tab w:val="right" w:leader="dot" w:pos="9060"/>
        </w:tabs>
        <w:rPr>
          <w:rFonts w:asciiTheme="minorHAnsi" w:eastAsiaTheme="minorEastAsia" w:hAnsiTheme="minorHAnsi" w:cstheme="minorBidi"/>
          <w:noProof/>
          <w:sz w:val="22"/>
          <w:szCs w:val="22"/>
          <w:lang w:val="cs-CZ" w:eastAsia="cs-CZ"/>
        </w:rPr>
      </w:pPr>
      <w:hyperlink w:anchor="_Toc426033918" w:history="1">
        <w:r w:rsidRPr="00E34FD2">
          <w:rPr>
            <w:rStyle w:val="Hypertextovodkaz"/>
            <w:noProof/>
          </w:rPr>
          <w:t>Table 9: Bonus for repayment of loan provided by KfW</w:t>
        </w:r>
        <w:r>
          <w:rPr>
            <w:noProof/>
            <w:webHidden/>
          </w:rPr>
          <w:tab/>
        </w:r>
        <w:r>
          <w:rPr>
            <w:noProof/>
            <w:webHidden/>
          </w:rPr>
          <w:fldChar w:fldCharType="begin"/>
        </w:r>
        <w:r>
          <w:rPr>
            <w:noProof/>
            <w:webHidden/>
          </w:rPr>
          <w:instrText xml:space="preserve"> PAGEREF _Toc426033918 \h </w:instrText>
        </w:r>
        <w:r>
          <w:rPr>
            <w:noProof/>
            <w:webHidden/>
          </w:rPr>
        </w:r>
        <w:r>
          <w:rPr>
            <w:noProof/>
            <w:webHidden/>
          </w:rPr>
          <w:fldChar w:fldCharType="separate"/>
        </w:r>
        <w:r>
          <w:rPr>
            <w:noProof/>
            <w:webHidden/>
          </w:rPr>
          <w:t>62</w:t>
        </w:r>
        <w:r>
          <w:rPr>
            <w:noProof/>
            <w:webHidden/>
          </w:rPr>
          <w:fldChar w:fldCharType="end"/>
        </w:r>
      </w:hyperlink>
    </w:p>
    <w:p w:rsidR="00560258" w:rsidRDefault="00560258">
      <w:pPr>
        <w:pStyle w:val="Seznamobrzk"/>
        <w:tabs>
          <w:tab w:val="right" w:leader="dot" w:pos="9060"/>
        </w:tabs>
        <w:rPr>
          <w:rFonts w:asciiTheme="minorHAnsi" w:eastAsiaTheme="minorEastAsia" w:hAnsiTheme="minorHAnsi" w:cstheme="minorBidi"/>
          <w:noProof/>
          <w:sz w:val="22"/>
          <w:szCs w:val="22"/>
          <w:lang w:val="cs-CZ" w:eastAsia="cs-CZ"/>
        </w:rPr>
      </w:pPr>
      <w:hyperlink w:anchor="_Toc426033919" w:history="1">
        <w:r w:rsidRPr="00E34FD2">
          <w:rPr>
            <w:rStyle w:val="Hypertextovodkaz"/>
            <w:noProof/>
          </w:rPr>
          <w:t>Table 10: A summary of advantages and disadvantages of each variant of implementation arrangement</w:t>
        </w:r>
        <w:r>
          <w:rPr>
            <w:noProof/>
            <w:webHidden/>
          </w:rPr>
          <w:tab/>
        </w:r>
        <w:r>
          <w:rPr>
            <w:noProof/>
            <w:webHidden/>
          </w:rPr>
          <w:fldChar w:fldCharType="begin"/>
        </w:r>
        <w:r>
          <w:rPr>
            <w:noProof/>
            <w:webHidden/>
          </w:rPr>
          <w:instrText xml:space="preserve"> PAGEREF _Toc426033919 \h </w:instrText>
        </w:r>
        <w:r>
          <w:rPr>
            <w:noProof/>
            <w:webHidden/>
          </w:rPr>
        </w:r>
        <w:r>
          <w:rPr>
            <w:noProof/>
            <w:webHidden/>
          </w:rPr>
          <w:fldChar w:fldCharType="separate"/>
        </w:r>
        <w:r>
          <w:rPr>
            <w:noProof/>
            <w:webHidden/>
          </w:rPr>
          <w:t>70</w:t>
        </w:r>
        <w:r>
          <w:rPr>
            <w:noProof/>
            <w:webHidden/>
          </w:rPr>
          <w:fldChar w:fldCharType="end"/>
        </w:r>
      </w:hyperlink>
    </w:p>
    <w:p w:rsidR="00560258" w:rsidRDefault="00560258">
      <w:pPr>
        <w:pStyle w:val="Seznamobrzk"/>
        <w:tabs>
          <w:tab w:val="right" w:leader="dot" w:pos="9060"/>
        </w:tabs>
        <w:rPr>
          <w:rFonts w:asciiTheme="minorHAnsi" w:eastAsiaTheme="minorEastAsia" w:hAnsiTheme="minorHAnsi" w:cstheme="minorBidi"/>
          <w:noProof/>
          <w:sz w:val="22"/>
          <w:szCs w:val="22"/>
          <w:lang w:val="cs-CZ" w:eastAsia="cs-CZ"/>
        </w:rPr>
      </w:pPr>
      <w:hyperlink w:anchor="_Toc426033920" w:history="1">
        <w:r w:rsidRPr="00E34FD2">
          <w:rPr>
            <w:rStyle w:val="Hypertextovodkaz"/>
            <w:noProof/>
          </w:rPr>
          <w:t>Table 11: Overview of constraints and open questions restricting the level of detail of the ex-ante assessment</w:t>
        </w:r>
        <w:r>
          <w:rPr>
            <w:noProof/>
            <w:webHidden/>
          </w:rPr>
          <w:tab/>
        </w:r>
        <w:r>
          <w:rPr>
            <w:noProof/>
            <w:webHidden/>
          </w:rPr>
          <w:fldChar w:fldCharType="begin"/>
        </w:r>
        <w:r>
          <w:rPr>
            <w:noProof/>
            <w:webHidden/>
          </w:rPr>
          <w:instrText xml:space="preserve"> PAGEREF _Toc426033920 \h </w:instrText>
        </w:r>
        <w:r>
          <w:rPr>
            <w:noProof/>
            <w:webHidden/>
          </w:rPr>
        </w:r>
        <w:r>
          <w:rPr>
            <w:noProof/>
            <w:webHidden/>
          </w:rPr>
          <w:fldChar w:fldCharType="separate"/>
        </w:r>
        <w:r>
          <w:rPr>
            <w:noProof/>
            <w:webHidden/>
          </w:rPr>
          <w:t>91</w:t>
        </w:r>
        <w:r>
          <w:rPr>
            <w:noProof/>
            <w:webHidden/>
          </w:rPr>
          <w:fldChar w:fldCharType="end"/>
        </w:r>
      </w:hyperlink>
    </w:p>
    <w:p w:rsidR="00560258" w:rsidRDefault="00560258">
      <w:pPr>
        <w:pStyle w:val="Seznamobrzk"/>
        <w:tabs>
          <w:tab w:val="right" w:leader="dot" w:pos="9060"/>
        </w:tabs>
        <w:rPr>
          <w:rFonts w:asciiTheme="minorHAnsi" w:eastAsiaTheme="minorEastAsia" w:hAnsiTheme="minorHAnsi" w:cstheme="minorBidi"/>
          <w:noProof/>
          <w:sz w:val="22"/>
          <w:szCs w:val="22"/>
          <w:lang w:val="cs-CZ" w:eastAsia="cs-CZ"/>
        </w:rPr>
      </w:pPr>
      <w:hyperlink w:anchor="_Toc426033921" w:history="1">
        <w:r w:rsidRPr="00E34FD2">
          <w:rPr>
            <w:rStyle w:val="Hypertextovodkaz"/>
            <w:noProof/>
          </w:rPr>
          <w:t>Table 12: Summary of advantages and disadvantages of the options of design of the loan financial instrument</w:t>
        </w:r>
        <w:r>
          <w:rPr>
            <w:noProof/>
            <w:webHidden/>
          </w:rPr>
          <w:tab/>
        </w:r>
        <w:r>
          <w:rPr>
            <w:noProof/>
            <w:webHidden/>
          </w:rPr>
          <w:fldChar w:fldCharType="begin"/>
        </w:r>
        <w:r>
          <w:rPr>
            <w:noProof/>
            <w:webHidden/>
          </w:rPr>
          <w:instrText xml:space="preserve"> PAGEREF _Toc426033921 \h </w:instrText>
        </w:r>
        <w:r>
          <w:rPr>
            <w:noProof/>
            <w:webHidden/>
          </w:rPr>
        </w:r>
        <w:r>
          <w:rPr>
            <w:noProof/>
            <w:webHidden/>
          </w:rPr>
          <w:fldChar w:fldCharType="separate"/>
        </w:r>
        <w:r>
          <w:rPr>
            <w:noProof/>
            <w:webHidden/>
          </w:rPr>
          <w:t>110</w:t>
        </w:r>
        <w:r>
          <w:rPr>
            <w:noProof/>
            <w:webHidden/>
          </w:rPr>
          <w:fldChar w:fldCharType="end"/>
        </w:r>
      </w:hyperlink>
    </w:p>
    <w:p w:rsidR="00560258" w:rsidRDefault="00560258">
      <w:pPr>
        <w:pStyle w:val="Seznamobrzk"/>
        <w:tabs>
          <w:tab w:val="right" w:leader="dot" w:pos="9060"/>
        </w:tabs>
        <w:rPr>
          <w:rFonts w:asciiTheme="minorHAnsi" w:eastAsiaTheme="minorEastAsia" w:hAnsiTheme="minorHAnsi" w:cstheme="minorBidi"/>
          <w:noProof/>
          <w:sz w:val="22"/>
          <w:szCs w:val="22"/>
          <w:lang w:val="cs-CZ" w:eastAsia="cs-CZ"/>
        </w:rPr>
      </w:pPr>
      <w:hyperlink w:anchor="_Toc426033922" w:history="1">
        <w:r w:rsidRPr="00E34FD2">
          <w:rPr>
            <w:rStyle w:val="Hypertextovodkaz"/>
            <w:noProof/>
          </w:rPr>
          <w:t>Table 13: Analysis of economic impact on beneficiaries of aid in a typical project</w:t>
        </w:r>
        <w:r>
          <w:rPr>
            <w:noProof/>
            <w:webHidden/>
          </w:rPr>
          <w:tab/>
        </w:r>
        <w:r>
          <w:rPr>
            <w:noProof/>
            <w:webHidden/>
          </w:rPr>
          <w:fldChar w:fldCharType="begin"/>
        </w:r>
        <w:r>
          <w:rPr>
            <w:noProof/>
            <w:webHidden/>
          </w:rPr>
          <w:instrText xml:space="preserve"> PAGEREF _Toc426033922 \h </w:instrText>
        </w:r>
        <w:r>
          <w:rPr>
            <w:noProof/>
            <w:webHidden/>
          </w:rPr>
        </w:r>
        <w:r>
          <w:rPr>
            <w:noProof/>
            <w:webHidden/>
          </w:rPr>
          <w:fldChar w:fldCharType="separate"/>
        </w:r>
        <w:r>
          <w:rPr>
            <w:noProof/>
            <w:webHidden/>
          </w:rPr>
          <w:t>111</w:t>
        </w:r>
        <w:r>
          <w:rPr>
            <w:noProof/>
            <w:webHidden/>
          </w:rPr>
          <w:fldChar w:fldCharType="end"/>
        </w:r>
      </w:hyperlink>
    </w:p>
    <w:p w:rsidR="00560258" w:rsidRDefault="00560258">
      <w:pPr>
        <w:pStyle w:val="Seznamobrzk"/>
        <w:tabs>
          <w:tab w:val="right" w:leader="dot" w:pos="9060"/>
        </w:tabs>
        <w:rPr>
          <w:rFonts w:asciiTheme="minorHAnsi" w:eastAsiaTheme="minorEastAsia" w:hAnsiTheme="minorHAnsi" w:cstheme="minorBidi"/>
          <w:noProof/>
          <w:sz w:val="22"/>
          <w:szCs w:val="22"/>
          <w:lang w:val="cs-CZ" w:eastAsia="cs-CZ"/>
        </w:rPr>
      </w:pPr>
      <w:hyperlink w:anchor="_Toc426033923" w:history="1">
        <w:r w:rsidRPr="00E34FD2">
          <w:rPr>
            <w:rStyle w:val="Hypertextovodkaz"/>
            <w:noProof/>
          </w:rPr>
          <w:t>Table 14: Underlying matrix for the conversion of risk premium according to the Commission Communication 2008/C 14/02</w:t>
        </w:r>
        <w:r>
          <w:rPr>
            <w:noProof/>
            <w:webHidden/>
          </w:rPr>
          <w:tab/>
        </w:r>
        <w:r>
          <w:rPr>
            <w:noProof/>
            <w:webHidden/>
          </w:rPr>
          <w:fldChar w:fldCharType="begin"/>
        </w:r>
        <w:r>
          <w:rPr>
            <w:noProof/>
            <w:webHidden/>
          </w:rPr>
          <w:instrText xml:space="preserve"> PAGEREF _Toc426033923 \h </w:instrText>
        </w:r>
        <w:r>
          <w:rPr>
            <w:noProof/>
            <w:webHidden/>
          </w:rPr>
        </w:r>
        <w:r>
          <w:rPr>
            <w:noProof/>
            <w:webHidden/>
          </w:rPr>
          <w:fldChar w:fldCharType="separate"/>
        </w:r>
        <w:r>
          <w:rPr>
            <w:noProof/>
            <w:webHidden/>
          </w:rPr>
          <w:t>121</w:t>
        </w:r>
        <w:r>
          <w:rPr>
            <w:noProof/>
            <w:webHidden/>
          </w:rPr>
          <w:fldChar w:fldCharType="end"/>
        </w:r>
      </w:hyperlink>
    </w:p>
    <w:p w:rsidR="00560258" w:rsidRDefault="00560258">
      <w:pPr>
        <w:pStyle w:val="Seznamobrzk"/>
        <w:tabs>
          <w:tab w:val="right" w:leader="dot" w:pos="9060"/>
        </w:tabs>
        <w:rPr>
          <w:rFonts w:asciiTheme="minorHAnsi" w:eastAsiaTheme="minorEastAsia" w:hAnsiTheme="minorHAnsi" w:cstheme="minorBidi"/>
          <w:noProof/>
          <w:sz w:val="22"/>
          <w:szCs w:val="22"/>
          <w:lang w:val="cs-CZ" w:eastAsia="cs-CZ"/>
        </w:rPr>
      </w:pPr>
      <w:hyperlink w:anchor="_Toc426033924" w:history="1">
        <w:r w:rsidRPr="00E34FD2">
          <w:rPr>
            <w:rStyle w:val="Hypertextovodkaz"/>
            <w:noProof/>
          </w:rPr>
          <w:t>Table 15: Calculation of gross grant equivalent in model projects</w:t>
        </w:r>
        <w:r>
          <w:rPr>
            <w:noProof/>
            <w:webHidden/>
          </w:rPr>
          <w:tab/>
        </w:r>
        <w:r>
          <w:rPr>
            <w:noProof/>
            <w:webHidden/>
          </w:rPr>
          <w:fldChar w:fldCharType="begin"/>
        </w:r>
        <w:r>
          <w:rPr>
            <w:noProof/>
            <w:webHidden/>
          </w:rPr>
          <w:instrText xml:space="preserve"> PAGEREF _Toc426033924 \h </w:instrText>
        </w:r>
        <w:r>
          <w:rPr>
            <w:noProof/>
            <w:webHidden/>
          </w:rPr>
        </w:r>
        <w:r>
          <w:rPr>
            <w:noProof/>
            <w:webHidden/>
          </w:rPr>
          <w:fldChar w:fldCharType="separate"/>
        </w:r>
        <w:r>
          <w:rPr>
            <w:noProof/>
            <w:webHidden/>
          </w:rPr>
          <w:t>122</w:t>
        </w:r>
        <w:r>
          <w:rPr>
            <w:noProof/>
            <w:webHidden/>
          </w:rPr>
          <w:fldChar w:fldCharType="end"/>
        </w:r>
      </w:hyperlink>
    </w:p>
    <w:p w:rsidR="00560258" w:rsidRDefault="00560258">
      <w:pPr>
        <w:pStyle w:val="Seznamobrzk"/>
        <w:tabs>
          <w:tab w:val="right" w:leader="dot" w:pos="9060"/>
        </w:tabs>
        <w:rPr>
          <w:rFonts w:asciiTheme="minorHAnsi" w:eastAsiaTheme="minorEastAsia" w:hAnsiTheme="minorHAnsi" w:cstheme="minorBidi"/>
          <w:noProof/>
          <w:sz w:val="22"/>
          <w:szCs w:val="22"/>
          <w:lang w:val="cs-CZ" w:eastAsia="cs-CZ"/>
        </w:rPr>
      </w:pPr>
      <w:hyperlink w:anchor="_Toc426033925" w:history="1">
        <w:r w:rsidRPr="00E34FD2">
          <w:rPr>
            <w:rStyle w:val="Hypertextovodkaz"/>
            <w:noProof/>
          </w:rPr>
          <w:t>Table 16: Assessment of the multiplier effect in relation to the proposed indicator values</w:t>
        </w:r>
        <w:r>
          <w:rPr>
            <w:noProof/>
            <w:webHidden/>
          </w:rPr>
          <w:tab/>
        </w:r>
        <w:r>
          <w:rPr>
            <w:noProof/>
            <w:webHidden/>
          </w:rPr>
          <w:fldChar w:fldCharType="begin"/>
        </w:r>
        <w:r>
          <w:rPr>
            <w:noProof/>
            <w:webHidden/>
          </w:rPr>
          <w:instrText xml:space="preserve"> PAGEREF _Toc426033925 \h </w:instrText>
        </w:r>
        <w:r>
          <w:rPr>
            <w:noProof/>
            <w:webHidden/>
          </w:rPr>
        </w:r>
        <w:r>
          <w:rPr>
            <w:noProof/>
            <w:webHidden/>
          </w:rPr>
          <w:fldChar w:fldCharType="separate"/>
        </w:r>
        <w:r>
          <w:rPr>
            <w:noProof/>
            <w:webHidden/>
          </w:rPr>
          <w:t>126</w:t>
        </w:r>
        <w:r>
          <w:rPr>
            <w:noProof/>
            <w:webHidden/>
          </w:rPr>
          <w:fldChar w:fldCharType="end"/>
        </w:r>
      </w:hyperlink>
    </w:p>
    <w:p w:rsidR="00065632" w:rsidRPr="00693AAF" w:rsidRDefault="00065632">
      <w:pPr>
        <w:pStyle w:val="Seznamobrzk"/>
        <w:tabs>
          <w:tab w:val="right" w:leader="dot" w:pos="9060"/>
        </w:tabs>
        <w:rPr>
          <w:noProof/>
          <w:sz w:val="22"/>
          <w:szCs w:val="22"/>
        </w:rPr>
      </w:pPr>
      <w:r>
        <w:fldChar w:fldCharType="end"/>
      </w:r>
    </w:p>
    <w:p w:rsidR="00065632" w:rsidRDefault="00065632" w:rsidP="00DF217B">
      <w:pPr>
        <w:pStyle w:val="Nadpis2"/>
        <w:numPr>
          <w:ilvl w:val="0"/>
          <w:numId w:val="0"/>
        </w:numPr>
      </w:pPr>
      <w:bookmarkStart w:id="252" w:name="_Toc397701304"/>
      <w:bookmarkStart w:id="253" w:name="_Toc401150121"/>
      <w:bookmarkStart w:id="254" w:name="_Toc418767181"/>
      <w:bookmarkStart w:id="255" w:name="_Toc426033691"/>
      <w:r>
        <w:t>List of figures</w:t>
      </w:r>
      <w:bookmarkEnd w:id="252"/>
      <w:bookmarkEnd w:id="253"/>
      <w:bookmarkEnd w:id="254"/>
      <w:bookmarkEnd w:id="255"/>
    </w:p>
    <w:p w:rsidR="00560258" w:rsidRDefault="00065632">
      <w:pPr>
        <w:pStyle w:val="Seznamobrzk"/>
        <w:tabs>
          <w:tab w:val="right" w:leader="dot" w:pos="9060"/>
        </w:tabs>
        <w:rPr>
          <w:rFonts w:asciiTheme="minorHAnsi" w:eastAsiaTheme="minorEastAsia" w:hAnsiTheme="minorHAnsi" w:cstheme="minorBidi"/>
          <w:noProof/>
          <w:sz w:val="22"/>
          <w:szCs w:val="22"/>
          <w:lang w:val="cs-CZ" w:eastAsia="cs-CZ"/>
        </w:rPr>
      </w:pPr>
      <w:r>
        <w:fldChar w:fldCharType="begin"/>
      </w:r>
      <w:r>
        <w:instrText xml:space="preserve"> TOC \h \z \c "Obrázek" </w:instrText>
      </w:r>
      <w:r>
        <w:fldChar w:fldCharType="separate"/>
      </w:r>
      <w:hyperlink w:anchor="_Toc426033926" w:history="1">
        <w:r w:rsidR="00560258" w:rsidRPr="00493464">
          <w:rPr>
            <w:rStyle w:val="Hypertextovodkaz"/>
            <w:noProof/>
          </w:rPr>
          <w:t>Figure 1: Procedure of assessment of IROP targeting with the logic of division of projects into subsidy-based, commercial ones and those suitable for the use of financial instruments</w:t>
        </w:r>
        <w:r w:rsidR="00560258">
          <w:rPr>
            <w:noProof/>
            <w:webHidden/>
          </w:rPr>
          <w:tab/>
        </w:r>
        <w:r w:rsidR="00560258">
          <w:rPr>
            <w:noProof/>
            <w:webHidden/>
          </w:rPr>
          <w:fldChar w:fldCharType="begin"/>
        </w:r>
        <w:r w:rsidR="00560258">
          <w:rPr>
            <w:noProof/>
            <w:webHidden/>
          </w:rPr>
          <w:instrText xml:space="preserve"> PAGEREF _Toc426033926 \h </w:instrText>
        </w:r>
        <w:r w:rsidR="00560258">
          <w:rPr>
            <w:noProof/>
            <w:webHidden/>
          </w:rPr>
        </w:r>
        <w:r w:rsidR="00560258">
          <w:rPr>
            <w:noProof/>
            <w:webHidden/>
          </w:rPr>
          <w:fldChar w:fldCharType="separate"/>
        </w:r>
        <w:r w:rsidR="00560258">
          <w:rPr>
            <w:noProof/>
            <w:webHidden/>
          </w:rPr>
          <w:t>19</w:t>
        </w:r>
        <w:r w:rsidR="00560258">
          <w:rPr>
            <w:noProof/>
            <w:webHidden/>
          </w:rPr>
          <w:fldChar w:fldCharType="end"/>
        </w:r>
      </w:hyperlink>
    </w:p>
    <w:p w:rsidR="00560258" w:rsidRDefault="00560258">
      <w:pPr>
        <w:pStyle w:val="Seznamobrzk"/>
        <w:tabs>
          <w:tab w:val="right" w:leader="dot" w:pos="9060"/>
        </w:tabs>
        <w:rPr>
          <w:rFonts w:asciiTheme="minorHAnsi" w:eastAsiaTheme="minorEastAsia" w:hAnsiTheme="minorHAnsi" w:cstheme="minorBidi"/>
          <w:noProof/>
          <w:sz w:val="22"/>
          <w:szCs w:val="22"/>
          <w:lang w:val="cs-CZ" w:eastAsia="cs-CZ"/>
        </w:rPr>
      </w:pPr>
      <w:hyperlink w:anchor="_Toc426033927" w:history="1">
        <w:r w:rsidRPr="00493464">
          <w:rPr>
            <w:rStyle w:val="Hypertextovodkaz"/>
            <w:noProof/>
          </w:rPr>
          <w:t>Figure 2: Conclusions of the Deloitte survey in response to the amount of the considered investment</w:t>
        </w:r>
        <w:r>
          <w:rPr>
            <w:noProof/>
            <w:webHidden/>
          </w:rPr>
          <w:tab/>
        </w:r>
        <w:r>
          <w:rPr>
            <w:noProof/>
            <w:webHidden/>
          </w:rPr>
          <w:fldChar w:fldCharType="begin"/>
        </w:r>
        <w:r>
          <w:rPr>
            <w:noProof/>
            <w:webHidden/>
          </w:rPr>
          <w:instrText xml:space="preserve"> PAGEREF _Toc426033927 \h </w:instrText>
        </w:r>
        <w:r>
          <w:rPr>
            <w:noProof/>
            <w:webHidden/>
          </w:rPr>
        </w:r>
        <w:r>
          <w:rPr>
            <w:noProof/>
            <w:webHidden/>
          </w:rPr>
          <w:fldChar w:fldCharType="separate"/>
        </w:r>
        <w:r>
          <w:rPr>
            <w:noProof/>
            <w:webHidden/>
          </w:rPr>
          <w:t>45</w:t>
        </w:r>
        <w:r>
          <w:rPr>
            <w:noProof/>
            <w:webHidden/>
          </w:rPr>
          <w:fldChar w:fldCharType="end"/>
        </w:r>
      </w:hyperlink>
    </w:p>
    <w:p w:rsidR="00560258" w:rsidRDefault="00560258">
      <w:pPr>
        <w:pStyle w:val="Seznamobrzk"/>
        <w:tabs>
          <w:tab w:val="right" w:leader="dot" w:pos="9060"/>
        </w:tabs>
        <w:rPr>
          <w:rFonts w:asciiTheme="minorHAnsi" w:eastAsiaTheme="minorEastAsia" w:hAnsiTheme="minorHAnsi" w:cstheme="minorBidi"/>
          <w:noProof/>
          <w:sz w:val="22"/>
          <w:szCs w:val="22"/>
          <w:lang w:val="cs-CZ" w:eastAsia="cs-CZ"/>
        </w:rPr>
      </w:pPr>
      <w:hyperlink w:anchor="_Toc426033928" w:history="1">
        <w:r w:rsidRPr="00493464">
          <w:rPr>
            <w:rStyle w:val="Hypertextovodkaz"/>
            <w:noProof/>
          </w:rPr>
          <w:t>Figure 3: Conclusions of the Deloitte survey - availability of external sources of financing</w:t>
        </w:r>
        <w:r>
          <w:rPr>
            <w:noProof/>
            <w:webHidden/>
          </w:rPr>
          <w:tab/>
        </w:r>
        <w:r>
          <w:rPr>
            <w:noProof/>
            <w:webHidden/>
          </w:rPr>
          <w:fldChar w:fldCharType="begin"/>
        </w:r>
        <w:r>
          <w:rPr>
            <w:noProof/>
            <w:webHidden/>
          </w:rPr>
          <w:instrText xml:space="preserve"> PAGEREF _Toc426033928 \h </w:instrText>
        </w:r>
        <w:r>
          <w:rPr>
            <w:noProof/>
            <w:webHidden/>
          </w:rPr>
        </w:r>
        <w:r>
          <w:rPr>
            <w:noProof/>
            <w:webHidden/>
          </w:rPr>
          <w:fldChar w:fldCharType="separate"/>
        </w:r>
        <w:r>
          <w:rPr>
            <w:noProof/>
            <w:webHidden/>
          </w:rPr>
          <w:t>47</w:t>
        </w:r>
        <w:r>
          <w:rPr>
            <w:noProof/>
            <w:webHidden/>
          </w:rPr>
          <w:fldChar w:fldCharType="end"/>
        </w:r>
      </w:hyperlink>
    </w:p>
    <w:p w:rsidR="00560258" w:rsidRDefault="00560258">
      <w:pPr>
        <w:pStyle w:val="Seznamobrzk"/>
        <w:tabs>
          <w:tab w:val="right" w:leader="dot" w:pos="9060"/>
        </w:tabs>
        <w:rPr>
          <w:rFonts w:asciiTheme="minorHAnsi" w:eastAsiaTheme="minorEastAsia" w:hAnsiTheme="minorHAnsi" w:cstheme="minorBidi"/>
          <w:noProof/>
          <w:sz w:val="22"/>
          <w:szCs w:val="22"/>
          <w:lang w:val="cs-CZ" w:eastAsia="cs-CZ"/>
        </w:rPr>
      </w:pPr>
      <w:hyperlink w:anchor="_Toc426033929" w:history="1">
        <w:r w:rsidRPr="00493464">
          <w:rPr>
            <w:rStyle w:val="Hypertextovodkaz"/>
            <w:noProof/>
          </w:rPr>
          <w:t>Figure 4: Questionnaire survey results – description of problems securing external financing for investments</w:t>
        </w:r>
        <w:r>
          <w:rPr>
            <w:noProof/>
            <w:webHidden/>
          </w:rPr>
          <w:tab/>
        </w:r>
        <w:r>
          <w:rPr>
            <w:noProof/>
            <w:webHidden/>
          </w:rPr>
          <w:fldChar w:fldCharType="begin"/>
        </w:r>
        <w:r>
          <w:rPr>
            <w:noProof/>
            <w:webHidden/>
          </w:rPr>
          <w:instrText xml:space="preserve"> PAGEREF _Toc426033929 \h </w:instrText>
        </w:r>
        <w:r>
          <w:rPr>
            <w:noProof/>
            <w:webHidden/>
          </w:rPr>
        </w:r>
        <w:r>
          <w:rPr>
            <w:noProof/>
            <w:webHidden/>
          </w:rPr>
          <w:fldChar w:fldCharType="separate"/>
        </w:r>
        <w:r>
          <w:rPr>
            <w:noProof/>
            <w:webHidden/>
          </w:rPr>
          <w:t>48</w:t>
        </w:r>
        <w:r>
          <w:rPr>
            <w:noProof/>
            <w:webHidden/>
          </w:rPr>
          <w:fldChar w:fldCharType="end"/>
        </w:r>
      </w:hyperlink>
    </w:p>
    <w:p w:rsidR="00560258" w:rsidRDefault="00560258">
      <w:pPr>
        <w:pStyle w:val="Seznamobrzk"/>
        <w:tabs>
          <w:tab w:val="right" w:leader="dot" w:pos="9060"/>
        </w:tabs>
        <w:rPr>
          <w:rFonts w:asciiTheme="minorHAnsi" w:eastAsiaTheme="minorEastAsia" w:hAnsiTheme="minorHAnsi" w:cstheme="minorBidi"/>
          <w:noProof/>
          <w:sz w:val="22"/>
          <w:szCs w:val="22"/>
          <w:lang w:val="cs-CZ" w:eastAsia="cs-CZ"/>
        </w:rPr>
      </w:pPr>
      <w:hyperlink w:anchor="_Toc426033930" w:history="1">
        <w:r w:rsidRPr="00493464">
          <w:rPr>
            <w:rStyle w:val="Hypertextovodkaz"/>
            <w:noProof/>
          </w:rPr>
          <w:t>Figure 5: Construction production index based on CSO's data</w:t>
        </w:r>
        <w:r>
          <w:rPr>
            <w:noProof/>
            <w:webHidden/>
          </w:rPr>
          <w:tab/>
        </w:r>
        <w:r>
          <w:rPr>
            <w:noProof/>
            <w:webHidden/>
          </w:rPr>
          <w:fldChar w:fldCharType="begin"/>
        </w:r>
        <w:r>
          <w:rPr>
            <w:noProof/>
            <w:webHidden/>
          </w:rPr>
          <w:instrText xml:space="preserve"> PAGEREF _Toc426033930 \h </w:instrText>
        </w:r>
        <w:r>
          <w:rPr>
            <w:noProof/>
            <w:webHidden/>
          </w:rPr>
        </w:r>
        <w:r>
          <w:rPr>
            <w:noProof/>
            <w:webHidden/>
          </w:rPr>
          <w:fldChar w:fldCharType="separate"/>
        </w:r>
        <w:r>
          <w:rPr>
            <w:noProof/>
            <w:webHidden/>
          </w:rPr>
          <w:t>50</w:t>
        </w:r>
        <w:r>
          <w:rPr>
            <w:noProof/>
            <w:webHidden/>
          </w:rPr>
          <w:fldChar w:fldCharType="end"/>
        </w:r>
      </w:hyperlink>
    </w:p>
    <w:p w:rsidR="00560258" w:rsidRDefault="00560258">
      <w:pPr>
        <w:pStyle w:val="Seznamobrzk"/>
        <w:tabs>
          <w:tab w:val="right" w:leader="dot" w:pos="9060"/>
        </w:tabs>
        <w:rPr>
          <w:rFonts w:asciiTheme="minorHAnsi" w:eastAsiaTheme="minorEastAsia" w:hAnsiTheme="minorHAnsi" w:cstheme="minorBidi"/>
          <w:noProof/>
          <w:sz w:val="22"/>
          <w:szCs w:val="22"/>
          <w:lang w:val="cs-CZ" w:eastAsia="cs-CZ"/>
        </w:rPr>
      </w:pPr>
      <w:hyperlink w:anchor="_Toc426033931" w:history="1">
        <w:r w:rsidRPr="00493464">
          <w:rPr>
            <w:rStyle w:val="Hypertextovodkaz"/>
            <w:noProof/>
          </w:rPr>
          <w:t>Figure 6: Annual change in housing loans, development of mortgage loans interest rates (taken from the CSO's statistical publication)</w:t>
        </w:r>
        <w:r>
          <w:rPr>
            <w:noProof/>
            <w:webHidden/>
          </w:rPr>
          <w:tab/>
        </w:r>
        <w:r>
          <w:rPr>
            <w:noProof/>
            <w:webHidden/>
          </w:rPr>
          <w:fldChar w:fldCharType="begin"/>
        </w:r>
        <w:r>
          <w:rPr>
            <w:noProof/>
            <w:webHidden/>
          </w:rPr>
          <w:instrText xml:space="preserve"> PAGEREF _Toc426033931 \h </w:instrText>
        </w:r>
        <w:r>
          <w:rPr>
            <w:noProof/>
            <w:webHidden/>
          </w:rPr>
        </w:r>
        <w:r>
          <w:rPr>
            <w:noProof/>
            <w:webHidden/>
          </w:rPr>
          <w:fldChar w:fldCharType="separate"/>
        </w:r>
        <w:r>
          <w:rPr>
            <w:noProof/>
            <w:webHidden/>
          </w:rPr>
          <w:t>51</w:t>
        </w:r>
        <w:r>
          <w:rPr>
            <w:noProof/>
            <w:webHidden/>
          </w:rPr>
          <w:fldChar w:fldCharType="end"/>
        </w:r>
      </w:hyperlink>
    </w:p>
    <w:p w:rsidR="00560258" w:rsidRDefault="00560258">
      <w:pPr>
        <w:pStyle w:val="Seznamobrzk"/>
        <w:tabs>
          <w:tab w:val="right" w:leader="dot" w:pos="9060"/>
        </w:tabs>
        <w:rPr>
          <w:rFonts w:asciiTheme="minorHAnsi" w:eastAsiaTheme="minorEastAsia" w:hAnsiTheme="minorHAnsi" w:cstheme="minorBidi"/>
          <w:noProof/>
          <w:sz w:val="22"/>
          <w:szCs w:val="22"/>
          <w:lang w:val="cs-CZ" w:eastAsia="cs-CZ"/>
        </w:rPr>
      </w:pPr>
      <w:hyperlink w:anchor="_Toc426033932" w:history="1">
        <w:r w:rsidRPr="00493464">
          <w:rPr>
            <w:rStyle w:val="Hypertextovodkaz"/>
            <w:noProof/>
          </w:rPr>
          <w:t>Figure 7: Questionnaire survey conclusions – reasons for investment preparation</w:t>
        </w:r>
        <w:r>
          <w:rPr>
            <w:noProof/>
            <w:webHidden/>
          </w:rPr>
          <w:tab/>
        </w:r>
        <w:r>
          <w:rPr>
            <w:noProof/>
            <w:webHidden/>
          </w:rPr>
          <w:fldChar w:fldCharType="begin"/>
        </w:r>
        <w:r>
          <w:rPr>
            <w:noProof/>
            <w:webHidden/>
          </w:rPr>
          <w:instrText xml:space="preserve"> PAGEREF _Toc426033932 \h </w:instrText>
        </w:r>
        <w:r>
          <w:rPr>
            <w:noProof/>
            <w:webHidden/>
          </w:rPr>
        </w:r>
        <w:r>
          <w:rPr>
            <w:noProof/>
            <w:webHidden/>
          </w:rPr>
          <w:fldChar w:fldCharType="separate"/>
        </w:r>
        <w:r>
          <w:rPr>
            <w:noProof/>
            <w:webHidden/>
          </w:rPr>
          <w:t>51</w:t>
        </w:r>
        <w:r>
          <w:rPr>
            <w:noProof/>
            <w:webHidden/>
          </w:rPr>
          <w:fldChar w:fldCharType="end"/>
        </w:r>
      </w:hyperlink>
    </w:p>
    <w:p w:rsidR="00560258" w:rsidRDefault="00560258">
      <w:pPr>
        <w:pStyle w:val="Seznamobrzk"/>
        <w:tabs>
          <w:tab w:val="right" w:leader="dot" w:pos="9060"/>
        </w:tabs>
        <w:rPr>
          <w:rFonts w:asciiTheme="minorHAnsi" w:eastAsiaTheme="minorEastAsia" w:hAnsiTheme="minorHAnsi" w:cstheme="minorBidi"/>
          <w:noProof/>
          <w:sz w:val="22"/>
          <w:szCs w:val="22"/>
          <w:lang w:val="cs-CZ" w:eastAsia="cs-CZ"/>
        </w:rPr>
      </w:pPr>
      <w:hyperlink w:anchor="_Toc426033933" w:history="1">
        <w:r w:rsidRPr="00493464">
          <w:rPr>
            <w:rStyle w:val="Hypertextovodkaz"/>
            <w:noProof/>
          </w:rPr>
          <w:t>Figure 8: Questionnaire survey conclusions – readiness to invest also without the existence of state aid</w:t>
        </w:r>
        <w:r>
          <w:rPr>
            <w:noProof/>
            <w:webHidden/>
          </w:rPr>
          <w:tab/>
        </w:r>
        <w:r>
          <w:rPr>
            <w:noProof/>
            <w:webHidden/>
          </w:rPr>
          <w:fldChar w:fldCharType="begin"/>
        </w:r>
        <w:r>
          <w:rPr>
            <w:noProof/>
            <w:webHidden/>
          </w:rPr>
          <w:instrText xml:space="preserve"> PAGEREF _Toc426033933 \h </w:instrText>
        </w:r>
        <w:r>
          <w:rPr>
            <w:noProof/>
            <w:webHidden/>
          </w:rPr>
        </w:r>
        <w:r>
          <w:rPr>
            <w:noProof/>
            <w:webHidden/>
          </w:rPr>
          <w:fldChar w:fldCharType="separate"/>
        </w:r>
        <w:r>
          <w:rPr>
            <w:noProof/>
            <w:webHidden/>
          </w:rPr>
          <w:t>52</w:t>
        </w:r>
        <w:r>
          <w:rPr>
            <w:noProof/>
            <w:webHidden/>
          </w:rPr>
          <w:fldChar w:fldCharType="end"/>
        </w:r>
      </w:hyperlink>
    </w:p>
    <w:p w:rsidR="00560258" w:rsidRDefault="00560258">
      <w:pPr>
        <w:pStyle w:val="Seznamobrzk"/>
        <w:tabs>
          <w:tab w:val="right" w:leader="dot" w:pos="9060"/>
        </w:tabs>
        <w:rPr>
          <w:rFonts w:asciiTheme="minorHAnsi" w:eastAsiaTheme="minorEastAsia" w:hAnsiTheme="minorHAnsi" w:cstheme="minorBidi"/>
          <w:noProof/>
          <w:sz w:val="22"/>
          <w:szCs w:val="22"/>
          <w:lang w:val="cs-CZ" w:eastAsia="cs-CZ"/>
        </w:rPr>
      </w:pPr>
      <w:hyperlink w:anchor="_Toc426033934" w:history="1">
        <w:r w:rsidRPr="00493464">
          <w:rPr>
            <w:rStyle w:val="Hypertextovodkaz"/>
            <w:noProof/>
          </w:rPr>
          <w:t>Figure 9: Functional diagram of London Green Fund arrangement</w:t>
        </w:r>
        <w:r>
          <w:rPr>
            <w:noProof/>
            <w:webHidden/>
          </w:rPr>
          <w:tab/>
        </w:r>
        <w:r>
          <w:rPr>
            <w:noProof/>
            <w:webHidden/>
          </w:rPr>
          <w:fldChar w:fldCharType="begin"/>
        </w:r>
        <w:r>
          <w:rPr>
            <w:noProof/>
            <w:webHidden/>
          </w:rPr>
          <w:instrText xml:space="preserve"> PAGEREF _Toc426033934 \h </w:instrText>
        </w:r>
        <w:r>
          <w:rPr>
            <w:noProof/>
            <w:webHidden/>
          </w:rPr>
        </w:r>
        <w:r>
          <w:rPr>
            <w:noProof/>
            <w:webHidden/>
          </w:rPr>
          <w:fldChar w:fldCharType="separate"/>
        </w:r>
        <w:r>
          <w:rPr>
            <w:noProof/>
            <w:webHidden/>
          </w:rPr>
          <w:t>59</w:t>
        </w:r>
        <w:r>
          <w:rPr>
            <w:noProof/>
            <w:webHidden/>
          </w:rPr>
          <w:fldChar w:fldCharType="end"/>
        </w:r>
      </w:hyperlink>
    </w:p>
    <w:p w:rsidR="00560258" w:rsidRDefault="00560258">
      <w:pPr>
        <w:pStyle w:val="Seznamobrzk"/>
        <w:tabs>
          <w:tab w:val="right" w:leader="dot" w:pos="9060"/>
        </w:tabs>
        <w:rPr>
          <w:rFonts w:asciiTheme="minorHAnsi" w:eastAsiaTheme="minorEastAsia" w:hAnsiTheme="minorHAnsi" w:cstheme="minorBidi"/>
          <w:noProof/>
          <w:sz w:val="22"/>
          <w:szCs w:val="22"/>
          <w:lang w:val="cs-CZ" w:eastAsia="cs-CZ"/>
        </w:rPr>
      </w:pPr>
      <w:hyperlink w:anchor="_Toc426033935" w:history="1">
        <w:r w:rsidRPr="00493464">
          <w:rPr>
            <w:rStyle w:val="Hypertextovodkaz"/>
            <w:noProof/>
          </w:rPr>
          <w:t>Figure 10: Basic options the MA has in IFIs implementation</w:t>
        </w:r>
        <w:r>
          <w:rPr>
            <w:noProof/>
            <w:webHidden/>
          </w:rPr>
          <w:tab/>
        </w:r>
        <w:r>
          <w:rPr>
            <w:noProof/>
            <w:webHidden/>
          </w:rPr>
          <w:fldChar w:fldCharType="begin"/>
        </w:r>
        <w:r>
          <w:rPr>
            <w:noProof/>
            <w:webHidden/>
          </w:rPr>
          <w:instrText xml:space="preserve"> PAGEREF _Toc426033935 \h </w:instrText>
        </w:r>
        <w:r>
          <w:rPr>
            <w:noProof/>
            <w:webHidden/>
          </w:rPr>
        </w:r>
        <w:r>
          <w:rPr>
            <w:noProof/>
            <w:webHidden/>
          </w:rPr>
          <w:fldChar w:fldCharType="separate"/>
        </w:r>
        <w:r>
          <w:rPr>
            <w:noProof/>
            <w:webHidden/>
          </w:rPr>
          <w:t>65</w:t>
        </w:r>
        <w:r>
          <w:rPr>
            <w:noProof/>
            <w:webHidden/>
          </w:rPr>
          <w:fldChar w:fldCharType="end"/>
        </w:r>
      </w:hyperlink>
    </w:p>
    <w:p w:rsidR="00560258" w:rsidRDefault="00560258">
      <w:pPr>
        <w:pStyle w:val="Seznamobrzk"/>
        <w:tabs>
          <w:tab w:val="right" w:leader="dot" w:pos="9060"/>
        </w:tabs>
        <w:rPr>
          <w:rFonts w:asciiTheme="minorHAnsi" w:eastAsiaTheme="minorEastAsia" w:hAnsiTheme="minorHAnsi" w:cstheme="minorBidi"/>
          <w:noProof/>
          <w:sz w:val="22"/>
          <w:szCs w:val="22"/>
          <w:lang w:val="cs-CZ" w:eastAsia="cs-CZ"/>
        </w:rPr>
      </w:pPr>
      <w:hyperlink w:anchor="_Toc426033936" w:history="1">
        <w:r w:rsidRPr="00493464">
          <w:rPr>
            <w:rStyle w:val="Hypertextovodkaz"/>
            <w:noProof/>
          </w:rPr>
          <w:t>Figure 11: Framework diagram of IFI implementation - option 1: Merging factually related measures within one fund/subfund</w:t>
        </w:r>
        <w:r>
          <w:rPr>
            <w:noProof/>
            <w:webHidden/>
          </w:rPr>
          <w:tab/>
        </w:r>
        <w:r>
          <w:rPr>
            <w:noProof/>
            <w:webHidden/>
          </w:rPr>
          <w:fldChar w:fldCharType="begin"/>
        </w:r>
        <w:r>
          <w:rPr>
            <w:noProof/>
            <w:webHidden/>
          </w:rPr>
          <w:instrText xml:space="preserve"> PAGEREF _Toc426033936 \h </w:instrText>
        </w:r>
        <w:r>
          <w:rPr>
            <w:noProof/>
            <w:webHidden/>
          </w:rPr>
        </w:r>
        <w:r>
          <w:rPr>
            <w:noProof/>
            <w:webHidden/>
          </w:rPr>
          <w:fldChar w:fldCharType="separate"/>
        </w:r>
        <w:r>
          <w:rPr>
            <w:noProof/>
            <w:webHidden/>
          </w:rPr>
          <w:t>76</w:t>
        </w:r>
        <w:r>
          <w:rPr>
            <w:noProof/>
            <w:webHidden/>
          </w:rPr>
          <w:fldChar w:fldCharType="end"/>
        </w:r>
      </w:hyperlink>
    </w:p>
    <w:p w:rsidR="00560258" w:rsidRDefault="00560258">
      <w:pPr>
        <w:pStyle w:val="Seznamobrzk"/>
        <w:tabs>
          <w:tab w:val="right" w:leader="dot" w:pos="9060"/>
        </w:tabs>
        <w:rPr>
          <w:rFonts w:asciiTheme="minorHAnsi" w:eastAsiaTheme="minorEastAsia" w:hAnsiTheme="minorHAnsi" w:cstheme="minorBidi"/>
          <w:noProof/>
          <w:sz w:val="22"/>
          <w:szCs w:val="22"/>
          <w:lang w:val="cs-CZ" w:eastAsia="cs-CZ"/>
        </w:rPr>
      </w:pPr>
      <w:hyperlink w:anchor="_Toc426033937" w:history="1">
        <w:r w:rsidRPr="00493464">
          <w:rPr>
            <w:rStyle w:val="Hypertextovodkaz"/>
            <w:noProof/>
          </w:rPr>
          <w:t>Figure 12: Framework diagram of IFI implementation - option 2: Factually related areas of intervention within one fund/sub-fund are not merged</w:t>
        </w:r>
        <w:r>
          <w:rPr>
            <w:noProof/>
            <w:webHidden/>
          </w:rPr>
          <w:tab/>
        </w:r>
        <w:r>
          <w:rPr>
            <w:noProof/>
            <w:webHidden/>
          </w:rPr>
          <w:fldChar w:fldCharType="begin"/>
        </w:r>
        <w:r>
          <w:rPr>
            <w:noProof/>
            <w:webHidden/>
          </w:rPr>
          <w:instrText xml:space="preserve"> PAGEREF _Toc426033937 \h </w:instrText>
        </w:r>
        <w:r>
          <w:rPr>
            <w:noProof/>
            <w:webHidden/>
          </w:rPr>
        </w:r>
        <w:r>
          <w:rPr>
            <w:noProof/>
            <w:webHidden/>
          </w:rPr>
          <w:fldChar w:fldCharType="separate"/>
        </w:r>
        <w:r>
          <w:rPr>
            <w:noProof/>
            <w:webHidden/>
          </w:rPr>
          <w:t>78</w:t>
        </w:r>
        <w:r>
          <w:rPr>
            <w:noProof/>
            <w:webHidden/>
          </w:rPr>
          <w:fldChar w:fldCharType="end"/>
        </w:r>
      </w:hyperlink>
    </w:p>
    <w:p w:rsidR="00560258" w:rsidRDefault="00560258">
      <w:pPr>
        <w:pStyle w:val="Seznamobrzk"/>
        <w:tabs>
          <w:tab w:val="right" w:leader="dot" w:pos="9060"/>
        </w:tabs>
        <w:rPr>
          <w:rFonts w:asciiTheme="minorHAnsi" w:eastAsiaTheme="minorEastAsia" w:hAnsiTheme="minorHAnsi" w:cstheme="minorBidi"/>
          <w:noProof/>
          <w:sz w:val="22"/>
          <w:szCs w:val="22"/>
          <w:lang w:val="cs-CZ" w:eastAsia="cs-CZ"/>
        </w:rPr>
      </w:pPr>
      <w:hyperlink w:anchor="_Toc426033938" w:history="1">
        <w:r w:rsidRPr="00493464">
          <w:rPr>
            <w:rStyle w:val="Hypertextovodkaz"/>
            <w:noProof/>
          </w:rPr>
          <w:t>Figure 13: Questionnaire survey conclusions – interest in IROP aid through a soft loan</w:t>
        </w:r>
        <w:r>
          <w:rPr>
            <w:noProof/>
            <w:webHidden/>
          </w:rPr>
          <w:tab/>
        </w:r>
        <w:r>
          <w:rPr>
            <w:noProof/>
            <w:webHidden/>
          </w:rPr>
          <w:fldChar w:fldCharType="begin"/>
        </w:r>
        <w:r>
          <w:rPr>
            <w:noProof/>
            <w:webHidden/>
          </w:rPr>
          <w:instrText xml:space="preserve"> PAGEREF _Toc426033938 \h </w:instrText>
        </w:r>
        <w:r>
          <w:rPr>
            <w:noProof/>
            <w:webHidden/>
          </w:rPr>
        </w:r>
        <w:r>
          <w:rPr>
            <w:noProof/>
            <w:webHidden/>
          </w:rPr>
          <w:fldChar w:fldCharType="separate"/>
        </w:r>
        <w:r>
          <w:rPr>
            <w:noProof/>
            <w:webHidden/>
          </w:rPr>
          <w:t>95</w:t>
        </w:r>
        <w:r>
          <w:rPr>
            <w:noProof/>
            <w:webHidden/>
          </w:rPr>
          <w:fldChar w:fldCharType="end"/>
        </w:r>
      </w:hyperlink>
    </w:p>
    <w:p w:rsidR="00560258" w:rsidRDefault="00560258">
      <w:pPr>
        <w:pStyle w:val="Seznamobrzk"/>
        <w:tabs>
          <w:tab w:val="right" w:leader="dot" w:pos="9060"/>
        </w:tabs>
        <w:rPr>
          <w:rFonts w:asciiTheme="minorHAnsi" w:eastAsiaTheme="minorEastAsia" w:hAnsiTheme="minorHAnsi" w:cstheme="minorBidi"/>
          <w:noProof/>
          <w:sz w:val="22"/>
          <w:szCs w:val="22"/>
          <w:lang w:val="cs-CZ" w:eastAsia="cs-CZ"/>
        </w:rPr>
      </w:pPr>
      <w:hyperlink w:anchor="_Toc426033939" w:history="1">
        <w:r w:rsidRPr="00493464">
          <w:rPr>
            <w:rStyle w:val="Hypertextovodkaz"/>
            <w:noProof/>
          </w:rPr>
          <w:t>Figure 14: Questionnaire survey conclusions – interest in IROP aid through a soft loan with possible subsidy component</w:t>
        </w:r>
        <w:r>
          <w:rPr>
            <w:noProof/>
            <w:webHidden/>
          </w:rPr>
          <w:tab/>
        </w:r>
        <w:r>
          <w:rPr>
            <w:noProof/>
            <w:webHidden/>
          </w:rPr>
          <w:fldChar w:fldCharType="begin"/>
        </w:r>
        <w:r>
          <w:rPr>
            <w:noProof/>
            <w:webHidden/>
          </w:rPr>
          <w:instrText xml:space="preserve"> PAGEREF _Toc426033939 \h </w:instrText>
        </w:r>
        <w:r>
          <w:rPr>
            <w:noProof/>
            <w:webHidden/>
          </w:rPr>
        </w:r>
        <w:r>
          <w:rPr>
            <w:noProof/>
            <w:webHidden/>
          </w:rPr>
          <w:fldChar w:fldCharType="separate"/>
        </w:r>
        <w:r>
          <w:rPr>
            <w:noProof/>
            <w:webHidden/>
          </w:rPr>
          <w:t>95</w:t>
        </w:r>
        <w:r>
          <w:rPr>
            <w:noProof/>
            <w:webHidden/>
          </w:rPr>
          <w:fldChar w:fldCharType="end"/>
        </w:r>
      </w:hyperlink>
    </w:p>
    <w:p w:rsidR="00560258" w:rsidRDefault="00560258">
      <w:pPr>
        <w:pStyle w:val="Seznamobrzk"/>
        <w:tabs>
          <w:tab w:val="right" w:leader="dot" w:pos="9060"/>
        </w:tabs>
        <w:rPr>
          <w:rFonts w:asciiTheme="minorHAnsi" w:eastAsiaTheme="minorEastAsia" w:hAnsiTheme="minorHAnsi" w:cstheme="minorBidi"/>
          <w:noProof/>
          <w:sz w:val="22"/>
          <w:szCs w:val="22"/>
          <w:lang w:val="cs-CZ" w:eastAsia="cs-CZ"/>
        </w:rPr>
      </w:pPr>
      <w:hyperlink w:anchor="_Toc426033940" w:history="1">
        <w:r w:rsidRPr="00493464">
          <w:rPr>
            <w:rStyle w:val="Hypertextovodkaz"/>
            <w:noProof/>
          </w:rPr>
          <w:t>Figure 15: Model scheme of operation of the financial instrument OPTION 1 Syndicated loan</w:t>
        </w:r>
        <w:r>
          <w:rPr>
            <w:noProof/>
            <w:webHidden/>
          </w:rPr>
          <w:tab/>
        </w:r>
        <w:r>
          <w:rPr>
            <w:noProof/>
            <w:webHidden/>
          </w:rPr>
          <w:fldChar w:fldCharType="begin"/>
        </w:r>
        <w:r>
          <w:rPr>
            <w:noProof/>
            <w:webHidden/>
          </w:rPr>
          <w:instrText xml:space="preserve"> PAGEREF _Toc426033940 \h </w:instrText>
        </w:r>
        <w:r>
          <w:rPr>
            <w:noProof/>
            <w:webHidden/>
          </w:rPr>
        </w:r>
        <w:r>
          <w:rPr>
            <w:noProof/>
            <w:webHidden/>
          </w:rPr>
          <w:fldChar w:fldCharType="separate"/>
        </w:r>
        <w:r>
          <w:rPr>
            <w:noProof/>
            <w:webHidden/>
          </w:rPr>
          <w:t>102</w:t>
        </w:r>
        <w:r>
          <w:rPr>
            <w:noProof/>
            <w:webHidden/>
          </w:rPr>
          <w:fldChar w:fldCharType="end"/>
        </w:r>
      </w:hyperlink>
    </w:p>
    <w:p w:rsidR="00560258" w:rsidRDefault="00560258">
      <w:pPr>
        <w:pStyle w:val="Seznamobrzk"/>
        <w:tabs>
          <w:tab w:val="right" w:leader="dot" w:pos="9060"/>
        </w:tabs>
        <w:rPr>
          <w:rFonts w:asciiTheme="minorHAnsi" w:eastAsiaTheme="minorEastAsia" w:hAnsiTheme="minorHAnsi" w:cstheme="minorBidi"/>
          <w:noProof/>
          <w:sz w:val="22"/>
          <w:szCs w:val="22"/>
          <w:lang w:val="cs-CZ" w:eastAsia="cs-CZ"/>
        </w:rPr>
      </w:pPr>
      <w:hyperlink w:anchor="_Toc426033941" w:history="1">
        <w:r w:rsidRPr="00493464">
          <w:rPr>
            <w:rStyle w:val="Hypertextovodkaz"/>
            <w:noProof/>
          </w:rPr>
          <w:t>Figure 16: Model scheme of operation of the instrument OPTION 2 Independent soft loan</w:t>
        </w:r>
        <w:r>
          <w:rPr>
            <w:noProof/>
            <w:webHidden/>
          </w:rPr>
          <w:tab/>
        </w:r>
        <w:r>
          <w:rPr>
            <w:noProof/>
            <w:webHidden/>
          </w:rPr>
          <w:fldChar w:fldCharType="begin"/>
        </w:r>
        <w:r>
          <w:rPr>
            <w:noProof/>
            <w:webHidden/>
          </w:rPr>
          <w:instrText xml:space="preserve"> PAGEREF _Toc426033941 \h </w:instrText>
        </w:r>
        <w:r>
          <w:rPr>
            <w:noProof/>
            <w:webHidden/>
          </w:rPr>
        </w:r>
        <w:r>
          <w:rPr>
            <w:noProof/>
            <w:webHidden/>
          </w:rPr>
          <w:fldChar w:fldCharType="separate"/>
        </w:r>
        <w:r>
          <w:rPr>
            <w:noProof/>
            <w:webHidden/>
          </w:rPr>
          <w:t>107</w:t>
        </w:r>
        <w:r>
          <w:rPr>
            <w:noProof/>
            <w:webHidden/>
          </w:rPr>
          <w:fldChar w:fldCharType="end"/>
        </w:r>
      </w:hyperlink>
    </w:p>
    <w:p w:rsidR="00065632" w:rsidRDefault="00560258" w:rsidP="00560258">
      <w:pPr>
        <w:pStyle w:val="Seznamobrzk"/>
        <w:tabs>
          <w:tab w:val="right" w:leader="dot" w:pos="9060"/>
        </w:tabs>
      </w:pPr>
      <w:hyperlink w:anchor="_Toc426033942" w:history="1">
        <w:r w:rsidRPr="00493464">
          <w:rPr>
            <w:rStyle w:val="Hypertextovodkaz"/>
            <w:noProof/>
          </w:rPr>
          <w:t>Figure 17: Conclusions of the Deloitte questionnaire survey – estimate of the amount of generated savings by a project</w:t>
        </w:r>
        <w:r>
          <w:rPr>
            <w:noProof/>
            <w:webHidden/>
          </w:rPr>
          <w:tab/>
        </w:r>
        <w:r>
          <w:rPr>
            <w:noProof/>
            <w:webHidden/>
          </w:rPr>
          <w:fldChar w:fldCharType="begin"/>
        </w:r>
        <w:r>
          <w:rPr>
            <w:noProof/>
            <w:webHidden/>
          </w:rPr>
          <w:instrText xml:space="preserve"> PAGEREF _Toc426033942 \h </w:instrText>
        </w:r>
        <w:r>
          <w:rPr>
            <w:noProof/>
            <w:webHidden/>
          </w:rPr>
        </w:r>
        <w:r>
          <w:rPr>
            <w:noProof/>
            <w:webHidden/>
          </w:rPr>
          <w:fldChar w:fldCharType="separate"/>
        </w:r>
        <w:r>
          <w:rPr>
            <w:noProof/>
            <w:webHidden/>
          </w:rPr>
          <w:t>112</w:t>
        </w:r>
        <w:r>
          <w:rPr>
            <w:noProof/>
            <w:webHidden/>
          </w:rPr>
          <w:fldChar w:fldCharType="end"/>
        </w:r>
      </w:hyperlink>
      <w:r w:rsidR="00065632">
        <w:fldChar w:fldCharType="end"/>
      </w:r>
      <w:r w:rsidR="00065632">
        <w:br w:type="page"/>
      </w:r>
    </w:p>
    <w:p w:rsidR="00065632" w:rsidRDefault="00065632" w:rsidP="00DF217B"/>
    <w:p w:rsidR="00065632" w:rsidRDefault="00065632" w:rsidP="00DF217B"/>
    <w:p w:rsidR="00065632" w:rsidRDefault="00065632" w:rsidP="00DF217B"/>
    <w:p w:rsidR="00065632" w:rsidRDefault="00065632" w:rsidP="00DF217B"/>
    <w:p w:rsidR="00065632" w:rsidRDefault="00065632" w:rsidP="00DF217B"/>
    <w:p w:rsidR="00065632" w:rsidRDefault="00065632" w:rsidP="00DF217B"/>
    <w:p w:rsidR="00065632" w:rsidRDefault="00065632" w:rsidP="00DF217B"/>
    <w:p w:rsidR="00065632" w:rsidRDefault="00065632" w:rsidP="00DF217B"/>
    <w:p w:rsidR="00065632" w:rsidRDefault="00065632" w:rsidP="00DF217B"/>
    <w:p w:rsidR="00065632" w:rsidRDefault="00065632" w:rsidP="00DF217B"/>
    <w:p w:rsidR="00065632" w:rsidRDefault="00065632" w:rsidP="00DF217B"/>
    <w:p w:rsidR="00065632" w:rsidRDefault="00065632" w:rsidP="00DF217B"/>
    <w:p w:rsidR="00065632" w:rsidRDefault="00065632" w:rsidP="00DF217B"/>
    <w:p w:rsidR="00065632" w:rsidRDefault="00065632" w:rsidP="00DF217B"/>
    <w:p w:rsidR="00065632" w:rsidRDefault="00065632" w:rsidP="00DF217B"/>
    <w:p w:rsidR="00065632" w:rsidRDefault="00065632" w:rsidP="00DF217B"/>
    <w:p w:rsidR="00065632" w:rsidRDefault="00065632" w:rsidP="00DF217B"/>
    <w:p w:rsidR="00065632" w:rsidRDefault="00065632" w:rsidP="00DF217B"/>
    <w:p w:rsidR="00065632" w:rsidRDefault="00065632" w:rsidP="00DF217B"/>
    <w:p w:rsidR="00065632" w:rsidRDefault="00065632" w:rsidP="00DF217B"/>
    <w:p w:rsidR="00065632" w:rsidRDefault="00065632" w:rsidP="00DF217B"/>
    <w:p w:rsidR="00065632" w:rsidRDefault="00065632" w:rsidP="00DF217B"/>
    <w:p w:rsidR="00065632" w:rsidRDefault="00065632" w:rsidP="00DF217B"/>
    <w:p w:rsidR="00065632" w:rsidRDefault="00065632" w:rsidP="00DF217B"/>
    <w:p w:rsidR="00065632" w:rsidRDefault="00065632" w:rsidP="00DF217B"/>
    <w:p w:rsidR="00065632" w:rsidRDefault="00065632" w:rsidP="00DF217B"/>
    <w:p w:rsidR="00065632" w:rsidRDefault="00065632" w:rsidP="00DF217B"/>
    <w:p w:rsidR="00065632" w:rsidRDefault="00065632" w:rsidP="00DF217B"/>
    <w:p w:rsidR="00065632" w:rsidRDefault="00065632" w:rsidP="00DF217B"/>
    <w:p w:rsidR="00065632" w:rsidRDefault="00065632" w:rsidP="00DF217B"/>
    <w:p w:rsidR="00065632" w:rsidRDefault="00065632" w:rsidP="00DF217B"/>
    <w:p w:rsidR="00065632" w:rsidRDefault="00065632" w:rsidP="00DF217B"/>
    <w:p w:rsidR="00065632" w:rsidRDefault="00065632" w:rsidP="00DF217B"/>
    <w:p w:rsidR="00065632" w:rsidRDefault="00560258" w:rsidP="00DF217B">
      <w:r>
        <w:rPr>
          <w:noProof/>
          <w:lang w:val="cs-CZ" w:eastAsia="cs-CZ"/>
        </w:rPr>
        <mc:AlternateContent>
          <mc:Choice Requires="wps">
            <w:drawing>
              <wp:anchor distT="0" distB="0" distL="114300" distR="114300" simplePos="0" relativeHeight="251655680" behindDoc="0" locked="0" layoutInCell="1" allowOverlap="1">
                <wp:simplePos x="0" y="0"/>
                <wp:positionH relativeFrom="column">
                  <wp:posOffset>-132715</wp:posOffset>
                </wp:positionH>
                <wp:positionV relativeFrom="paragraph">
                  <wp:posOffset>105410</wp:posOffset>
                </wp:positionV>
                <wp:extent cx="5632450" cy="1190625"/>
                <wp:effectExtent l="0" t="3175" r="635" b="0"/>
                <wp:wrapNone/>
                <wp:docPr id="28" name="Text Box 112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2450" cy="1190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5632" w:rsidRPr="00693AAF" w:rsidRDefault="00065632" w:rsidP="005C305A">
                            <w:pPr>
                              <w:pStyle w:val="BodyText1"/>
                              <w:rPr>
                                <w:rFonts w:eastAsia="Arial Unicode MS"/>
                                <w:color w:val="002776"/>
                                <w:kern w:val="24"/>
                                <w:sz w:val="18"/>
                                <w:szCs w:val="18"/>
                              </w:rPr>
                            </w:pPr>
                            <w:r w:rsidRPr="00693AAF">
                              <w:rPr>
                                <w:color w:val="002776"/>
                                <w:kern w:val="24"/>
                                <w:sz w:val="18"/>
                                <w:szCs w:val="18"/>
                              </w:rPr>
                              <w:t xml:space="preserve">Deloitte refers to one or more Deloitte </w:t>
                            </w:r>
                            <w:proofErr w:type="spellStart"/>
                            <w:r w:rsidRPr="00693AAF">
                              <w:rPr>
                                <w:color w:val="002776"/>
                                <w:kern w:val="24"/>
                                <w:sz w:val="18"/>
                                <w:szCs w:val="18"/>
                              </w:rPr>
                              <w:t>Touche</w:t>
                            </w:r>
                            <w:proofErr w:type="spellEnd"/>
                            <w:r w:rsidRPr="00693AAF">
                              <w:rPr>
                                <w:color w:val="002776"/>
                                <w:kern w:val="24"/>
                                <w:sz w:val="18"/>
                                <w:szCs w:val="18"/>
                              </w:rPr>
                              <w:t xml:space="preserve"> Tohmatsu Limited, a UK private company limited by guarantee ("DTTL"), its network of member firms, and their related entities. DTTL and each of its member firms are legally separate and independent entities. DTTL (also referred to as “Deloitte Global”) does not provide services to clients. For a detailed description of the legal structure of Deloitte </w:t>
                            </w:r>
                            <w:proofErr w:type="spellStart"/>
                            <w:r w:rsidRPr="00693AAF">
                              <w:rPr>
                                <w:color w:val="002776"/>
                                <w:kern w:val="24"/>
                                <w:sz w:val="18"/>
                                <w:szCs w:val="18"/>
                              </w:rPr>
                              <w:t>Touche</w:t>
                            </w:r>
                            <w:proofErr w:type="spellEnd"/>
                            <w:r w:rsidRPr="00693AAF">
                              <w:rPr>
                                <w:color w:val="002776"/>
                                <w:kern w:val="24"/>
                                <w:sz w:val="18"/>
                                <w:szCs w:val="18"/>
                              </w:rPr>
                              <w:t xml:space="preserve"> Tohmatsu Limited and its member firms please see </w:t>
                            </w:r>
                            <w:hyperlink r:id="rId42">
                              <w:r>
                                <w:rPr>
                                  <w:rStyle w:val="Hypertextovodkaz"/>
                                  <w:kern w:val="24"/>
                                  <w:sz w:val="18"/>
                                  <w:szCs w:val="18"/>
                                </w:rPr>
                                <w:t>www.deloitte.com/cz/onas</w:t>
                              </w:r>
                            </w:hyperlink>
                            <w:r w:rsidRPr="00693AAF">
                              <w:rPr>
                                <w:color w:val="002776"/>
                                <w:kern w:val="24"/>
                                <w:sz w:val="18"/>
                                <w:szCs w:val="18"/>
                              </w:rPr>
                              <w:t>.</w:t>
                            </w:r>
                          </w:p>
                          <w:p w:rsidR="00065632" w:rsidRPr="00693AAF" w:rsidRDefault="00065632" w:rsidP="005C305A">
                            <w:pPr>
                              <w:pStyle w:val="BodyText1"/>
                              <w:rPr>
                                <w:rFonts w:eastAsia="Arial Unicode MS"/>
                                <w:color w:val="002776"/>
                                <w:kern w:val="24"/>
                                <w:sz w:val="18"/>
                                <w:szCs w:val="18"/>
                              </w:rPr>
                            </w:pPr>
                          </w:p>
                          <w:p w:rsidR="00065632" w:rsidRPr="00693AAF" w:rsidRDefault="00065632" w:rsidP="005C305A">
                            <w:pPr>
                              <w:pStyle w:val="BodyText1"/>
                              <w:rPr>
                                <w:rFonts w:eastAsia="Arial Unicode MS"/>
                                <w:color w:val="002776"/>
                                <w:kern w:val="24"/>
                                <w:sz w:val="18"/>
                                <w:szCs w:val="18"/>
                              </w:rPr>
                            </w:pPr>
                            <w:r w:rsidRPr="00693AAF">
                              <w:rPr>
                                <w:color w:val="002776"/>
                                <w:kern w:val="24"/>
                                <w:sz w:val="18"/>
                                <w:szCs w:val="18"/>
                              </w:rPr>
                              <w:t>© 2015 Deloitte Czech Republic</w:t>
                            </w:r>
                          </w:p>
                          <w:p w:rsidR="00065632" w:rsidRPr="00693AAF" w:rsidRDefault="00065632" w:rsidP="00DF217B">
                            <w:pPr>
                              <w:pStyle w:val="BodyText1"/>
                              <w:rPr>
                                <w:color w:val="002776"/>
                                <w:sz w:val="16"/>
                                <w:szCs w:val="16"/>
                              </w:rPr>
                            </w:pPr>
                          </w:p>
                        </w:txbxContent>
                      </wps:txbx>
                      <wps:bodyPr rot="0" vert="horz" wrap="square" lIns="7200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266" o:spid="_x0000_s1028" type="#_x0000_t202" style="position:absolute;left:0;text-align:left;margin-left:-10.45pt;margin-top:8.3pt;width:443.5pt;height:93.7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" filled="f" stroked="f">
                <v:textbox inset="2mm">
                  <w:txbxContent>
                    <w:p w:rsidR="00065632" w:rsidRPr="00693AAF" w:rsidRDefault="00065632" w:rsidP="005C305A">
                      <w:pPr>
                        <w:pStyle w:val="BodyText1"/>
                        <w:rPr>
                          <w:rFonts w:eastAsia="Arial Unicode MS"/>
                          <w:color w:val="002776"/>
                          <w:kern w:val="24"/>
                          <w:sz w:val="18"/>
                          <w:szCs w:val="18"/>
                        </w:rPr>
                      </w:pPr>
                      <w:r w:rsidRPr="00693AAF">
                        <w:rPr>
                          <w:color w:val="002776"/>
                          <w:kern w:val="24"/>
                          <w:sz w:val="18"/>
                          <w:szCs w:val="18"/>
                        </w:rPr>
                        <w:t xml:space="preserve">Deloitte refers to one or more Deloitte </w:t>
                      </w:r>
                      <w:proofErr w:type="spellStart"/>
                      <w:r w:rsidRPr="00693AAF">
                        <w:rPr>
                          <w:color w:val="002776"/>
                          <w:kern w:val="24"/>
                          <w:sz w:val="18"/>
                          <w:szCs w:val="18"/>
                        </w:rPr>
                        <w:t>Touche</w:t>
                      </w:r>
                      <w:proofErr w:type="spellEnd"/>
                      <w:r w:rsidRPr="00693AAF">
                        <w:rPr>
                          <w:color w:val="002776"/>
                          <w:kern w:val="24"/>
                          <w:sz w:val="18"/>
                          <w:szCs w:val="18"/>
                        </w:rPr>
                        <w:t xml:space="preserve"> Tohmatsu Limited, a UK private company limited by guarantee ("DTTL"), its network of member firms, and their related entities. DTTL and each of its member firms are legally separate and independent entities. DTTL (also referred to as “Deloitte Global”) does not provide services to clients. For a detailed description of the legal structure of Deloitte </w:t>
                      </w:r>
                      <w:proofErr w:type="spellStart"/>
                      <w:r w:rsidRPr="00693AAF">
                        <w:rPr>
                          <w:color w:val="002776"/>
                          <w:kern w:val="24"/>
                          <w:sz w:val="18"/>
                          <w:szCs w:val="18"/>
                        </w:rPr>
                        <w:t>Touche</w:t>
                      </w:r>
                      <w:proofErr w:type="spellEnd"/>
                      <w:r w:rsidRPr="00693AAF">
                        <w:rPr>
                          <w:color w:val="002776"/>
                          <w:kern w:val="24"/>
                          <w:sz w:val="18"/>
                          <w:szCs w:val="18"/>
                        </w:rPr>
                        <w:t xml:space="preserve"> Tohmatsu Limited and its member firms please see </w:t>
                      </w:r>
                      <w:hyperlink r:id="rId43">
                        <w:r>
                          <w:rPr>
                            <w:rStyle w:val="Hypertextovodkaz"/>
                            <w:kern w:val="24"/>
                            <w:sz w:val="18"/>
                            <w:szCs w:val="18"/>
                          </w:rPr>
                          <w:t>www.deloitte.com/cz/onas</w:t>
                        </w:r>
                      </w:hyperlink>
                      <w:r w:rsidRPr="00693AAF">
                        <w:rPr>
                          <w:color w:val="002776"/>
                          <w:kern w:val="24"/>
                          <w:sz w:val="18"/>
                          <w:szCs w:val="18"/>
                        </w:rPr>
                        <w:t>.</w:t>
                      </w:r>
                    </w:p>
                    <w:p w:rsidR="00065632" w:rsidRPr="00693AAF" w:rsidRDefault="00065632" w:rsidP="005C305A">
                      <w:pPr>
                        <w:pStyle w:val="BodyText1"/>
                        <w:rPr>
                          <w:rFonts w:eastAsia="Arial Unicode MS"/>
                          <w:color w:val="002776"/>
                          <w:kern w:val="24"/>
                          <w:sz w:val="18"/>
                          <w:szCs w:val="18"/>
                        </w:rPr>
                      </w:pPr>
                    </w:p>
                    <w:p w:rsidR="00065632" w:rsidRPr="00693AAF" w:rsidRDefault="00065632" w:rsidP="005C305A">
                      <w:pPr>
                        <w:pStyle w:val="BodyText1"/>
                        <w:rPr>
                          <w:rFonts w:eastAsia="Arial Unicode MS"/>
                          <w:color w:val="002776"/>
                          <w:kern w:val="24"/>
                          <w:sz w:val="18"/>
                          <w:szCs w:val="18"/>
                        </w:rPr>
                      </w:pPr>
                      <w:r w:rsidRPr="00693AAF">
                        <w:rPr>
                          <w:color w:val="002776"/>
                          <w:kern w:val="24"/>
                          <w:sz w:val="18"/>
                          <w:szCs w:val="18"/>
                        </w:rPr>
                        <w:t>© 2015 Deloitte Czech Republic</w:t>
                      </w:r>
                    </w:p>
                    <w:p w:rsidR="00065632" w:rsidRPr="00693AAF" w:rsidRDefault="00065632" w:rsidP="00DF217B">
                      <w:pPr>
                        <w:pStyle w:val="BodyText1"/>
                        <w:rPr>
                          <w:color w:val="002776"/>
                          <w:sz w:val="16"/>
                          <w:szCs w:val="16"/>
                        </w:rPr>
                      </w:pPr>
                    </w:p>
                  </w:txbxContent>
                </v:textbox>
              </v:shape>
            </w:pict>
          </mc:Fallback>
        </mc:AlternateContent>
      </w:r>
    </w:p>
    <w:p w:rsidR="00065632" w:rsidRDefault="00065632" w:rsidP="00DF217B"/>
    <w:p w:rsidR="00065632" w:rsidRDefault="00065632" w:rsidP="00DF217B"/>
    <w:p w:rsidR="00065632" w:rsidRDefault="00065632" w:rsidP="0023705F">
      <w:pPr>
        <w:rPr>
          <w:b/>
          <w:bCs/>
          <w:sz w:val="44"/>
          <w:szCs w:val="44"/>
          <w:highlight w:val="yellow"/>
        </w:rPr>
      </w:pPr>
    </w:p>
    <w:p w:rsidR="00065632" w:rsidRDefault="00065632" w:rsidP="00DA4E52">
      <w:pPr>
        <w:spacing w:after="0"/>
        <w:jc w:val="left"/>
      </w:pPr>
    </w:p>
    <w:sectPr w:rsidR="00065632" w:rsidSect="008830B5">
      <w:pgSz w:w="11906" w:h="16838" w:code="9"/>
      <w:pgMar w:top="1418" w:right="1418" w:bottom="1418" w:left="1418" w:header="709" w:footer="709" w:gutter="0"/>
      <w:paperSrc w:first="15" w:other="15"/>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65632" w:rsidRDefault="00065632">
      <w:r>
        <w:separator/>
      </w:r>
    </w:p>
    <w:p w:rsidR="00065632" w:rsidRDefault="00065632"/>
  </w:endnote>
  <w:endnote w:type="continuationSeparator" w:id="0">
    <w:p w:rsidR="00065632" w:rsidRDefault="00065632">
      <w:r>
        <w:continuationSeparator/>
      </w:r>
    </w:p>
    <w:p w:rsidR="00065632" w:rsidRDefault="0006563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Times New Roman Bold">
    <w:altName w:val="Times New Roman"/>
    <w:panose1 w:val="00000000000000000000"/>
    <w:charset w:val="00"/>
    <w:family w:val="roman"/>
    <w:notTrueType/>
    <w:pitch w:val="default"/>
    <w:sig w:usb0="00000003" w:usb1="00000000" w:usb2="00000000" w:usb3="00000000" w:csb0="00000001" w:csb1="00000000"/>
  </w:font>
  <w:font w:name="Tahoma">
    <w:panose1 w:val="020B0604030504040204"/>
    <w:charset w:val="EE"/>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Georgia">
    <w:panose1 w:val="02040502050405020303"/>
    <w:charset w:val="EE"/>
    <w:family w:val="roman"/>
    <w:pitch w:val="variable"/>
    <w:sig w:usb0="00000287" w:usb1="00000000" w:usb2="00000000" w:usb3="00000000" w:csb0="0000009F" w:csb1="00000000"/>
  </w:font>
  <w:font w:name="Humnst777 Lt AT">
    <w:altName w:val="Arial"/>
    <w:panose1 w:val="00000000000000000000"/>
    <w:charset w:val="EE"/>
    <w:family w:val="swiss"/>
    <w:notTrueType/>
    <w:pitch w:val="default"/>
    <w:sig w:usb0="00000007" w:usb1="00000000" w:usb2="00000000" w:usb3="00000000" w:csb0="00000003" w:csb1="00000000"/>
  </w:font>
  <w:font w:name="EUAlbertina">
    <w:altName w:val="Times New Roman"/>
    <w:panose1 w:val="00000000000000000000"/>
    <w:charset w:val="00"/>
    <w:family w:val="roman"/>
    <w:notTrueType/>
    <w:pitch w:val="default"/>
    <w:sig w:usb0="00000003" w:usb1="00000000" w:usb2="00000000" w:usb3="00000000" w:csb0="00000001" w:csb1="00000000"/>
  </w:font>
  <w:font w:name="Myriad Pro Light">
    <w:altName w:val="Arial"/>
    <w:panose1 w:val="00000000000000000000"/>
    <w:charset w:val="00"/>
    <w:family w:val="swiss"/>
    <w:notTrueType/>
    <w:pitch w:val="default"/>
    <w:sig w:usb0="00000003" w:usb1="00000000" w:usb2="00000000" w:usb3="00000000" w:csb0="00000001" w:csb1="00000000"/>
  </w:font>
  <w:font w:name="Lucida Grande">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EE"/>
    <w:family w:val="swiss"/>
    <w:pitch w:val="variable"/>
    <w:sig w:usb0="E00002FF" w:usb1="4000ACFF" w:usb2="00000001" w:usb3="00000000" w:csb0="0000019F" w:csb1="00000000"/>
  </w:font>
  <w:font w:name="Franklin Gothic Medium">
    <w:panose1 w:val="020B0603020102020204"/>
    <w:charset w:val="EE"/>
    <w:family w:val="swiss"/>
    <w:pitch w:val="variable"/>
    <w:sig w:usb0="00000287" w:usb1="00000000" w:usb2="00000000" w:usb3="00000000" w:csb0="0000009F" w:csb1="00000000"/>
  </w:font>
  <w:font w:name="Verdana">
    <w:panose1 w:val="020B0604030504040204"/>
    <w:charset w:val="EE"/>
    <w:family w:val="swiss"/>
    <w:pitch w:val="variable"/>
    <w:sig w:usb0="A10006FF" w:usb1="4000205B" w:usb2="00000010" w:usb3="00000000" w:csb0="0000019F" w:csb1="00000000"/>
  </w:font>
  <w:font w:name="Cambria Math">
    <w:panose1 w:val="02040503050406030204"/>
    <w:charset w:val="EE"/>
    <w:family w:val="roman"/>
    <w:pitch w:val="variable"/>
    <w:sig w:usb0="E00002FF" w:usb1="420024FF" w:usb2="00000000" w:usb3="00000000" w:csb0="0000019F" w:csb1="00000000"/>
  </w:font>
  <w:font w:name="Calibri Light">
    <w:panose1 w:val="020F0302020204030204"/>
    <w:charset w:val="EE"/>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65632" w:rsidRDefault="00065632" w:rsidP="00BC79C3">
    <w:pPr>
      <w:pStyle w:val="Zpat"/>
      <w:jc w:val="right"/>
    </w:pPr>
    <w:r>
      <w:fldChar w:fldCharType="begin"/>
    </w:r>
    <w:r>
      <w:instrText xml:space="preserve"> PAGE   \* MERGEFORMAT </w:instrText>
    </w:r>
    <w:r>
      <w:fldChar w:fldCharType="separate"/>
    </w:r>
    <w:r w:rsidR="007C5202">
      <w:rPr>
        <w:noProof/>
      </w:rPr>
      <w:t>3</w:t>
    </w:r>
    <w:r>
      <w:fldChar w:fldCharType="end"/>
    </w:r>
  </w:p>
  <w:p w:rsidR="00065632" w:rsidRPr="003530AF" w:rsidRDefault="00065632" w:rsidP="003530AF">
    <w:pPr>
      <w:pStyle w:val="Zpat"/>
      <w:jc w:val="righ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65632" w:rsidRDefault="00065632">
    <w:pPr>
      <w:pStyle w:val="Zpa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65632" w:rsidRDefault="00065632">
    <w:pPr>
      <w:pStyle w:val="Zpat"/>
      <w:jc w:val="right"/>
    </w:pPr>
    <w:r>
      <w:fldChar w:fldCharType="begin"/>
    </w:r>
    <w:r>
      <w:instrText xml:space="preserve"> PAGE   \* MERGEFORMAT </w:instrText>
    </w:r>
    <w:r>
      <w:fldChar w:fldCharType="separate"/>
    </w:r>
    <w:r w:rsidR="007C5202">
      <w:rPr>
        <w:noProof/>
      </w:rPr>
      <w:t>87</w:t>
    </w:r>
    <w:r>
      <w:fldChar w:fldCharType="end"/>
    </w:r>
  </w:p>
  <w:p w:rsidR="00065632" w:rsidRDefault="00065632">
    <w:pPr>
      <w:pStyle w:val="Zpat"/>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65632" w:rsidRDefault="00065632">
    <w:pPr>
      <w:pStyle w:val="Zpat"/>
      <w:jc w:val="right"/>
    </w:pPr>
    <w:r>
      <w:fldChar w:fldCharType="begin"/>
    </w:r>
    <w:r>
      <w:instrText xml:space="preserve"> PAGE   \* MERGEFORMAT </w:instrText>
    </w:r>
    <w:r>
      <w:fldChar w:fldCharType="separate"/>
    </w:r>
    <w:r w:rsidR="007C5202">
      <w:rPr>
        <w:noProof/>
      </w:rPr>
      <w:t>135</w:t>
    </w:r>
    <w:r>
      <w:fldChar w:fldCharType="end"/>
    </w:r>
  </w:p>
  <w:p w:rsidR="00065632" w:rsidRDefault="00065632">
    <w:pPr>
      <w:pStyle w:val="Zpa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65632" w:rsidRDefault="00065632">
      <w:r>
        <w:separator/>
      </w:r>
    </w:p>
    <w:p w:rsidR="00065632" w:rsidRDefault="00065632"/>
  </w:footnote>
  <w:footnote w:type="continuationSeparator" w:id="0">
    <w:p w:rsidR="00065632" w:rsidRDefault="00065632">
      <w:r>
        <w:continuationSeparator/>
      </w:r>
    </w:p>
    <w:p w:rsidR="00065632" w:rsidRDefault="00065632"/>
  </w:footnote>
  <w:footnote w:id="1">
    <w:p w:rsidR="00065632" w:rsidRDefault="00065632" w:rsidP="00DA4E52">
      <w:pPr>
        <w:pStyle w:val="Textpoznpodarou"/>
        <w:spacing w:after="0"/>
      </w:pPr>
      <w:r>
        <w:rPr>
          <w:rStyle w:val="Znakapoznpodarou"/>
        </w:rPr>
        <w:footnoteRef/>
      </w:r>
      <w:r>
        <w:t xml:space="preserve"> In total, the CR can </w:t>
      </w:r>
      <w:proofErr w:type="spellStart"/>
      <w:r>
        <w:t>drawn</w:t>
      </w:r>
      <w:proofErr w:type="spellEnd"/>
      <w:r>
        <w:t xml:space="preserve"> down from the structural funds EUR 26.7 billion in the programming period 2007-2013 and therefore the allocation of funds for FI is minimal compared with this volume. </w:t>
      </w:r>
    </w:p>
  </w:footnote>
  <w:footnote w:id="2">
    <w:p w:rsidR="00065632" w:rsidRDefault="00065632" w:rsidP="00DA4E52">
      <w:pPr>
        <w:pStyle w:val="Textpoznpodarou"/>
      </w:pPr>
      <w:r>
        <w:rPr>
          <w:rStyle w:val="Znakapoznpodarou"/>
        </w:rPr>
        <w:footnoteRef/>
      </w:r>
      <w:r>
        <w:t xml:space="preserve"> In the case of IOP/IROP area of intervention </w:t>
      </w:r>
    </w:p>
  </w:footnote>
  <w:footnote w:id="3">
    <w:p w:rsidR="00065632" w:rsidRDefault="00065632" w:rsidP="00DA4E52">
      <w:pPr>
        <w:pStyle w:val="Textpoznpodarou"/>
        <w:spacing w:after="0"/>
      </w:pPr>
      <w:r>
        <w:rPr>
          <w:rStyle w:val="Znakapoznpodarou"/>
        </w:rPr>
        <w:footnoteRef/>
      </w:r>
      <w:r>
        <w:t xml:space="preserve"> In the event of impossibility to use other alternative measures and, at the same time, the lack of financial resources to meet the energy efficiency target by an alternative approach, the implementation of energy efficiency obligation scheme is taken into account to meet the target.</w:t>
      </w:r>
    </w:p>
  </w:footnote>
  <w:footnote w:id="4">
    <w:p w:rsidR="00065632" w:rsidRDefault="00065632" w:rsidP="00D36F9D">
      <w:pPr>
        <w:pStyle w:val="Textpoznpodarou"/>
      </w:pPr>
      <w:r>
        <w:rPr>
          <w:rStyle w:val="Znakapoznpodarou"/>
        </w:rPr>
        <w:footnoteRef/>
      </w:r>
      <w:r>
        <w:t xml:space="preserve"> Materials referred to in the chapter of used sources under numbers 21–27.</w:t>
      </w:r>
    </w:p>
  </w:footnote>
  <w:footnote w:id="5">
    <w:p w:rsidR="00065632" w:rsidRDefault="00065632" w:rsidP="00D36F9D">
      <w:pPr>
        <w:pStyle w:val="Textpoznpodarou"/>
        <w:spacing w:after="0"/>
      </w:pPr>
      <w:r>
        <w:rPr>
          <w:rStyle w:val="Znakapoznpodarou"/>
        </w:rPr>
        <w:footnoteRef/>
      </w:r>
      <w:r>
        <w:t xml:space="preserve"> Unsatisfied demand = 3400 x 0.6 x 0.95 + 3400 x 0.4 x 0.3 = CZK 2,346 million </w:t>
      </w:r>
    </w:p>
  </w:footnote>
  <w:footnote w:id="6">
    <w:p w:rsidR="00065632" w:rsidRDefault="00065632" w:rsidP="00D36F9D">
      <w:pPr>
        <w:pStyle w:val="Textpoznpodarou"/>
        <w:spacing w:after="0"/>
      </w:pPr>
      <w:r>
        <w:rPr>
          <w:rStyle w:val="Znakapoznpodarou"/>
        </w:rPr>
        <w:footnoteRef/>
      </w:r>
      <w:r>
        <w:t xml:space="preserve"> The above conclusions of the modelling contain a number of conditions, assumptions and simplifications – for complete overview, the Contractor recommends consulting the background study drawn up by the </w:t>
      </w:r>
      <w:proofErr w:type="spellStart"/>
      <w:r>
        <w:t>Šance</w:t>
      </w:r>
      <w:proofErr w:type="spellEnd"/>
      <w:r>
        <w:t xml:space="preserve"> pro </w:t>
      </w:r>
      <w:proofErr w:type="spellStart"/>
      <w:r>
        <w:t>budovy</w:t>
      </w:r>
      <w:proofErr w:type="spellEnd"/>
      <w:r>
        <w:t xml:space="preserve"> Association and, where appropriate, analysing the data under the National Action Plan.</w:t>
      </w:r>
    </w:p>
  </w:footnote>
  <w:footnote w:id="7">
    <w:p w:rsidR="00065632" w:rsidRDefault="00065632" w:rsidP="00D36F9D">
      <w:pPr>
        <w:pStyle w:val="Textpoznpodarou"/>
      </w:pPr>
      <w:r>
        <w:rPr>
          <w:rStyle w:val="Znakapoznpodarou"/>
        </w:rPr>
        <w:footnoteRef/>
      </w:r>
      <w:r>
        <w:t xml:space="preserve"> A specific-purpose mortgage loan was selected for comparison as a product whose focus most closely corresponds to the loan product which covers the investment expenditure of a prefabricated house revitalisation.</w:t>
      </w:r>
    </w:p>
  </w:footnote>
  <w:footnote w:id="8">
    <w:p w:rsidR="00065632" w:rsidRDefault="00065632" w:rsidP="00F36672">
      <w:pPr>
        <w:pStyle w:val="Textpoznpodarou"/>
      </w:pPr>
      <w:r>
        <w:rPr>
          <w:rStyle w:val="Znakapoznpodarou"/>
        </w:rPr>
        <w:footnoteRef/>
      </w:r>
      <w:r>
        <w:t xml:space="preserve"> The proposed concept of framework cooperation with several banking houses simultaneously is a previously tested model of use of loan financial instruments in Great Britain. If fundamental conditions are set which in case of being met openly allow cooperation of all banks on the provision of soft loans under identical conditions, it is not necessary to comply with the Public Procurement Act. The principle of provision of aid through building savings works by analogy: the State adds contributions directly to natural persons but through accounts of building savings societies (although there is special legislation on this form of aid).</w:t>
      </w:r>
    </w:p>
    <w:p w:rsidR="00065632" w:rsidRDefault="00065632" w:rsidP="00F36672">
      <w:pPr>
        <w:pStyle w:val="Textpoznpodarou"/>
      </w:pPr>
      <w:r>
        <w:t>The Contractor recommends further consultation of the issue with the Office for the Protection of Competition, which has previously dealt with similar cases based on the principle of unlimited involvement of third parties under the condition of fulfilment of pre-defined conditions – certain set-up of cooperation where the subject of performance of banks towards the managing authority are services which will be subsequently paid for by another entity based on an exclusive right for one or more service providers, there is a risk that such situation will be evaluated as concession.</w:t>
      </w:r>
    </w:p>
    <w:p w:rsidR="00065632" w:rsidRDefault="00065632" w:rsidP="00F36672">
      <w:pPr>
        <w:pStyle w:val="Textpoznpodarou"/>
      </w:pPr>
      <w:r>
        <w:t>It is important to add that the area falls within the scope of amendment to the Public Procurement Act; in the current bill, an exception from the law is prepared for these situations, i.e. a loan agreement need not be preceded by a tender in accordance with the PCA. The Act should be effective from 1 April 2016.</w:t>
      </w:r>
    </w:p>
  </w:footnote>
  <w:footnote w:id="9">
    <w:p w:rsidR="00065632" w:rsidRDefault="00065632" w:rsidP="00F36672">
      <w:pPr>
        <w:pStyle w:val="Textpoznpodarou"/>
      </w:pPr>
      <w:r>
        <w:rPr>
          <w:rStyle w:val="Znakapoznpodarou"/>
        </w:rPr>
        <w:footnoteRef/>
      </w:r>
      <w:r>
        <w:t xml:space="preserve"> The total amount of the payment made under the financial instrument and included in a single payment request will not exceed 25% of the total amount earmarked for the financial instrument; a subsequent payment request may be submitted only when provided the amount spent as eligible expenditure within the meaning of Article. </w:t>
      </w:r>
      <w:proofErr w:type="gramStart"/>
      <w:r>
        <w:t>42 para.</w:t>
      </w:r>
      <w:proofErr w:type="gramEnd"/>
      <w:r>
        <w:t xml:space="preserve"> </w:t>
      </w:r>
      <w:proofErr w:type="gramStart"/>
      <w:r>
        <w:t>1 point.</w:t>
      </w:r>
      <w:proofErr w:type="gramEnd"/>
      <w:r>
        <w:t xml:space="preserve"> a), b) and d) of the Common Provisions Regulation has been at least 60% (in the case of the second request for payment) or 85% (for the third and subsequent requests for payment) of the amount included in the previous request. Each request for interim payment includes an indication of the total funds disbursed (in the case of guarantees covered by contracts of guarantee with the final beneficiaries) within a given financial instrument and an indication of the amount of total eligible expenditure.</w:t>
      </w:r>
    </w:p>
  </w:footnote>
  <w:footnote w:id="10">
    <w:p w:rsidR="00065632" w:rsidRDefault="00065632" w:rsidP="00F36672">
      <w:pPr>
        <w:pStyle w:val="Textpoznpodarou"/>
      </w:pPr>
      <w:r>
        <w:rPr>
          <w:rStyle w:val="Znakapoznpodarou"/>
        </w:rPr>
        <w:footnoteRef/>
      </w:r>
      <w:r>
        <w:t xml:space="preserve"> The steps described in the below table in relation to the level "establishment of the Fund of Funds" are subject to a concurrent Government Resolution No. 85/2015, which indicates that a roof structure for financial instruments will be built in the Czech Republic, in the form of the Fund of Funds. It must however be added that much of the information is still missing: how the roof structure will be built and interconnected with individual operational programmes, or whether it will eventually have a national design or will involve the EIB.</w:t>
      </w:r>
    </w:p>
  </w:footnote>
  <w:footnote w:id="11">
    <w:p w:rsidR="00065632" w:rsidRDefault="00065632" w:rsidP="001B31DC">
      <w:pPr>
        <w:pStyle w:val="Textpoznpodarou"/>
      </w:pPr>
      <w:r>
        <w:rPr>
          <w:rStyle w:val="Znakapoznpodarou"/>
        </w:rPr>
        <w:footnoteRef/>
      </w:r>
      <w:r>
        <w:t xml:space="preserve"> Subsidies of 70% in a total allocation of CZK 16.8 billion which will be complemented by applicants' own resources or co-financing by banks up to the remaining 30% (i.e. CZK 7.2 billion) will therefore generate total investment activity of CZK 24 billion.</w:t>
      </w:r>
    </w:p>
  </w:footnote>
  <w:footnote w:id="12">
    <w:p w:rsidR="00065632" w:rsidRDefault="00065632" w:rsidP="001B31DC">
      <w:pPr>
        <w:pStyle w:val="Textpoznpodarou"/>
      </w:pPr>
      <w:r>
        <w:rPr>
          <w:rStyle w:val="Znakapoznpodarou"/>
        </w:rPr>
        <w:footnoteRef/>
      </w:r>
      <w:r>
        <w:t xml:space="preserve"> Exchange rate of 27 CZK/EUR was used for the allocation conversion</w:t>
      </w:r>
    </w:p>
  </w:footnote>
  <w:footnote w:id="13">
    <w:p w:rsidR="00065632" w:rsidRDefault="00065632">
      <w:pPr>
        <w:pStyle w:val="Textpoznpodarou"/>
      </w:pPr>
      <w:r>
        <w:rPr>
          <w:rStyle w:val="Znakapoznpodarou"/>
        </w:rPr>
        <w:footnoteRef/>
      </w:r>
      <w:r>
        <w:t xml:space="preserve"> The aid intensity may be increased by 15 percentage points for investments located in assisted areas fulfilling the conditions of Article 107(3</w:t>
      </w:r>
      <w:proofErr w:type="gramStart"/>
      <w:r>
        <w:t>)(</w:t>
      </w:r>
      <w:proofErr w:type="gramEnd"/>
      <w:r>
        <w:t>a) of the Treaty and by 5 percentage points for investments located in assisted areas fulfilling the conditions of Article 107(3)(c) of the Treaty.</w:t>
      </w:r>
    </w:p>
  </w:footnote>
  <w:footnote w:id="14">
    <w:p w:rsidR="00065632" w:rsidRDefault="00065632">
      <w:pPr>
        <w:pStyle w:val="Textpoznpodarou"/>
      </w:pPr>
      <w:r>
        <w:rPr>
          <w:rStyle w:val="Znakapoznpodarou"/>
        </w:rPr>
        <w:footnoteRef/>
      </w:r>
      <w:r>
        <w:t xml:space="preserve"> Use of the </w:t>
      </w:r>
      <w:r>
        <w:rPr>
          <w:i/>
          <w:iCs/>
        </w:rPr>
        <w:t>de minimis</w:t>
      </w:r>
      <w:r>
        <w:t xml:space="preserve"> scheme does not imply, in practical terms, an increase in the limit of aid intensity, because even with the application of GBER articles, the gross grant equivalent is far from the allowed basic maximum threshold of aid under GBER (30% or 70%), even in the case of involvement of a subsidy component – model examples show aid intensity of 5–13%. With regard to the above and with regard to the fact that applicants may also have exhausted the </w:t>
      </w:r>
      <w:r>
        <w:rPr>
          <w:i/>
          <w:iCs/>
        </w:rPr>
        <w:t>de minimis</w:t>
      </w:r>
      <w:r>
        <w:t xml:space="preserve"> limits or have them booked for the use in other projects (e.g. in the context of connection with applications in the PANEL or JESSICA programmes), we recommend to allow the </w:t>
      </w:r>
      <w:r>
        <w:rPr>
          <w:i/>
          <w:iCs/>
        </w:rPr>
        <w:t>de minimis</w:t>
      </w:r>
      <w:r>
        <w:t xml:space="preserve"> scheme but to offer another aid scheme (under GBER) in parallel.</w:t>
      </w:r>
    </w:p>
  </w:footnote>
  <w:footnote w:id="15">
    <w:p w:rsidR="00065632" w:rsidRDefault="00065632">
      <w:pPr>
        <w:pStyle w:val="Textpoznpodarou"/>
      </w:pPr>
      <w:r>
        <w:rPr>
          <w:rStyle w:val="Znakapoznpodarou"/>
        </w:rPr>
        <w:footnoteRef/>
      </w:r>
      <w:r>
        <w:t xml:space="preserve"> The proposed interest rate of the soft loan of 1.5% p.a. should be sufficiently motivating. The questionnaire survey conclusions show that as far as external financing is concerned, respondents had previously used bank loans with an average interest rate of 3.89% for similar investments. Although it is necessary to reflect changing market conditions and general cheapening of money, it is apparent that the difference in interest rates is more than 2%. This reduction should be sufficiently motivating – this is confirmed by the questionnaire survey conclusions (up to 55% of respondents would welcome a possibility to invest with a soft loan) and meetings with representatives of the Czech Banking Association (they consider loans cheaper by 1.0–1.5% to be sufficiently motivating), interest in similar existing offers of soft loans in the JESSICA programme (currently offering interest rates of 0.52–2.52% p.a.), and finally refection of operation of similar aid in Slovakia (recently launched JESSICA II offers soft loans interest rates of 0.5–3% p.a., with most frequent offers around 1.0% p.a.). However, the final decision about the rate limit is made by the MA.</w:t>
      </w:r>
    </w:p>
  </w:footnote>
  <w:footnote w:id="16">
    <w:p w:rsidR="00065632" w:rsidRDefault="00065632">
      <w:pPr>
        <w:pStyle w:val="Textpoznpodarou"/>
      </w:pPr>
      <w:r>
        <w:rPr>
          <w:rStyle w:val="Znakapoznpodarou"/>
        </w:rPr>
        <w:footnoteRef/>
      </w:r>
      <w:r>
        <w:t xml:space="preserve"> The interest rate on the side of the co-financing entity is only a result of analysis of conditions of provision of interest rate for a similar area of mortgage loans, which is on average at around 2.5% p.a., and can therefore differ for every project. This information is determinative for the calculation of the target interest rate for the beneficiary; however it may not be confused with the variable entering the calculation of the gross grant equivalent – the GGE calculator work with a </w:t>
      </w:r>
      <w:r>
        <w:rPr>
          <w:i/>
          <w:iCs/>
        </w:rPr>
        <w:t>fair rate of return</w:t>
      </w:r>
      <w:r>
        <w:t>, which is used in the calculator according to pre-defined values, set by Communication of the European Commission 2008/C 42/02 and calculating the currently applicable reference European interest rate.</w:t>
      </w:r>
    </w:p>
  </w:footnote>
  <w:footnote w:id="17">
    <w:p w:rsidR="00065632" w:rsidRDefault="00065632" w:rsidP="00AD5923">
      <w:pPr>
        <w:pStyle w:val="Textpoznpodarou"/>
        <w:spacing w:after="0"/>
      </w:pPr>
      <w:r>
        <w:rPr>
          <w:rStyle w:val="Znakapoznpodarou"/>
        </w:rPr>
        <w:footnoteRef/>
      </w:r>
      <w:r>
        <w:t xml:space="preserve"> The proposed limit of loan maturity of 20 years may be revised based on the assessment of type characteristics of the expected projects that are to apply for financing of IROP Fund loans. The Contractor set the limit after assessment of the following facts: </w:t>
      </w:r>
    </w:p>
    <w:p w:rsidR="00065632" w:rsidRDefault="00065632" w:rsidP="00065632">
      <w:pPr>
        <w:pStyle w:val="Textpoznpodarou"/>
        <w:numPr>
          <w:ilvl w:val="0"/>
          <w:numId w:val="50"/>
        </w:numPr>
        <w:spacing w:after="0"/>
        <w:ind w:left="426"/>
      </w:pPr>
      <w:r>
        <w:t xml:space="preserve">Loans provided through definition of thematically similar JESSICA and PANEL programmes show an average period of loan repayment as 11.4 or 13 years. </w:t>
      </w:r>
    </w:p>
    <w:p w:rsidR="00065632" w:rsidRDefault="00065632" w:rsidP="00065632">
      <w:pPr>
        <w:pStyle w:val="Textpoznpodarou"/>
        <w:numPr>
          <w:ilvl w:val="0"/>
          <w:numId w:val="50"/>
        </w:numPr>
        <w:spacing w:after="0"/>
        <w:ind w:left="426"/>
      </w:pPr>
      <w:r>
        <w:t xml:space="preserve">With regard to the fact that definition of IROP aid in the specific objective 2.5 is </w:t>
      </w:r>
      <w:proofErr w:type="gramStart"/>
      <w:r>
        <w:t>more strict</w:t>
      </w:r>
      <w:proofErr w:type="gramEnd"/>
      <w:r>
        <w:t xml:space="preserve"> in terms of eligible expenditure, where aid for measures typically without or with minimum benefit for energy savings (elevators, common areas) is excluded, even a shorter repayment period than in these programmes can be expected. Therefore, the maturity limit of 20 years should be suitable.</w:t>
      </w:r>
    </w:p>
  </w:footnote>
  <w:footnote w:id="18">
    <w:p w:rsidR="00065632" w:rsidRDefault="00065632" w:rsidP="006E41F0">
      <w:pPr>
        <w:pStyle w:val="Textpoznpodarou"/>
      </w:pPr>
      <w:r>
        <w:rPr>
          <w:rStyle w:val="Znakapoznpodarou"/>
        </w:rPr>
        <w:footnoteRef/>
      </w:r>
      <w:r>
        <w:t xml:space="preserve"> A similarly operating programme JESSICA established cooperation only with one </w:t>
      </w:r>
      <w:proofErr w:type="gramStart"/>
      <w:r>
        <w:t>bank,</w:t>
      </w:r>
      <w:proofErr w:type="gramEnd"/>
      <w:r>
        <w:t xml:space="preserve"> moreover on a slightly different basis of cooperation, therefore it is appropriate to call the newly planned structures new experience.</w:t>
      </w:r>
    </w:p>
  </w:footnote>
  <w:footnote w:id="19">
    <w:p w:rsidR="00065632" w:rsidRDefault="00065632">
      <w:pPr>
        <w:pStyle w:val="Textpoznpodarou"/>
      </w:pPr>
      <w:r>
        <w:rPr>
          <w:rStyle w:val="Znakapoznpodarou"/>
        </w:rPr>
        <w:footnoteRef/>
      </w:r>
      <w:r>
        <w:t xml:space="preserve"> The Contractor warns that the potential payment of the managerial fee to co-financing entities may be uninteresting with regard to the cost-benefit assessment. A potential fee of tenths of a percent annually which could be available would later have to be divided into all the co-financing entities, the number of which may be up to ten. In such case the transaction costs associated with administration could be lower than the benefits of such approach. Technical limitations would have to be addressed correlatively as co-financing entities may join during the entire period – the fee to be divided would have to be recalculated on a certain periodic base.</w:t>
      </w:r>
    </w:p>
  </w:footnote>
  <w:footnote w:id="20">
    <w:p w:rsidR="00065632" w:rsidRDefault="00065632" w:rsidP="00190C36">
      <w:pPr>
        <w:pStyle w:val="Textpoznpodarou"/>
      </w:pPr>
      <w:r>
        <w:rPr>
          <w:rStyle w:val="Znakapoznpodarou"/>
        </w:rPr>
        <w:footnoteRef/>
      </w:r>
      <w:r>
        <w:t xml:space="preserve"> The aid intensity may be increased by 15 percentage points for investments located in assisted areas fulfilling the conditions of Article 107(3</w:t>
      </w:r>
      <w:proofErr w:type="gramStart"/>
      <w:r>
        <w:t>)(</w:t>
      </w:r>
      <w:proofErr w:type="gramEnd"/>
      <w:r>
        <w:t>a) of the Treaty and by 5 percentage points for investments located in assisted areas fulfilling the conditions of Article 107(3)(c) of the Treaty.</w:t>
      </w:r>
    </w:p>
  </w:footnote>
  <w:footnote w:id="21">
    <w:p w:rsidR="00065632" w:rsidRDefault="00065632" w:rsidP="00190C36">
      <w:pPr>
        <w:pStyle w:val="Textpoznpodarou"/>
      </w:pPr>
      <w:r>
        <w:rPr>
          <w:rStyle w:val="Znakapoznpodarou"/>
        </w:rPr>
        <w:footnoteRef/>
      </w:r>
      <w:r>
        <w:t xml:space="preserve"> Use of the </w:t>
      </w:r>
      <w:r>
        <w:rPr>
          <w:i/>
          <w:iCs/>
        </w:rPr>
        <w:t>de minimis</w:t>
      </w:r>
      <w:r>
        <w:t xml:space="preserve"> scheme does not imply, in practical terms, an increase in the limit of aid amount, because even with the application of GBER articles, the gross grant equivalent is far from the allowed basic maximum threshold of aid amount under GBER (30% or 70%), even in the case of involvement of a subsidy component – model examples show aid amount of 5–13%. With regard to the above and with regard to the fact that applicants may also have exhausted the de minimis limits or have them booked for the use in other projects (e.g. in the context of connection with applications in the PANEL or JESSICA programmes), we recommend to allow the de minimis scheme but to offer another aid scheme (under GBER) in parallel.</w:t>
      </w:r>
    </w:p>
  </w:footnote>
  <w:footnote w:id="22">
    <w:p w:rsidR="00065632" w:rsidRDefault="00065632">
      <w:pPr>
        <w:pStyle w:val="Textpoznpodarou"/>
      </w:pPr>
      <w:r>
        <w:rPr>
          <w:rStyle w:val="Znakapoznpodarou"/>
        </w:rPr>
        <w:footnoteRef/>
      </w:r>
      <w:r>
        <w:t xml:space="preserve"> As described above, the delayed launch of drawing through financial instruments efficiently negates the impacts of introduction of aid which uses leverage. It is also important to add that the main effect on indicators can be observes only after 2020, when we expect an increase in drawing due to the returned revolving resources.</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65632" w:rsidRPr="00624DC2" w:rsidRDefault="00560258">
    <w:pPr>
      <w:pStyle w:val="Zhlav"/>
      <w:tabs>
        <w:tab w:val="left" w:pos="709"/>
      </w:tabs>
    </w:pPr>
    <w:r>
      <w:rPr>
        <w:noProof/>
        <w:lang w:val="cs-CZ" w:eastAsia="cs-CZ"/>
      </w:rPr>
      <w:drawing>
        <wp:inline distT="0" distB="0" distL="0" distR="0">
          <wp:extent cx="5753100" cy="733425"/>
          <wp:effectExtent l="0" t="0" r="0" b="9525"/>
          <wp:docPr id="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
                    <a:extLst>
                      <a:ext uri="{28A0092B-C50C-407E-A947-70E740481C1C}">
                        <a14:useLocalDpi xmlns:a14="http://schemas.microsoft.com/office/drawing/2010/main" val="0"/>
                      </a:ext>
                    </a:extLst>
                  </a:blip>
                  <a:srcRect l="10742" t="29697" r="11679" b="51736"/>
                  <a:stretch>
                    <a:fillRect/>
                  </a:stretch>
                </pic:blipFill>
                <pic:spPr bwMode="auto">
                  <a:xfrm>
                    <a:off x="0" y="0"/>
                    <a:ext cx="5753100" cy="733425"/>
                  </a:xfrm>
                  <a:prstGeom prst="rect">
                    <a:avLst/>
                  </a:prstGeom>
                  <a:noFill/>
                  <a:ln>
                    <a:noFill/>
                  </a:ln>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65632" w:rsidRDefault="00560258">
    <w:pPr>
      <w:pStyle w:val="Zhlav"/>
    </w:pPr>
    <w:r>
      <w:rPr>
        <w:noProof/>
        <w:lang w:val="cs-CZ" w:eastAsia="cs-CZ"/>
      </w:rPr>
      <w:drawing>
        <wp:inline distT="0" distB="0" distL="0" distR="0">
          <wp:extent cx="5753100" cy="733425"/>
          <wp:effectExtent l="0" t="0" r="0" b="9525"/>
          <wp:docPr id="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
                    <a:extLst>
                      <a:ext uri="{28A0092B-C50C-407E-A947-70E740481C1C}">
                        <a14:useLocalDpi xmlns:a14="http://schemas.microsoft.com/office/drawing/2010/main" val="0"/>
                      </a:ext>
                    </a:extLst>
                  </a:blip>
                  <a:srcRect l="10742" t="29697" r="11679" b="51736"/>
                  <a:stretch>
                    <a:fillRect/>
                  </a:stretch>
                </pic:blipFill>
                <pic:spPr bwMode="auto">
                  <a:xfrm>
                    <a:off x="0" y="0"/>
                    <a:ext cx="5753100" cy="733425"/>
                  </a:xfrm>
                  <a:prstGeom prst="rect">
                    <a:avLst/>
                  </a:prstGeom>
                  <a:noFill/>
                  <a:ln>
                    <a:noFill/>
                  </a:ln>
                </pic:spPr>
              </pic:pic>
            </a:graphicData>
          </a:graphic>
        </wp:inline>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65632" w:rsidRPr="00624DC2" w:rsidRDefault="00065632">
    <w:pPr>
      <w:pStyle w:val="Zhlav"/>
      <w:tabs>
        <w:tab w:val="left" w:pos="709"/>
      </w:tabs>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65632" w:rsidRPr="00624DC2" w:rsidRDefault="00560258">
    <w:pPr>
      <w:pStyle w:val="Zhlav"/>
      <w:tabs>
        <w:tab w:val="left" w:pos="709"/>
      </w:tabs>
    </w:pPr>
    <w:r>
      <w:rPr>
        <w:noProof/>
        <w:lang w:val="cs-CZ" w:eastAsia="cs-CZ"/>
      </w:rPr>
      <w:drawing>
        <wp:inline distT="0" distB="0" distL="0" distR="0">
          <wp:extent cx="5753100" cy="733425"/>
          <wp:effectExtent l="0" t="0" r="0" b="9525"/>
          <wp:docPr id="4"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
                    <a:extLst>
                      <a:ext uri="{28A0092B-C50C-407E-A947-70E740481C1C}">
                        <a14:useLocalDpi xmlns:a14="http://schemas.microsoft.com/office/drawing/2010/main" val="0"/>
                      </a:ext>
                    </a:extLst>
                  </a:blip>
                  <a:srcRect l="10742" t="29697" r="11679" b="51736"/>
                  <a:stretch>
                    <a:fillRect/>
                  </a:stretch>
                </pic:blipFill>
                <pic:spPr bwMode="auto">
                  <a:xfrm>
                    <a:off x="0" y="0"/>
                    <a:ext cx="5753100" cy="733425"/>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421DDD"/>
    <w:multiLevelType w:val="hybridMultilevel"/>
    <w:tmpl w:val="A3EE7C4A"/>
    <w:lvl w:ilvl="0" w:tplc="04050001">
      <w:start w:val="1"/>
      <w:numFmt w:val="bullet"/>
      <w:lvlText w:val=""/>
      <w:lvlJc w:val="left"/>
      <w:pPr>
        <w:ind w:left="780" w:hanging="360"/>
      </w:pPr>
      <w:rPr>
        <w:rFonts w:ascii="Symbol" w:hAnsi="Symbol" w:cs="Symbol" w:hint="default"/>
      </w:rPr>
    </w:lvl>
    <w:lvl w:ilvl="1" w:tplc="04050003">
      <w:start w:val="1"/>
      <w:numFmt w:val="bullet"/>
      <w:lvlText w:val="o"/>
      <w:lvlJc w:val="left"/>
      <w:pPr>
        <w:ind w:left="1500" w:hanging="360"/>
      </w:pPr>
      <w:rPr>
        <w:rFonts w:ascii="Courier New" w:hAnsi="Courier New" w:cs="Courier New" w:hint="default"/>
      </w:rPr>
    </w:lvl>
    <w:lvl w:ilvl="2" w:tplc="04050005">
      <w:start w:val="1"/>
      <w:numFmt w:val="bullet"/>
      <w:lvlText w:val=""/>
      <w:lvlJc w:val="left"/>
      <w:pPr>
        <w:ind w:left="2220" w:hanging="360"/>
      </w:pPr>
      <w:rPr>
        <w:rFonts w:ascii="Wingdings" w:hAnsi="Wingdings" w:cs="Wingdings" w:hint="default"/>
      </w:rPr>
    </w:lvl>
    <w:lvl w:ilvl="3" w:tplc="04050001">
      <w:start w:val="1"/>
      <w:numFmt w:val="bullet"/>
      <w:lvlText w:val=""/>
      <w:lvlJc w:val="left"/>
      <w:pPr>
        <w:ind w:left="2940" w:hanging="360"/>
      </w:pPr>
      <w:rPr>
        <w:rFonts w:ascii="Symbol" w:hAnsi="Symbol" w:cs="Symbol" w:hint="default"/>
      </w:rPr>
    </w:lvl>
    <w:lvl w:ilvl="4" w:tplc="04050003">
      <w:start w:val="1"/>
      <w:numFmt w:val="bullet"/>
      <w:lvlText w:val="o"/>
      <w:lvlJc w:val="left"/>
      <w:pPr>
        <w:ind w:left="3660" w:hanging="360"/>
      </w:pPr>
      <w:rPr>
        <w:rFonts w:ascii="Courier New" w:hAnsi="Courier New" w:cs="Courier New" w:hint="default"/>
      </w:rPr>
    </w:lvl>
    <w:lvl w:ilvl="5" w:tplc="04050005">
      <w:start w:val="1"/>
      <w:numFmt w:val="bullet"/>
      <w:lvlText w:val=""/>
      <w:lvlJc w:val="left"/>
      <w:pPr>
        <w:ind w:left="4380" w:hanging="360"/>
      </w:pPr>
      <w:rPr>
        <w:rFonts w:ascii="Wingdings" w:hAnsi="Wingdings" w:cs="Wingdings" w:hint="default"/>
      </w:rPr>
    </w:lvl>
    <w:lvl w:ilvl="6" w:tplc="04050001">
      <w:start w:val="1"/>
      <w:numFmt w:val="bullet"/>
      <w:lvlText w:val=""/>
      <w:lvlJc w:val="left"/>
      <w:pPr>
        <w:ind w:left="5100" w:hanging="360"/>
      </w:pPr>
      <w:rPr>
        <w:rFonts w:ascii="Symbol" w:hAnsi="Symbol" w:cs="Symbol" w:hint="default"/>
      </w:rPr>
    </w:lvl>
    <w:lvl w:ilvl="7" w:tplc="04050003">
      <w:start w:val="1"/>
      <w:numFmt w:val="bullet"/>
      <w:lvlText w:val="o"/>
      <w:lvlJc w:val="left"/>
      <w:pPr>
        <w:ind w:left="5820" w:hanging="360"/>
      </w:pPr>
      <w:rPr>
        <w:rFonts w:ascii="Courier New" w:hAnsi="Courier New" w:cs="Courier New" w:hint="default"/>
      </w:rPr>
    </w:lvl>
    <w:lvl w:ilvl="8" w:tplc="04050005">
      <w:start w:val="1"/>
      <w:numFmt w:val="bullet"/>
      <w:lvlText w:val=""/>
      <w:lvlJc w:val="left"/>
      <w:pPr>
        <w:ind w:left="6540" w:hanging="360"/>
      </w:pPr>
      <w:rPr>
        <w:rFonts w:ascii="Wingdings" w:hAnsi="Wingdings" w:cs="Wingdings" w:hint="default"/>
      </w:rPr>
    </w:lvl>
  </w:abstractNum>
  <w:abstractNum w:abstractNumId="1">
    <w:nsid w:val="05386F58"/>
    <w:multiLevelType w:val="hybridMultilevel"/>
    <w:tmpl w:val="9E98D350"/>
    <w:lvl w:ilvl="0" w:tplc="04050001">
      <w:start w:val="1"/>
      <w:numFmt w:val="bullet"/>
      <w:lvlText w:val=""/>
      <w:lvlJc w:val="left"/>
      <w:pPr>
        <w:ind w:left="772" w:hanging="360"/>
      </w:pPr>
      <w:rPr>
        <w:rFonts w:ascii="Symbol" w:hAnsi="Symbol" w:cs="Symbol" w:hint="default"/>
      </w:rPr>
    </w:lvl>
    <w:lvl w:ilvl="1" w:tplc="04050003">
      <w:start w:val="1"/>
      <w:numFmt w:val="bullet"/>
      <w:lvlText w:val="o"/>
      <w:lvlJc w:val="left"/>
      <w:pPr>
        <w:ind w:left="1492" w:hanging="360"/>
      </w:pPr>
      <w:rPr>
        <w:rFonts w:ascii="Courier New" w:hAnsi="Courier New" w:cs="Courier New" w:hint="default"/>
      </w:rPr>
    </w:lvl>
    <w:lvl w:ilvl="2" w:tplc="04050005">
      <w:start w:val="1"/>
      <w:numFmt w:val="bullet"/>
      <w:lvlText w:val=""/>
      <w:lvlJc w:val="left"/>
      <w:pPr>
        <w:ind w:left="2212" w:hanging="360"/>
      </w:pPr>
      <w:rPr>
        <w:rFonts w:ascii="Wingdings" w:hAnsi="Wingdings" w:cs="Wingdings" w:hint="default"/>
      </w:rPr>
    </w:lvl>
    <w:lvl w:ilvl="3" w:tplc="04050001">
      <w:start w:val="1"/>
      <w:numFmt w:val="bullet"/>
      <w:lvlText w:val=""/>
      <w:lvlJc w:val="left"/>
      <w:pPr>
        <w:ind w:left="2932" w:hanging="360"/>
      </w:pPr>
      <w:rPr>
        <w:rFonts w:ascii="Symbol" w:hAnsi="Symbol" w:cs="Symbol" w:hint="default"/>
      </w:rPr>
    </w:lvl>
    <w:lvl w:ilvl="4" w:tplc="04050003">
      <w:start w:val="1"/>
      <w:numFmt w:val="bullet"/>
      <w:lvlText w:val="o"/>
      <w:lvlJc w:val="left"/>
      <w:pPr>
        <w:ind w:left="3652" w:hanging="360"/>
      </w:pPr>
      <w:rPr>
        <w:rFonts w:ascii="Courier New" w:hAnsi="Courier New" w:cs="Courier New" w:hint="default"/>
      </w:rPr>
    </w:lvl>
    <w:lvl w:ilvl="5" w:tplc="04050005">
      <w:start w:val="1"/>
      <w:numFmt w:val="bullet"/>
      <w:lvlText w:val=""/>
      <w:lvlJc w:val="left"/>
      <w:pPr>
        <w:ind w:left="4372" w:hanging="360"/>
      </w:pPr>
      <w:rPr>
        <w:rFonts w:ascii="Wingdings" w:hAnsi="Wingdings" w:cs="Wingdings" w:hint="default"/>
      </w:rPr>
    </w:lvl>
    <w:lvl w:ilvl="6" w:tplc="04050001">
      <w:start w:val="1"/>
      <w:numFmt w:val="bullet"/>
      <w:lvlText w:val=""/>
      <w:lvlJc w:val="left"/>
      <w:pPr>
        <w:ind w:left="5092" w:hanging="360"/>
      </w:pPr>
      <w:rPr>
        <w:rFonts w:ascii="Symbol" w:hAnsi="Symbol" w:cs="Symbol" w:hint="default"/>
      </w:rPr>
    </w:lvl>
    <w:lvl w:ilvl="7" w:tplc="04050003">
      <w:start w:val="1"/>
      <w:numFmt w:val="bullet"/>
      <w:lvlText w:val="o"/>
      <w:lvlJc w:val="left"/>
      <w:pPr>
        <w:ind w:left="5812" w:hanging="360"/>
      </w:pPr>
      <w:rPr>
        <w:rFonts w:ascii="Courier New" w:hAnsi="Courier New" w:cs="Courier New" w:hint="default"/>
      </w:rPr>
    </w:lvl>
    <w:lvl w:ilvl="8" w:tplc="04050005">
      <w:start w:val="1"/>
      <w:numFmt w:val="bullet"/>
      <w:lvlText w:val=""/>
      <w:lvlJc w:val="left"/>
      <w:pPr>
        <w:ind w:left="6532" w:hanging="360"/>
      </w:pPr>
      <w:rPr>
        <w:rFonts w:ascii="Wingdings" w:hAnsi="Wingdings" w:cs="Wingdings" w:hint="default"/>
      </w:rPr>
    </w:lvl>
  </w:abstractNum>
  <w:abstractNum w:abstractNumId="2">
    <w:nsid w:val="06714DE7"/>
    <w:multiLevelType w:val="hybridMultilevel"/>
    <w:tmpl w:val="D81AE786"/>
    <w:lvl w:ilvl="0" w:tplc="04050001">
      <w:start w:val="1"/>
      <w:numFmt w:val="bullet"/>
      <w:lvlText w:val=""/>
      <w:lvlJc w:val="left"/>
      <w:pPr>
        <w:ind w:left="720" w:hanging="360"/>
      </w:pPr>
      <w:rPr>
        <w:rFonts w:ascii="Symbol" w:hAnsi="Symbol" w:cs="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cs="Wingdings" w:hint="default"/>
      </w:rPr>
    </w:lvl>
    <w:lvl w:ilvl="3" w:tplc="04050001">
      <w:start w:val="1"/>
      <w:numFmt w:val="bullet"/>
      <w:lvlText w:val=""/>
      <w:lvlJc w:val="left"/>
      <w:pPr>
        <w:ind w:left="2880" w:hanging="360"/>
      </w:pPr>
      <w:rPr>
        <w:rFonts w:ascii="Symbol" w:hAnsi="Symbol" w:cs="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cs="Wingdings" w:hint="default"/>
      </w:rPr>
    </w:lvl>
    <w:lvl w:ilvl="6" w:tplc="04050001">
      <w:start w:val="1"/>
      <w:numFmt w:val="bullet"/>
      <w:lvlText w:val=""/>
      <w:lvlJc w:val="left"/>
      <w:pPr>
        <w:ind w:left="5040" w:hanging="360"/>
      </w:pPr>
      <w:rPr>
        <w:rFonts w:ascii="Symbol" w:hAnsi="Symbol" w:cs="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cs="Wingdings" w:hint="default"/>
      </w:rPr>
    </w:lvl>
  </w:abstractNum>
  <w:abstractNum w:abstractNumId="3">
    <w:nsid w:val="08EA2CB0"/>
    <w:multiLevelType w:val="hybridMultilevel"/>
    <w:tmpl w:val="37D2DD42"/>
    <w:lvl w:ilvl="0" w:tplc="04050001">
      <w:start w:val="1"/>
      <w:numFmt w:val="bullet"/>
      <w:lvlText w:val=""/>
      <w:lvlJc w:val="left"/>
      <w:pPr>
        <w:ind w:left="720" w:hanging="360"/>
      </w:pPr>
      <w:rPr>
        <w:rFonts w:ascii="Symbol" w:hAnsi="Symbol" w:cs="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cs="Wingdings" w:hint="default"/>
      </w:rPr>
    </w:lvl>
    <w:lvl w:ilvl="3" w:tplc="04050001">
      <w:start w:val="1"/>
      <w:numFmt w:val="bullet"/>
      <w:lvlText w:val=""/>
      <w:lvlJc w:val="left"/>
      <w:pPr>
        <w:ind w:left="2880" w:hanging="360"/>
      </w:pPr>
      <w:rPr>
        <w:rFonts w:ascii="Symbol" w:hAnsi="Symbol" w:cs="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cs="Wingdings" w:hint="default"/>
      </w:rPr>
    </w:lvl>
    <w:lvl w:ilvl="6" w:tplc="04050001">
      <w:start w:val="1"/>
      <w:numFmt w:val="bullet"/>
      <w:lvlText w:val=""/>
      <w:lvlJc w:val="left"/>
      <w:pPr>
        <w:ind w:left="5040" w:hanging="360"/>
      </w:pPr>
      <w:rPr>
        <w:rFonts w:ascii="Symbol" w:hAnsi="Symbol" w:cs="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cs="Wingdings" w:hint="default"/>
      </w:rPr>
    </w:lvl>
  </w:abstractNum>
  <w:abstractNum w:abstractNumId="4">
    <w:nsid w:val="09F35E79"/>
    <w:multiLevelType w:val="hybridMultilevel"/>
    <w:tmpl w:val="2BA4B4EC"/>
    <w:lvl w:ilvl="0" w:tplc="73F868E0">
      <w:start w:val="1"/>
      <w:numFmt w:val="bullet"/>
      <w:lvlText w:val=""/>
      <w:lvlJc w:val="left"/>
      <w:pPr>
        <w:tabs>
          <w:tab w:val="num" w:pos="720"/>
        </w:tabs>
        <w:ind w:left="720" w:hanging="360"/>
      </w:pPr>
      <w:rPr>
        <w:rFonts w:ascii="Symbol" w:hAnsi="Symbol" w:cs="Symbol" w:hint="default"/>
        <w:color w:val="auto"/>
      </w:rPr>
    </w:lvl>
    <w:lvl w:ilvl="1" w:tplc="04050003">
      <w:start w:val="1"/>
      <w:numFmt w:val="bullet"/>
      <w:lvlText w:val="o"/>
      <w:lvlJc w:val="left"/>
      <w:pPr>
        <w:tabs>
          <w:tab w:val="num" w:pos="1440"/>
        </w:tabs>
        <w:ind w:left="1440" w:hanging="360"/>
      </w:pPr>
      <w:rPr>
        <w:rFonts w:ascii="Courier New" w:hAnsi="Courier New" w:cs="Courier New" w:hint="default"/>
      </w:rPr>
    </w:lvl>
    <w:lvl w:ilvl="2" w:tplc="04050005">
      <w:start w:val="1"/>
      <w:numFmt w:val="bullet"/>
      <w:lvlText w:val=""/>
      <w:lvlJc w:val="left"/>
      <w:pPr>
        <w:tabs>
          <w:tab w:val="num" w:pos="2160"/>
        </w:tabs>
        <w:ind w:left="2160" w:hanging="360"/>
      </w:pPr>
      <w:rPr>
        <w:rFonts w:ascii="Wingdings" w:hAnsi="Wingdings" w:cs="Wingdings" w:hint="default"/>
      </w:rPr>
    </w:lvl>
    <w:lvl w:ilvl="3" w:tplc="04050001">
      <w:start w:val="1"/>
      <w:numFmt w:val="bullet"/>
      <w:lvlText w:val=""/>
      <w:lvlJc w:val="left"/>
      <w:pPr>
        <w:tabs>
          <w:tab w:val="num" w:pos="2880"/>
        </w:tabs>
        <w:ind w:left="2880" w:hanging="360"/>
      </w:pPr>
      <w:rPr>
        <w:rFonts w:ascii="Symbol" w:hAnsi="Symbol" w:cs="Symbol" w:hint="default"/>
      </w:rPr>
    </w:lvl>
    <w:lvl w:ilvl="4" w:tplc="04050003">
      <w:start w:val="1"/>
      <w:numFmt w:val="bullet"/>
      <w:lvlText w:val="o"/>
      <w:lvlJc w:val="left"/>
      <w:pPr>
        <w:tabs>
          <w:tab w:val="num" w:pos="3600"/>
        </w:tabs>
        <w:ind w:left="3600" w:hanging="360"/>
      </w:pPr>
      <w:rPr>
        <w:rFonts w:ascii="Courier New" w:hAnsi="Courier New" w:cs="Courier New" w:hint="default"/>
      </w:rPr>
    </w:lvl>
    <w:lvl w:ilvl="5" w:tplc="04050005">
      <w:start w:val="1"/>
      <w:numFmt w:val="bullet"/>
      <w:lvlText w:val=""/>
      <w:lvlJc w:val="left"/>
      <w:pPr>
        <w:tabs>
          <w:tab w:val="num" w:pos="4320"/>
        </w:tabs>
        <w:ind w:left="4320" w:hanging="360"/>
      </w:pPr>
      <w:rPr>
        <w:rFonts w:ascii="Wingdings" w:hAnsi="Wingdings" w:cs="Wingdings" w:hint="default"/>
      </w:rPr>
    </w:lvl>
    <w:lvl w:ilvl="6" w:tplc="04050001">
      <w:start w:val="1"/>
      <w:numFmt w:val="bullet"/>
      <w:lvlText w:val=""/>
      <w:lvlJc w:val="left"/>
      <w:pPr>
        <w:tabs>
          <w:tab w:val="num" w:pos="5040"/>
        </w:tabs>
        <w:ind w:left="5040" w:hanging="360"/>
      </w:pPr>
      <w:rPr>
        <w:rFonts w:ascii="Symbol" w:hAnsi="Symbol" w:cs="Symbol" w:hint="default"/>
      </w:rPr>
    </w:lvl>
    <w:lvl w:ilvl="7" w:tplc="04050003">
      <w:start w:val="1"/>
      <w:numFmt w:val="bullet"/>
      <w:lvlText w:val="o"/>
      <w:lvlJc w:val="left"/>
      <w:pPr>
        <w:tabs>
          <w:tab w:val="num" w:pos="5760"/>
        </w:tabs>
        <w:ind w:left="5760" w:hanging="360"/>
      </w:pPr>
      <w:rPr>
        <w:rFonts w:ascii="Courier New" w:hAnsi="Courier New" w:cs="Courier New" w:hint="default"/>
      </w:rPr>
    </w:lvl>
    <w:lvl w:ilvl="8" w:tplc="04050005">
      <w:start w:val="1"/>
      <w:numFmt w:val="bullet"/>
      <w:lvlText w:val=""/>
      <w:lvlJc w:val="left"/>
      <w:pPr>
        <w:tabs>
          <w:tab w:val="num" w:pos="6480"/>
        </w:tabs>
        <w:ind w:left="6480" w:hanging="360"/>
      </w:pPr>
      <w:rPr>
        <w:rFonts w:ascii="Wingdings" w:hAnsi="Wingdings" w:cs="Wingdings" w:hint="default"/>
      </w:rPr>
    </w:lvl>
  </w:abstractNum>
  <w:abstractNum w:abstractNumId="5">
    <w:nsid w:val="0AF80CB0"/>
    <w:multiLevelType w:val="hybridMultilevel"/>
    <w:tmpl w:val="BC2EA086"/>
    <w:lvl w:ilvl="0" w:tplc="04050001">
      <w:start w:val="1"/>
      <w:numFmt w:val="bullet"/>
      <w:lvlText w:val=""/>
      <w:lvlJc w:val="left"/>
      <w:pPr>
        <w:ind w:left="720" w:hanging="360"/>
      </w:pPr>
      <w:rPr>
        <w:rFonts w:ascii="Symbol" w:hAnsi="Symbol" w:cs="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cs="Wingdings" w:hint="default"/>
      </w:rPr>
    </w:lvl>
    <w:lvl w:ilvl="3" w:tplc="04050001">
      <w:start w:val="1"/>
      <w:numFmt w:val="bullet"/>
      <w:lvlText w:val=""/>
      <w:lvlJc w:val="left"/>
      <w:pPr>
        <w:ind w:left="2880" w:hanging="360"/>
      </w:pPr>
      <w:rPr>
        <w:rFonts w:ascii="Symbol" w:hAnsi="Symbol" w:cs="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cs="Wingdings" w:hint="default"/>
      </w:rPr>
    </w:lvl>
    <w:lvl w:ilvl="6" w:tplc="04050001">
      <w:start w:val="1"/>
      <w:numFmt w:val="bullet"/>
      <w:lvlText w:val=""/>
      <w:lvlJc w:val="left"/>
      <w:pPr>
        <w:ind w:left="5040" w:hanging="360"/>
      </w:pPr>
      <w:rPr>
        <w:rFonts w:ascii="Symbol" w:hAnsi="Symbol" w:cs="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cs="Wingdings" w:hint="default"/>
      </w:rPr>
    </w:lvl>
  </w:abstractNum>
  <w:abstractNum w:abstractNumId="6">
    <w:nsid w:val="0B0E5344"/>
    <w:multiLevelType w:val="hybridMultilevel"/>
    <w:tmpl w:val="4BA8C8C0"/>
    <w:lvl w:ilvl="0" w:tplc="04050001">
      <w:start w:val="1"/>
      <w:numFmt w:val="bullet"/>
      <w:lvlText w:val=""/>
      <w:lvlJc w:val="left"/>
      <w:pPr>
        <w:ind w:left="720" w:hanging="360"/>
      </w:pPr>
      <w:rPr>
        <w:rFonts w:ascii="Symbol" w:hAnsi="Symbol" w:cs="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cs="Wingdings" w:hint="default"/>
      </w:rPr>
    </w:lvl>
    <w:lvl w:ilvl="3" w:tplc="04050001">
      <w:start w:val="1"/>
      <w:numFmt w:val="bullet"/>
      <w:lvlText w:val=""/>
      <w:lvlJc w:val="left"/>
      <w:pPr>
        <w:ind w:left="2880" w:hanging="360"/>
      </w:pPr>
      <w:rPr>
        <w:rFonts w:ascii="Symbol" w:hAnsi="Symbol" w:cs="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cs="Wingdings" w:hint="default"/>
      </w:rPr>
    </w:lvl>
    <w:lvl w:ilvl="6" w:tplc="04050001">
      <w:start w:val="1"/>
      <w:numFmt w:val="bullet"/>
      <w:lvlText w:val=""/>
      <w:lvlJc w:val="left"/>
      <w:pPr>
        <w:ind w:left="5040" w:hanging="360"/>
      </w:pPr>
      <w:rPr>
        <w:rFonts w:ascii="Symbol" w:hAnsi="Symbol" w:cs="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cs="Wingdings" w:hint="default"/>
      </w:rPr>
    </w:lvl>
  </w:abstractNum>
  <w:abstractNum w:abstractNumId="7">
    <w:nsid w:val="0C735875"/>
    <w:multiLevelType w:val="hybridMultilevel"/>
    <w:tmpl w:val="A6FEF10C"/>
    <w:lvl w:ilvl="0" w:tplc="04050001">
      <w:start w:val="1"/>
      <w:numFmt w:val="bullet"/>
      <w:lvlText w:val=""/>
      <w:lvlJc w:val="left"/>
      <w:pPr>
        <w:ind w:left="720" w:hanging="360"/>
      </w:pPr>
      <w:rPr>
        <w:rFonts w:ascii="Symbol" w:hAnsi="Symbol" w:cs="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cs="Wingdings" w:hint="default"/>
      </w:rPr>
    </w:lvl>
    <w:lvl w:ilvl="3" w:tplc="04050001">
      <w:start w:val="1"/>
      <w:numFmt w:val="bullet"/>
      <w:lvlText w:val=""/>
      <w:lvlJc w:val="left"/>
      <w:pPr>
        <w:ind w:left="2880" w:hanging="360"/>
      </w:pPr>
      <w:rPr>
        <w:rFonts w:ascii="Symbol" w:hAnsi="Symbol" w:cs="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cs="Wingdings" w:hint="default"/>
      </w:rPr>
    </w:lvl>
    <w:lvl w:ilvl="6" w:tplc="04050001">
      <w:start w:val="1"/>
      <w:numFmt w:val="bullet"/>
      <w:lvlText w:val=""/>
      <w:lvlJc w:val="left"/>
      <w:pPr>
        <w:ind w:left="5040" w:hanging="360"/>
      </w:pPr>
      <w:rPr>
        <w:rFonts w:ascii="Symbol" w:hAnsi="Symbol" w:cs="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cs="Wingdings" w:hint="default"/>
      </w:rPr>
    </w:lvl>
  </w:abstractNum>
  <w:abstractNum w:abstractNumId="8">
    <w:nsid w:val="0D7A2785"/>
    <w:multiLevelType w:val="hybridMultilevel"/>
    <w:tmpl w:val="BC12812A"/>
    <w:lvl w:ilvl="0" w:tplc="73F868E0">
      <w:start w:val="1"/>
      <w:numFmt w:val="bullet"/>
      <w:lvlText w:val=""/>
      <w:lvlJc w:val="left"/>
      <w:pPr>
        <w:tabs>
          <w:tab w:val="num" w:pos="720"/>
        </w:tabs>
        <w:ind w:left="720" w:hanging="360"/>
      </w:pPr>
      <w:rPr>
        <w:rFonts w:ascii="Symbol" w:hAnsi="Symbol" w:cs="Symbol" w:hint="default"/>
        <w:color w:val="auto"/>
      </w:rPr>
    </w:lvl>
    <w:lvl w:ilvl="1" w:tplc="04050003">
      <w:start w:val="1"/>
      <w:numFmt w:val="bullet"/>
      <w:lvlText w:val="o"/>
      <w:lvlJc w:val="left"/>
      <w:pPr>
        <w:tabs>
          <w:tab w:val="num" w:pos="1440"/>
        </w:tabs>
        <w:ind w:left="1440" w:hanging="360"/>
      </w:pPr>
      <w:rPr>
        <w:rFonts w:ascii="Courier New" w:hAnsi="Courier New" w:cs="Courier New" w:hint="default"/>
      </w:rPr>
    </w:lvl>
    <w:lvl w:ilvl="2" w:tplc="04050005">
      <w:start w:val="1"/>
      <w:numFmt w:val="bullet"/>
      <w:lvlText w:val=""/>
      <w:lvlJc w:val="left"/>
      <w:pPr>
        <w:tabs>
          <w:tab w:val="num" w:pos="2160"/>
        </w:tabs>
        <w:ind w:left="2160" w:hanging="360"/>
      </w:pPr>
      <w:rPr>
        <w:rFonts w:ascii="Wingdings" w:hAnsi="Wingdings" w:cs="Wingdings" w:hint="default"/>
      </w:rPr>
    </w:lvl>
    <w:lvl w:ilvl="3" w:tplc="04050001">
      <w:start w:val="1"/>
      <w:numFmt w:val="bullet"/>
      <w:lvlText w:val=""/>
      <w:lvlJc w:val="left"/>
      <w:pPr>
        <w:tabs>
          <w:tab w:val="num" w:pos="2880"/>
        </w:tabs>
        <w:ind w:left="2880" w:hanging="360"/>
      </w:pPr>
      <w:rPr>
        <w:rFonts w:ascii="Symbol" w:hAnsi="Symbol" w:cs="Symbol" w:hint="default"/>
      </w:rPr>
    </w:lvl>
    <w:lvl w:ilvl="4" w:tplc="04050003">
      <w:start w:val="1"/>
      <w:numFmt w:val="bullet"/>
      <w:lvlText w:val="o"/>
      <w:lvlJc w:val="left"/>
      <w:pPr>
        <w:tabs>
          <w:tab w:val="num" w:pos="3600"/>
        </w:tabs>
        <w:ind w:left="3600" w:hanging="360"/>
      </w:pPr>
      <w:rPr>
        <w:rFonts w:ascii="Courier New" w:hAnsi="Courier New" w:cs="Courier New" w:hint="default"/>
      </w:rPr>
    </w:lvl>
    <w:lvl w:ilvl="5" w:tplc="04050005">
      <w:start w:val="1"/>
      <w:numFmt w:val="bullet"/>
      <w:lvlText w:val=""/>
      <w:lvlJc w:val="left"/>
      <w:pPr>
        <w:tabs>
          <w:tab w:val="num" w:pos="4320"/>
        </w:tabs>
        <w:ind w:left="4320" w:hanging="360"/>
      </w:pPr>
      <w:rPr>
        <w:rFonts w:ascii="Wingdings" w:hAnsi="Wingdings" w:cs="Wingdings" w:hint="default"/>
      </w:rPr>
    </w:lvl>
    <w:lvl w:ilvl="6" w:tplc="04050001">
      <w:start w:val="1"/>
      <w:numFmt w:val="bullet"/>
      <w:lvlText w:val=""/>
      <w:lvlJc w:val="left"/>
      <w:pPr>
        <w:tabs>
          <w:tab w:val="num" w:pos="5040"/>
        </w:tabs>
        <w:ind w:left="5040" w:hanging="360"/>
      </w:pPr>
      <w:rPr>
        <w:rFonts w:ascii="Symbol" w:hAnsi="Symbol" w:cs="Symbol" w:hint="default"/>
      </w:rPr>
    </w:lvl>
    <w:lvl w:ilvl="7" w:tplc="04050003">
      <w:start w:val="1"/>
      <w:numFmt w:val="bullet"/>
      <w:lvlText w:val="o"/>
      <w:lvlJc w:val="left"/>
      <w:pPr>
        <w:tabs>
          <w:tab w:val="num" w:pos="5760"/>
        </w:tabs>
        <w:ind w:left="5760" w:hanging="360"/>
      </w:pPr>
      <w:rPr>
        <w:rFonts w:ascii="Courier New" w:hAnsi="Courier New" w:cs="Courier New" w:hint="default"/>
      </w:rPr>
    </w:lvl>
    <w:lvl w:ilvl="8" w:tplc="04050005">
      <w:start w:val="1"/>
      <w:numFmt w:val="bullet"/>
      <w:lvlText w:val=""/>
      <w:lvlJc w:val="left"/>
      <w:pPr>
        <w:tabs>
          <w:tab w:val="num" w:pos="6480"/>
        </w:tabs>
        <w:ind w:left="6480" w:hanging="360"/>
      </w:pPr>
      <w:rPr>
        <w:rFonts w:ascii="Wingdings" w:hAnsi="Wingdings" w:cs="Wingdings" w:hint="default"/>
      </w:rPr>
    </w:lvl>
  </w:abstractNum>
  <w:abstractNum w:abstractNumId="9">
    <w:nsid w:val="0EBA2353"/>
    <w:multiLevelType w:val="hybridMultilevel"/>
    <w:tmpl w:val="94D886E0"/>
    <w:lvl w:ilvl="0" w:tplc="04050001">
      <w:start w:val="1"/>
      <w:numFmt w:val="bullet"/>
      <w:lvlText w:val=""/>
      <w:lvlJc w:val="left"/>
      <w:pPr>
        <w:ind w:left="720" w:hanging="360"/>
      </w:pPr>
      <w:rPr>
        <w:rFonts w:ascii="Symbol" w:hAnsi="Symbol" w:cs="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cs="Wingdings" w:hint="default"/>
      </w:rPr>
    </w:lvl>
    <w:lvl w:ilvl="3" w:tplc="04050001">
      <w:start w:val="1"/>
      <w:numFmt w:val="bullet"/>
      <w:lvlText w:val=""/>
      <w:lvlJc w:val="left"/>
      <w:pPr>
        <w:ind w:left="2880" w:hanging="360"/>
      </w:pPr>
      <w:rPr>
        <w:rFonts w:ascii="Symbol" w:hAnsi="Symbol" w:cs="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cs="Wingdings" w:hint="default"/>
      </w:rPr>
    </w:lvl>
    <w:lvl w:ilvl="6" w:tplc="04050001">
      <w:start w:val="1"/>
      <w:numFmt w:val="bullet"/>
      <w:lvlText w:val=""/>
      <w:lvlJc w:val="left"/>
      <w:pPr>
        <w:ind w:left="5040" w:hanging="360"/>
      </w:pPr>
      <w:rPr>
        <w:rFonts w:ascii="Symbol" w:hAnsi="Symbol" w:cs="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cs="Wingdings" w:hint="default"/>
      </w:rPr>
    </w:lvl>
  </w:abstractNum>
  <w:abstractNum w:abstractNumId="10">
    <w:nsid w:val="122A7C70"/>
    <w:multiLevelType w:val="hybridMultilevel"/>
    <w:tmpl w:val="17BE371A"/>
    <w:lvl w:ilvl="0" w:tplc="CDCED5D0">
      <w:start w:val="1"/>
      <w:numFmt w:val="decimal"/>
      <w:lvlText w:val="%1)"/>
      <w:lvlJc w:val="left"/>
      <w:pPr>
        <w:ind w:left="840" w:hanging="345"/>
      </w:pPr>
      <w:rPr>
        <w:rFonts w:ascii="Arial" w:eastAsia="Times New Roman" w:hAnsi="Arial" w:hint="default"/>
        <w:b w:val="0"/>
        <w:bCs w:val="0"/>
        <w:spacing w:val="-4"/>
        <w:w w:val="102"/>
        <w:sz w:val="19"/>
        <w:szCs w:val="19"/>
      </w:rPr>
    </w:lvl>
    <w:lvl w:ilvl="1" w:tplc="206644E2">
      <w:start w:val="1"/>
      <w:numFmt w:val="lowerRoman"/>
      <w:lvlText w:val="%2."/>
      <w:lvlJc w:val="left"/>
      <w:pPr>
        <w:ind w:left="1560" w:hanging="705"/>
      </w:pPr>
      <w:rPr>
        <w:rFonts w:ascii="Arial" w:eastAsia="Times New Roman" w:hAnsi="Arial" w:hint="default"/>
        <w:spacing w:val="1"/>
        <w:w w:val="102"/>
        <w:sz w:val="19"/>
        <w:szCs w:val="19"/>
      </w:rPr>
    </w:lvl>
    <w:lvl w:ilvl="2" w:tplc="1D8615EC">
      <w:start w:val="1"/>
      <w:numFmt w:val="bullet"/>
      <w:lvlText w:val="•"/>
      <w:lvlJc w:val="left"/>
      <w:pPr>
        <w:ind w:left="2244" w:hanging="705"/>
      </w:pPr>
      <w:rPr>
        <w:rFonts w:hint="default"/>
      </w:rPr>
    </w:lvl>
    <w:lvl w:ilvl="3" w:tplc="40BCE136">
      <w:start w:val="1"/>
      <w:numFmt w:val="bullet"/>
      <w:lvlText w:val="•"/>
      <w:lvlJc w:val="left"/>
      <w:pPr>
        <w:ind w:left="3198" w:hanging="705"/>
      </w:pPr>
      <w:rPr>
        <w:rFonts w:hint="default"/>
      </w:rPr>
    </w:lvl>
    <w:lvl w:ilvl="4" w:tplc="4E881A62">
      <w:start w:val="1"/>
      <w:numFmt w:val="bullet"/>
      <w:lvlText w:val="•"/>
      <w:lvlJc w:val="left"/>
      <w:pPr>
        <w:ind w:left="4151" w:hanging="705"/>
      </w:pPr>
      <w:rPr>
        <w:rFonts w:hint="default"/>
      </w:rPr>
    </w:lvl>
    <w:lvl w:ilvl="5" w:tplc="AB489B32">
      <w:start w:val="1"/>
      <w:numFmt w:val="bullet"/>
      <w:lvlText w:val="•"/>
      <w:lvlJc w:val="left"/>
      <w:pPr>
        <w:ind w:left="5104" w:hanging="705"/>
      </w:pPr>
      <w:rPr>
        <w:rFonts w:hint="default"/>
      </w:rPr>
    </w:lvl>
    <w:lvl w:ilvl="6" w:tplc="3CF2892E">
      <w:start w:val="1"/>
      <w:numFmt w:val="bullet"/>
      <w:lvlText w:val="•"/>
      <w:lvlJc w:val="left"/>
      <w:pPr>
        <w:ind w:left="6057" w:hanging="705"/>
      </w:pPr>
      <w:rPr>
        <w:rFonts w:hint="default"/>
      </w:rPr>
    </w:lvl>
    <w:lvl w:ilvl="7" w:tplc="4F5043F8">
      <w:start w:val="1"/>
      <w:numFmt w:val="bullet"/>
      <w:lvlText w:val="•"/>
      <w:lvlJc w:val="left"/>
      <w:pPr>
        <w:ind w:left="7010" w:hanging="705"/>
      </w:pPr>
      <w:rPr>
        <w:rFonts w:hint="default"/>
      </w:rPr>
    </w:lvl>
    <w:lvl w:ilvl="8" w:tplc="14FA28BA">
      <w:start w:val="1"/>
      <w:numFmt w:val="bullet"/>
      <w:lvlText w:val="•"/>
      <w:lvlJc w:val="left"/>
      <w:pPr>
        <w:ind w:left="7963" w:hanging="705"/>
      </w:pPr>
      <w:rPr>
        <w:rFonts w:hint="default"/>
      </w:rPr>
    </w:lvl>
  </w:abstractNum>
  <w:abstractNum w:abstractNumId="11">
    <w:nsid w:val="147B627A"/>
    <w:multiLevelType w:val="hybridMultilevel"/>
    <w:tmpl w:val="3AA42EF6"/>
    <w:lvl w:ilvl="0" w:tplc="04050001">
      <w:start w:val="1"/>
      <w:numFmt w:val="bullet"/>
      <w:lvlText w:val=""/>
      <w:lvlJc w:val="left"/>
      <w:pPr>
        <w:ind w:left="720" w:hanging="360"/>
      </w:pPr>
      <w:rPr>
        <w:rFonts w:ascii="Symbol" w:hAnsi="Symbol" w:cs="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cs="Wingdings" w:hint="default"/>
      </w:rPr>
    </w:lvl>
    <w:lvl w:ilvl="3" w:tplc="04050001">
      <w:start w:val="1"/>
      <w:numFmt w:val="bullet"/>
      <w:lvlText w:val=""/>
      <w:lvlJc w:val="left"/>
      <w:pPr>
        <w:ind w:left="2880" w:hanging="360"/>
      </w:pPr>
      <w:rPr>
        <w:rFonts w:ascii="Symbol" w:hAnsi="Symbol" w:cs="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cs="Wingdings" w:hint="default"/>
      </w:rPr>
    </w:lvl>
    <w:lvl w:ilvl="6" w:tplc="04050001">
      <w:start w:val="1"/>
      <w:numFmt w:val="bullet"/>
      <w:lvlText w:val=""/>
      <w:lvlJc w:val="left"/>
      <w:pPr>
        <w:ind w:left="5040" w:hanging="360"/>
      </w:pPr>
      <w:rPr>
        <w:rFonts w:ascii="Symbol" w:hAnsi="Symbol" w:cs="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cs="Wingdings" w:hint="default"/>
      </w:rPr>
    </w:lvl>
  </w:abstractNum>
  <w:abstractNum w:abstractNumId="12">
    <w:nsid w:val="14B631CC"/>
    <w:multiLevelType w:val="hybridMultilevel"/>
    <w:tmpl w:val="3580E902"/>
    <w:lvl w:ilvl="0" w:tplc="04050001">
      <w:start w:val="1"/>
      <w:numFmt w:val="bullet"/>
      <w:lvlText w:val=""/>
      <w:lvlJc w:val="left"/>
      <w:pPr>
        <w:ind w:left="720" w:hanging="360"/>
      </w:pPr>
      <w:rPr>
        <w:rFonts w:ascii="Symbol" w:hAnsi="Symbol" w:cs="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cs="Wingdings" w:hint="default"/>
      </w:rPr>
    </w:lvl>
    <w:lvl w:ilvl="3" w:tplc="04050001">
      <w:start w:val="1"/>
      <w:numFmt w:val="bullet"/>
      <w:lvlText w:val=""/>
      <w:lvlJc w:val="left"/>
      <w:pPr>
        <w:ind w:left="2880" w:hanging="360"/>
      </w:pPr>
      <w:rPr>
        <w:rFonts w:ascii="Symbol" w:hAnsi="Symbol" w:cs="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cs="Wingdings" w:hint="default"/>
      </w:rPr>
    </w:lvl>
    <w:lvl w:ilvl="6" w:tplc="04050001">
      <w:start w:val="1"/>
      <w:numFmt w:val="bullet"/>
      <w:lvlText w:val=""/>
      <w:lvlJc w:val="left"/>
      <w:pPr>
        <w:ind w:left="5040" w:hanging="360"/>
      </w:pPr>
      <w:rPr>
        <w:rFonts w:ascii="Symbol" w:hAnsi="Symbol" w:cs="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cs="Wingdings" w:hint="default"/>
      </w:rPr>
    </w:lvl>
  </w:abstractNum>
  <w:abstractNum w:abstractNumId="13">
    <w:nsid w:val="15493399"/>
    <w:multiLevelType w:val="hybridMultilevel"/>
    <w:tmpl w:val="72909804"/>
    <w:lvl w:ilvl="0" w:tplc="04050001">
      <w:start w:val="1"/>
      <w:numFmt w:val="bullet"/>
      <w:lvlText w:val=""/>
      <w:lvlJc w:val="left"/>
      <w:pPr>
        <w:ind w:left="720" w:hanging="360"/>
      </w:pPr>
      <w:rPr>
        <w:rFonts w:ascii="Symbol" w:hAnsi="Symbol" w:cs="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cs="Wingdings" w:hint="default"/>
      </w:rPr>
    </w:lvl>
    <w:lvl w:ilvl="3" w:tplc="04050001">
      <w:start w:val="1"/>
      <w:numFmt w:val="bullet"/>
      <w:lvlText w:val=""/>
      <w:lvlJc w:val="left"/>
      <w:pPr>
        <w:ind w:left="2880" w:hanging="360"/>
      </w:pPr>
      <w:rPr>
        <w:rFonts w:ascii="Symbol" w:hAnsi="Symbol" w:cs="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cs="Wingdings" w:hint="default"/>
      </w:rPr>
    </w:lvl>
    <w:lvl w:ilvl="6" w:tplc="04050001">
      <w:start w:val="1"/>
      <w:numFmt w:val="bullet"/>
      <w:lvlText w:val=""/>
      <w:lvlJc w:val="left"/>
      <w:pPr>
        <w:ind w:left="5040" w:hanging="360"/>
      </w:pPr>
      <w:rPr>
        <w:rFonts w:ascii="Symbol" w:hAnsi="Symbol" w:cs="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cs="Wingdings" w:hint="default"/>
      </w:rPr>
    </w:lvl>
  </w:abstractNum>
  <w:abstractNum w:abstractNumId="14">
    <w:nsid w:val="15A2249F"/>
    <w:multiLevelType w:val="hybridMultilevel"/>
    <w:tmpl w:val="46CC8AFE"/>
    <w:lvl w:ilvl="0" w:tplc="9034B83A">
      <w:start w:val="1"/>
      <w:numFmt w:val="bullet"/>
      <w:pStyle w:val="Bulletslevel2"/>
      <w:lvlText w:val=""/>
      <w:lvlJc w:val="left"/>
      <w:pPr>
        <w:ind w:left="1004" w:hanging="360"/>
      </w:pPr>
      <w:rPr>
        <w:rFonts w:ascii="Symbol" w:hAnsi="Symbol" w:cs="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cs="Wingdings" w:hint="default"/>
      </w:rPr>
    </w:lvl>
    <w:lvl w:ilvl="3" w:tplc="04090001">
      <w:start w:val="1"/>
      <w:numFmt w:val="bullet"/>
      <w:lvlText w:val=""/>
      <w:lvlJc w:val="left"/>
      <w:pPr>
        <w:ind w:left="3164" w:hanging="360"/>
      </w:pPr>
      <w:rPr>
        <w:rFonts w:ascii="Symbol" w:hAnsi="Symbol" w:cs="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cs="Wingdings" w:hint="default"/>
      </w:rPr>
    </w:lvl>
    <w:lvl w:ilvl="6" w:tplc="04090001">
      <w:start w:val="1"/>
      <w:numFmt w:val="bullet"/>
      <w:lvlText w:val=""/>
      <w:lvlJc w:val="left"/>
      <w:pPr>
        <w:ind w:left="5324" w:hanging="360"/>
      </w:pPr>
      <w:rPr>
        <w:rFonts w:ascii="Symbol" w:hAnsi="Symbol" w:cs="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cs="Wingdings" w:hint="default"/>
      </w:rPr>
    </w:lvl>
  </w:abstractNum>
  <w:abstractNum w:abstractNumId="15">
    <w:nsid w:val="163C23A7"/>
    <w:multiLevelType w:val="hybridMultilevel"/>
    <w:tmpl w:val="D7F08FF2"/>
    <w:lvl w:ilvl="0" w:tplc="04050001">
      <w:start w:val="1"/>
      <w:numFmt w:val="bullet"/>
      <w:lvlText w:val=""/>
      <w:lvlJc w:val="left"/>
      <w:pPr>
        <w:ind w:left="720" w:hanging="360"/>
      </w:pPr>
      <w:rPr>
        <w:rFonts w:ascii="Symbol" w:hAnsi="Symbol" w:cs="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cs="Wingdings" w:hint="default"/>
      </w:rPr>
    </w:lvl>
    <w:lvl w:ilvl="3" w:tplc="04050001">
      <w:start w:val="1"/>
      <w:numFmt w:val="bullet"/>
      <w:lvlText w:val=""/>
      <w:lvlJc w:val="left"/>
      <w:pPr>
        <w:ind w:left="2880" w:hanging="360"/>
      </w:pPr>
      <w:rPr>
        <w:rFonts w:ascii="Symbol" w:hAnsi="Symbol" w:cs="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cs="Wingdings" w:hint="default"/>
      </w:rPr>
    </w:lvl>
    <w:lvl w:ilvl="6" w:tplc="04050001">
      <w:start w:val="1"/>
      <w:numFmt w:val="bullet"/>
      <w:lvlText w:val=""/>
      <w:lvlJc w:val="left"/>
      <w:pPr>
        <w:ind w:left="5040" w:hanging="360"/>
      </w:pPr>
      <w:rPr>
        <w:rFonts w:ascii="Symbol" w:hAnsi="Symbol" w:cs="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cs="Wingdings" w:hint="default"/>
      </w:rPr>
    </w:lvl>
  </w:abstractNum>
  <w:abstractNum w:abstractNumId="16">
    <w:nsid w:val="178F6E40"/>
    <w:multiLevelType w:val="hybridMultilevel"/>
    <w:tmpl w:val="A37E875E"/>
    <w:lvl w:ilvl="0" w:tplc="04050001">
      <w:start w:val="1"/>
      <w:numFmt w:val="bullet"/>
      <w:lvlText w:val=""/>
      <w:lvlJc w:val="left"/>
      <w:pPr>
        <w:ind w:left="720" w:hanging="360"/>
      </w:pPr>
      <w:rPr>
        <w:rFonts w:ascii="Symbol" w:hAnsi="Symbol" w:cs="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cs="Wingdings" w:hint="default"/>
      </w:rPr>
    </w:lvl>
    <w:lvl w:ilvl="3" w:tplc="04050001">
      <w:start w:val="1"/>
      <w:numFmt w:val="bullet"/>
      <w:lvlText w:val=""/>
      <w:lvlJc w:val="left"/>
      <w:pPr>
        <w:ind w:left="2880" w:hanging="360"/>
      </w:pPr>
      <w:rPr>
        <w:rFonts w:ascii="Symbol" w:hAnsi="Symbol" w:cs="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cs="Wingdings" w:hint="default"/>
      </w:rPr>
    </w:lvl>
    <w:lvl w:ilvl="6" w:tplc="04050001">
      <w:start w:val="1"/>
      <w:numFmt w:val="bullet"/>
      <w:lvlText w:val=""/>
      <w:lvlJc w:val="left"/>
      <w:pPr>
        <w:ind w:left="5040" w:hanging="360"/>
      </w:pPr>
      <w:rPr>
        <w:rFonts w:ascii="Symbol" w:hAnsi="Symbol" w:cs="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cs="Wingdings" w:hint="default"/>
      </w:rPr>
    </w:lvl>
  </w:abstractNum>
  <w:abstractNum w:abstractNumId="17">
    <w:nsid w:val="18EC4CAE"/>
    <w:multiLevelType w:val="hybridMultilevel"/>
    <w:tmpl w:val="AC665F24"/>
    <w:lvl w:ilvl="0" w:tplc="04050001">
      <w:start w:val="1"/>
      <w:numFmt w:val="bullet"/>
      <w:lvlText w:val=""/>
      <w:lvlJc w:val="left"/>
      <w:pPr>
        <w:ind w:left="720" w:hanging="360"/>
      </w:pPr>
      <w:rPr>
        <w:rFonts w:ascii="Symbol" w:hAnsi="Symbol" w:cs="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cs="Wingdings" w:hint="default"/>
      </w:rPr>
    </w:lvl>
    <w:lvl w:ilvl="3" w:tplc="04050001">
      <w:start w:val="1"/>
      <w:numFmt w:val="bullet"/>
      <w:lvlText w:val=""/>
      <w:lvlJc w:val="left"/>
      <w:pPr>
        <w:ind w:left="2880" w:hanging="360"/>
      </w:pPr>
      <w:rPr>
        <w:rFonts w:ascii="Symbol" w:hAnsi="Symbol" w:cs="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cs="Wingdings" w:hint="default"/>
      </w:rPr>
    </w:lvl>
    <w:lvl w:ilvl="6" w:tplc="04050001">
      <w:start w:val="1"/>
      <w:numFmt w:val="bullet"/>
      <w:lvlText w:val=""/>
      <w:lvlJc w:val="left"/>
      <w:pPr>
        <w:ind w:left="5040" w:hanging="360"/>
      </w:pPr>
      <w:rPr>
        <w:rFonts w:ascii="Symbol" w:hAnsi="Symbol" w:cs="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cs="Wingdings" w:hint="default"/>
      </w:rPr>
    </w:lvl>
  </w:abstractNum>
  <w:abstractNum w:abstractNumId="18">
    <w:nsid w:val="1AAE3881"/>
    <w:multiLevelType w:val="hybridMultilevel"/>
    <w:tmpl w:val="E0C6A312"/>
    <w:lvl w:ilvl="0" w:tplc="04050001">
      <w:start w:val="1"/>
      <w:numFmt w:val="bullet"/>
      <w:lvlText w:val=""/>
      <w:lvlJc w:val="left"/>
      <w:pPr>
        <w:ind w:left="720" w:hanging="360"/>
      </w:pPr>
      <w:rPr>
        <w:rFonts w:ascii="Symbol" w:hAnsi="Symbol" w:cs="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cs="Wingdings" w:hint="default"/>
      </w:rPr>
    </w:lvl>
    <w:lvl w:ilvl="3" w:tplc="04050001">
      <w:start w:val="1"/>
      <w:numFmt w:val="bullet"/>
      <w:lvlText w:val=""/>
      <w:lvlJc w:val="left"/>
      <w:pPr>
        <w:ind w:left="2880" w:hanging="360"/>
      </w:pPr>
      <w:rPr>
        <w:rFonts w:ascii="Symbol" w:hAnsi="Symbol" w:cs="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cs="Wingdings" w:hint="default"/>
      </w:rPr>
    </w:lvl>
    <w:lvl w:ilvl="6" w:tplc="04050001">
      <w:start w:val="1"/>
      <w:numFmt w:val="bullet"/>
      <w:lvlText w:val=""/>
      <w:lvlJc w:val="left"/>
      <w:pPr>
        <w:ind w:left="5040" w:hanging="360"/>
      </w:pPr>
      <w:rPr>
        <w:rFonts w:ascii="Symbol" w:hAnsi="Symbol" w:cs="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cs="Wingdings" w:hint="default"/>
      </w:rPr>
    </w:lvl>
  </w:abstractNum>
  <w:abstractNum w:abstractNumId="19">
    <w:nsid w:val="1B9B40BA"/>
    <w:multiLevelType w:val="hybridMultilevel"/>
    <w:tmpl w:val="B7DC1734"/>
    <w:lvl w:ilvl="0" w:tplc="04050001">
      <w:start w:val="1"/>
      <w:numFmt w:val="bullet"/>
      <w:lvlText w:val=""/>
      <w:lvlJc w:val="left"/>
      <w:pPr>
        <w:ind w:left="720" w:hanging="360"/>
      </w:pPr>
      <w:rPr>
        <w:rFonts w:ascii="Symbol" w:hAnsi="Symbol" w:cs="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cs="Wingdings" w:hint="default"/>
      </w:rPr>
    </w:lvl>
    <w:lvl w:ilvl="3" w:tplc="04050001">
      <w:start w:val="1"/>
      <w:numFmt w:val="bullet"/>
      <w:lvlText w:val=""/>
      <w:lvlJc w:val="left"/>
      <w:pPr>
        <w:ind w:left="2880" w:hanging="360"/>
      </w:pPr>
      <w:rPr>
        <w:rFonts w:ascii="Symbol" w:hAnsi="Symbol" w:cs="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cs="Wingdings" w:hint="default"/>
      </w:rPr>
    </w:lvl>
    <w:lvl w:ilvl="6" w:tplc="04050001">
      <w:start w:val="1"/>
      <w:numFmt w:val="bullet"/>
      <w:lvlText w:val=""/>
      <w:lvlJc w:val="left"/>
      <w:pPr>
        <w:ind w:left="5040" w:hanging="360"/>
      </w:pPr>
      <w:rPr>
        <w:rFonts w:ascii="Symbol" w:hAnsi="Symbol" w:cs="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cs="Wingdings" w:hint="default"/>
      </w:rPr>
    </w:lvl>
  </w:abstractNum>
  <w:abstractNum w:abstractNumId="20">
    <w:nsid w:val="1CCB4506"/>
    <w:multiLevelType w:val="hybridMultilevel"/>
    <w:tmpl w:val="8FA0897C"/>
    <w:lvl w:ilvl="0" w:tplc="04050001">
      <w:start w:val="1"/>
      <w:numFmt w:val="bullet"/>
      <w:lvlText w:val=""/>
      <w:lvlJc w:val="left"/>
      <w:pPr>
        <w:ind w:left="720" w:hanging="360"/>
      </w:pPr>
      <w:rPr>
        <w:rFonts w:ascii="Symbol" w:hAnsi="Symbol" w:cs="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cs="Wingdings" w:hint="default"/>
      </w:rPr>
    </w:lvl>
    <w:lvl w:ilvl="3" w:tplc="04050001">
      <w:start w:val="1"/>
      <w:numFmt w:val="bullet"/>
      <w:lvlText w:val=""/>
      <w:lvlJc w:val="left"/>
      <w:pPr>
        <w:ind w:left="2880" w:hanging="360"/>
      </w:pPr>
      <w:rPr>
        <w:rFonts w:ascii="Symbol" w:hAnsi="Symbol" w:cs="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cs="Wingdings" w:hint="default"/>
      </w:rPr>
    </w:lvl>
    <w:lvl w:ilvl="6" w:tplc="04050001">
      <w:start w:val="1"/>
      <w:numFmt w:val="bullet"/>
      <w:lvlText w:val=""/>
      <w:lvlJc w:val="left"/>
      <w:pPr>
        <w:ind w:left="5040" w:hanging="360"/>
      </w:pPr>
      <w:rPr>
        <w:rFonts w:ascii="Symbol" w:hAnsi="Symbol" w:cs="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cs="Wingdings" w:hint="default"/>
      </w:rPr>
    </w:lvl>
  </w:abstractNum>
  <w:abstractNum w:abstractNumId="21">
    <w:nsid w:val="1DF2728A"/>
    <w:multiLevelType w:val="hybridMultilevel"/>
    <w:tmpl w:val="CA769ABA"/>
    <w:lvl w:ilvl="0" w:tplc="04050001">
      <w:start w:val="1"/>
      <w:numFmt w:val="bullet"/>
      <w:lvlText w:val=""/>
      <w:lvlJc w:val="left"/>
      <w:pPr>
        <w:ind w:left="720" w:hanging="360"/>
      </w:pPr>
      <w:rPr>
        <w:rFonts w:ascii="Symbol" w:hAnsi="Symbol" w:cs="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cs="Wingdings" w:hint="default"/>
      </w:rPr>
    </w:lvl>
    <w:lvl w:ilvl="3" w:tplc="04050001">
      <w:start w:val="1"/>
      <w:numFmt w:val="bullet"/>
      <w:lvlText w:val=""/>
      <w:lvlJc w:val="left"/>
      <w:pPr>
        <w:ind w:left="2880" w:hanging="360"/>
      </w:pPr>
      <w:rPr>
        <w:rFonts w:ascii="Symbol" w:hAnsi="Symbol" w:cs="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cs="Wingdings" w:hint="default"/>
      </w:rPr>
    </w:lvl>
    <w:lvl w:ilvl="6" w:tplc="04050001">
      <w:start w:val="1"/>
      <w:numFmt w:val="bullet"/>
      <w:lvlText w:val=""/>
      <w:lvlJc w:val="left"/>
      <w:pPr>
        <w:ind w:left="5040" w:hanging="360"/>
      </w:pPr>
      <w:rPr>
        <w:rFonts w:ascii="Symbol" w:hAnsi="Symbol" w:cs="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cs="Wingdings" w:hint="default"/>
      </w:rPr>
    </w:lvl>
  </w:abstractNum>
  <w:abstractNum w:abstractNumId="22">
    <w:nsid w:val="1DFE5F32"/>
    <w:multiLevelType w:val="hybridMultilevel"/>
    <w:tmpl w:val="91308334"/>
    <w:lvl w:ilvl="0" w:tplc="04050001">
      <w:start w:val="1"/>
      <w:numFmt w:val="bullet"/>
      <w:lvlText w:val=""/>
      <w:lvlJc w:val="left"/>
      <w:pPr>
        <w:ind w:left="720" w:hanging="360"/>
      </w:pPr>
      <w:rPr>
        <w:rFonts w:ascii="Symbol" w:hAnsi="Symbol" w:cs="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cs="Wingdings" w:hint="default"/>
      </w:rPr>
    </w:lvl>
    <w:lvl w:ilvl="3" w:tplc="04050001">
      <w:start w:val="1"/>
      <w:numFmt w:val="bullet"/>
      <w:lvlText w:val=""/>
      <w:lvlJc w:val="left"/>
      <w:pPr>
        <w:ind w:left="2880" w:hanging="360"/>
      </w:pPr>
      <w:rPr>
        <w:rFonts w:ascii="Symbol" w:hAnsi="Symbol" w:cs="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cs="Wingdings" w:hint="default"/>
      </w:rPr>
    </w:lvl>
    <w:lvl w:ilvl="6" w:tplc="04050001">
      <w:start w:val="1"/>
      <w:numFmt w:val="bullet"/>
      <w:lvlText w:val=""/>
      <w:lvlJc w:val="left"/>
      <w:pPr>
        <w:ind w:left="5040" w:hanging="360"/>
      </w:pPr>
      <w:rPr>
        <w:rFonts w:ascii="Symbol" w:hAnsi="Symbol" w:cs="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cs="Wingdings" w:hint="default"/>
      </w:rPr>
    </w:lvl>
  </w:abstractNum>
  <w:abstractNum w:abstractNumId="23">
    <w:nsid w:val="1E985FC1"/>
    <w:multiLevelType w:val="hybridMultilevel"/>
    <w:tmpl w:val="3664EFBC"/>
    <w:lvl w:ilvl="0" w:tplc="04050001">
      <w:start w:val="1"/>
      <w:numFmt w:val="bullet"/>
      <w:lvlText w:val=""/>
      <w:lvlJc w:val="left"/>
      <w:pPr>
        <w:ind w:left="720" w:hanging="360"/>
      </w:pPr>
      <w:rPr>
        <w:rFonts w:ascii="Symbol" w:hAnsi="Symbol" w:cs="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cs="Wingdings" w:hint="default"/>
      </w:rPr>
    </w:lvl>
    <w:lvl w:ilvl="3" w:tplc="04050001">
      <w:start w:val="1"/>
      <w:numFmt w:val="bullet"/>
      <w:lvlText w:val=""/>
      <w:lvlJc w:val="left"/>
      <w:pPr>
        <w:ind w:left="2880" w:hanging="360"/>
      </w:pPr>
      <w:rPr>
        <w:rFonts w:ascii="Symbol" w:hAnsi="Symbol" w:cs="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cs="Wingdings" w:hint="default"/>
      </w:rPr>
    </w:lvl>
    <w:lvl w:ilvl="6" w:tplc="04050001">
      <w:start w:val="1"/>
      <w:numFmt w:val="bullet"/>
      <w:lvlText w:val=""/>
      <w:lvlJc w:val="left"/>
      <w:pPr>
        <w:ind w:left="5040" w:hanging="360"/>
      </w:pPr>
      <w:rPr>
        <w:rFonts w:ascii="Symbol" w:hAnsi="Symbol" w:cs="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cs="Wingdings" w:hint="default"/>
      </w:rPr>
    </w:lvl>
  </w:abstractNum>
  <w:abstractNum w:abstractNumId="24">
    <w:nsid w:val="1FA65525"/>
    <w:multiLevelType w:val="hybridMultilevel"/>
    <w:tmpl w:val="78C6E588"/>
    <w:lvl w:ilvl="0" w:tplc="04050001">
      <w:start w:val="1"/>
      <w:numFmt w:val="bullet"/>
      <w:lvlText w:val=""/>
      <w:lvlJc w:val="left"/>
      <w:pPr>
        <w:ind w:left="720" w:hanging="360"/>
      </w:pPr>
      <w:rPr>
        <w:rFonts w:ascii="Symbol" w:hAnsi="Symbol" w:cs="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cs="Wingdings" w:hint="default"/>
      </w:rPr>
    </w:lvl>
    <w:lvl w:ilvl="3" w:tplc="04050001">
      <w:start w:val="1"/>
      <w:numFmt w:val="bullet"/>
      <w:lvlText w:val=""/>
      <w:lvlJc w:val="left"/>
      <w:pPr>
        <w:ind w:left="2880" w:hanging="360"/>
      </w:pPr>
      <w:rPr>
        <w:rFonts w:ascii="Symbol" w:hAnsi="Symbol" w:cs="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cs="Wingdings" w:hint="default"/>
      </w:rPr>
    </w:lvl>
    <w:lvl w:ilvl="6" w:tplc="04050001">
      <w:start w:val="1"/>
      <w:numFmt w:val="bullet"/>
      <w:lvlText w:val=""/>
      <w:lvlJc w:val="left"/>
      <w:pPr>
        <w:ind w:left="5040" w:hanging="360"/>
      </w:pPr>
      <w:rPr>
        <w:rFonts w:ascii="Symbol" w:hAnsi="Symbol" w:cs="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cs="Wingdings" w:hint="default"/>
      </w:rPr>
    </w:lvl>
  </w:abstractNum>
  <w:abstractNum w:abstractNumId="25">
    <w:nsid w:val="206C0299"/>
    <w:multiLevelType w:val="hybridMultilevel"/>
    <w:tmpl w:val="B5E0FF56"/>
    <w:lvl w:ilvl="0" w:tplc="C02A922C">
      <w:start w:val="1"/>
      <w:numFmt w:val="bullet"/>
      <w:pStyle w:val="normalnsodrkami"/>
      <w:lvlText w:val=""/>
      <w:lvlJc w:val="left"/>
      <w:pPr>
        <w:tabs>
          <w:tab w:val="num" w:pos="720"/>
        </w:tabs>
        <w:ind w:left="720" w:hanging="360"/>
      </w:pPr>
      <w:rPr>
        <w:rFonts w:ascii="Symbol" w:hAnsi="Symbol" w:cs="Symbol" w:hint="default"/>
      </w:rPr>
    </w:lvl>
    <w:lvl w:ilvl="1" w:tplc="04050003">
      <w:start w:val="1"/>
      <w:numFmt w:val="bullet"/>
      <w:lvlText w:val="o"/>
      <w:lvlJc w:val="left"/>
      <w:pPr>
        <w:tabs>
          <w:tab w:val="num" w:pos="1440"/>
        </w:tabs>
        <w:ind w:left="1440" w:hanging="360"/>
      </w:pPr>
      <w:rPr>
        <w:rFonts w:ascii="Courier New" w:hAnsi="Courier New" w:cs="Courier New" w:hint="default"/>
      </w:rPr>
    </w:lvl>
    <w:lvl w:ilvl="2" w:tplc="04050005">
      <w:start w:val="1"/>
      <w:numFmt w:val="bullet"/>
      <w:lvlText w:val=""/>
      <w:lvlJc w:val="left"/>
      <w:pPr>
        <w:tabs>
          <w:tab w:val="num" w:pos="2160"/>
        </w:tabs>
        <w:ind w:left="2160" w:hanging="360"/>
      </w:pPr>
      <w:rPr>
        <w:rFonts w:ascii="Wingdings" w:hAnsi="Wingdings" w:cs="Wingdings" w:hint="default"/>
      </w:rPr>
    </w:lvl>
    <w:lvl w:ilvl="3" w:tplc="04050001">
      <w:start w:val="1"/>
      <w:numFmt w:val="bullet"/>
      <w:lvlText w:val=""/>
      <w:lvlJc w:val="left"/>
      <w:pPr>
        <w:tabs>
          <w:tab w:val="num" w:pos="2880"/>
        </w:tabs>
        <w:ind w:left="2880" w:hanging="360"/>
      </w:pPr>
      <w:rPr>
        <w:rFonts w:ascii="Symbol" w:hAnsi="Symbol" w:cs="Symbol" w:hint="default"/>
      </w:rPr>
    </w:lvl>
    <w:lvl w:ilvl="4" w:tplc="04050003">
      <w:start w:val="1"/>
      <w:numFmt w:val="bullet"/>
      <w:lvlText w:val="o"/>
      <w:lvlJc w:val="left"/>
      <w:pPr>
        <w:tabs>
          <w:tab w:val="num" w:pos="3600"/>
        </w:tabs>
        <w:ind w:left="3600" w:hanging="360"/>
      </w:pPr>
      <w:rPr>
        <w:rFonts w:ascii="Courier New" w:hAnsi="Courier New" w:cs="Courier New" w:hint="default"/>
      </w:rPr>
    </w:lvl>
    <w:lvl w:ilvl="5" w:tplc="04050005">
      <w:start w:val="1"/>
      <w:numFmt w:val="bullet"/>
      <w:lvlText w:val=""/>
      <w:lvlJc w:val="left"/>
      <w:pPr>
        <w:tabs>
          <w:tab w:val="num" w:pos="4320"/>
        </w:tabs>
        <w:ind w:left="4320" w:hanging="360"/>
      </w:pPr>
      <w:rPr>
        <w:rFonts w:ascii="Wingdings" w:hAnsi="Wingdings" w:cs="Wingdings" w:hint="default"/>
      </w:rPr>
    </w:lvl>
    <w:lvl w:ilvl="6" w:tplc="04050001">
      <w:start w:val="1"/>
      <w:numFmt w:val="bullet"/>
      <w:lvlText w:val=""/>
      <w:lvlJc w:val="left"/>
      <w:pPr>
        <w:tabs>
          <w:tab w:val="num" w:pos="5040"/>
        </w:tabs>
        <w:ind w:left="5040" w:hanging="360"/>
      </w:pPr>
      <w:rPr>
        <w:rFonts w:ascii="Symbol" w:hAnsi="Symbol" w:cs="Symbol" w:hint="default"/>
      </w:rPr>
    </w:lvl>
    <w:lvl w:ilvl="7" w:tplc="04050003">
      <w:start w:val="1"/>
      <w:numFmt w:val="bullet"/>
      <w:lvlText w:val="o"/>
      <w:lvlJc w:val="left"/>
      <w:pPr>
        <w:tabs>
          <w:tab w:val="num" w:pos="5760"/>
        </w:tabs>
        <w:ind w:left="5760" w:hanging="360"/>
      </w:pPr>
      <w:rPr>
        <w:rFonts w:ascii="Courier New" w:hAnsi="Courier New" w:cs="Courier New" w:hint="default"/>
      </w:rPr>
    </w:lvl>
    <w:lvl w:ilvl="8" w:tplc="04050005">
      <w:start w:val="1"/>
      <w:numFmt w:val="bullet"/>
      <w:lvlText w:val=""/>
      <w:lvlJc w:val="left"/>
      <w:pPr>
        <w:tabs>
          <w:tab w:val="num" w:pos="6480"/>
        </w:tabs>
        <w:ind w:left="6480" w:hanging="360"/>
      </w:pPr>
      <w:rPr>
        <w:rFonts w:ascii="Wingdings" w:hAnsi="Wingdings" w:cs="Wingdings" w:hint="default"/>
      </w:rPr>
    </w:lvl>
  </w:abstractNum>
  <w:abstractNum w:abstractNumId="26">
    <w:nsid w:val="225B3A6F"/>
    <w:multiLevelType w:val="hybridMultilevel"/>
    <w:tmpl w:val="CB48223C"/>
    <w:lvl w:ilvl="0" w:tplc="04050001">
      <w:start w:val="1"/>
      <w:numFmt w:val="bullet"/>
      <w:lvlText w:val=""/>
      <w:lvlJc w:val="left"/>
      <w:pPr>
        <w:ind w:left="720" w:hanging="360"/>
      </w:pPr>
      <w:rPr>
        <w:rFonts w:ascii="Symbol" w:hAnsi="Symbol" w:cs="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cs="Wingdings" w:hint="default"/>
      </w:rPr>
    </w:lvl>
    <w:lvl w:ilvl="3" w:tplc="04050001">
      <w:start w:val="1"/>
      <w:numFmt w:val="bullet"/>
      <w:lvlText w:val=""/>
      <w:lvlJc w:val="left"/>
      <w:pPr>
        <w:ind w:left="2880" w:hanging="360"/>
      </w:pPr>
      <w:rPr>
        <w:rFonts w:ascii="Symbol" w:hAnsi="Symbol" w:cs="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cs="Wingdings" w:hint="default"/>
      </w:rPr>
    </w:lvl>
    <w:lvl w:ilvl="6" w:tplc="04050001">
      <w:start w:val="1"/>
      <w:numFmt w:val="bullet"/>
      <w:lvlText w:val=""/>
      <w:lvlJc w:val="left"/>
      <w:pPr>
        <w:ind w:left="5040" w:hanging="360"/>
      </w:pPr>
      <w:rPr>
        <w:rFonts w:ascii="Symbol" w:hAnsi="Symbol" w:cs="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cs="Wingdings" w:hint="default"/>
      </w:rPr>
    </w:lvl>
  </w:abstractNum>
  <w:abstractNum w:abstractNumId="27">
    <w:nsid w:val="23E542A0"/>
    <w:multiLevelType w:val="hybridMultilevel"/>
    <w:tmpl w:val="9014C4E2"/>
    <w:lvl w:ilvl="0" w:tplc="04050001">
      <w:start w:val="1"/>
      <w:numFmt w:val="bullet"/>
      <w:lvlText w:val=""/>
      <w:lvlJc w:val="left"/>
      <w:pPr>
        <w:ind w:left="720" w:hanging="360"/>
      </w:pPr>
      <w:rPr>
        <w:rFonts w:ascii="Symbol" w:hAnsi="Symbol" w:cs="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cs="Wingdings" w:hint="default"/>
      </w:rPr>
    </w:lvl>
    <w:lvl w:ilvl="3" w:tplc="04050001">
      <w:start w:val="1"/>
      <w:numFmt w:val="bullet"/>
      <w:lvlText w:val=""/>
      <w:lvlJc w:val="left"/>
      <w:pPr>
        <w:ind w:left="2880" w:hanging="360"/>
      </w:pPr>
      <w:rPr>
        <w:rFonts w:ascii="Symbol" w:hAnsi="Symbol" w:cs="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cs="Wingdings" w:hint="default"/>
      </w:rPr>
    </w:lvl>
    <w:lvl w:ilvl="6" w:tplc="04050001">
      <w:start w:val="1"/>
      <w:numFmt w:val="bullet"/>
      <w:lvlText w:val=""/>
      <w:lvlJc w:val="left"/>
      <w:pPr>
        <w:ind w:left="5040" w:hanging="360"/>
      </w:pPr>
      <w:rPr>
        <w:rFonts w:ascii="Symbol" w:hAnsi="Symbol" w:cs="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cs="Wingdings" w:hint="default"/>
      </w:rPr>
    </w:lvl>
  </w:abstractNum>
  <w:abstractNum w:abstractNumId="28">
    <w:nsid w:val="2AF23730"/>
    <w:multiLevelType w:val="hybridMultilevel"/>
    <w:tmpl w:val="E5C44A7E"/>
    <w:lvl w:ilvl="0" w:tplc="73F868E0">
      <w:start w:val="1"/>
      <w:numFmt w:val="bullet"/>
      <w:lvlText w:val=""/>
      <w:lvlJc w:val="left"/>
      <w:pPr>
        <w:tabs>
          <w:tab w:val="num" w:pos="720"/>
        </w:tabs>
        <w:ind w:left="720" w:hanging="360"/>
      </w:pPr>
      <w:rPr>
        <w:rFonts w:ascii="Symbol" w:hAnsi="Symbol" w:cs="Symbol" w:hint="default"/>
        <w:color w:val="auto"/>
      </w:rPr>
    </w:lvl>
    <w:lvl w:ilvl="1" w:tplc="04050003">
      <w:start w:val="1"/>
      <w:numFmt w:val="bullet"/>
      <w:lvlText w:val="o"/>
      <w:lvlJc w:val="left"/>
      <w:pPr>
        <w:tabs>
          <w:tab w:val="num" w:pos="1440"/>
        </w:tabs>
        <w:ind w:left="1440" w:hanging="360"/>
      </w:pPr>
      <w:rPr>
        <w:rFonts w:ascii="Courier New" w:hAnsi="Courier New" w:cs="Courier New" w:hint="default"/>
      </w:rPr>
    </w:lvl>
    <w:lvl w:ilvl="2" w:tplc="04050005">
      <w:start w:val="1"/>
      <w:numFmt w:val="bullet"/>
      <w:lvlText w:val=""/>
      <w:lvlJc w:val="left"/>
      <w:pPr>
        <w:tabs>
          <w:tab w:val="num" w:pos="2160"/>
        </w:tabs>
        <w:ind w:left="2160" w:hanging="360"/>
      </w:pPr>
      <w:rPr>
        <w:rFonts w:ascii="Wingdings" w:hAnsi="Wingdings" w:cs="Wingdings" w:hint="default"/>
      </w:rPr>
    </w:lvl>
    <w:lvl w:ilvl="3" w:tplc="04050001">
      <w:start w:val="1"/>
      <w:numFmt w:val="bullet"/>
      <w:lvlText w:val=""/>
      <w:lvlJc w:val="left"/>
      <w:pPr>
        <w:tabs>
          <w:tab w:val="num" w:pos="2880"/>
        </w:tabs>
        <w:ind w:left="2880" w:hanging="360"/>
      </w:pPr>
      <w:rPr>
        <w:rFonts w:ascii="Symbol" w:hAnsi="Symbol" w:cs="Symbol" w:hint="default"/>
      </w:rPr>
    </w:lvl>
    <w:lvl w:ilvl="4" w:tplc="04050003">
      <w:start w:val="1"/>
      <w:numFmt w:val="bullet"/>
      <w:lvlText w:val="o"/>
      <w:lvlJc w:val="left"/>
      <w:pPr>
        <w:tabs>
          <w:tab w:val="num" w:pos="3600"/>
        </w:tabs>
        <w:ind w:left="3600" w:hanging="360"/>
      </w:pPr>
      <w:rPr>
        <w:rFonts w:ascii="Courier New" w:hAnsi="Courier New" w:cs="Courier New" w:hint="default"/>
      </w:rPr>
    </w:lvl>
    <w:lvl w:ilvl="5" w:tplc="04050005">
      <w:start w:val="1"/>
      <w:numFmt w:val="bullet"/>
      <w:lvlText w:val=""/>
      <w:lvlJc w:val="left"/>
      <w:pPr>
        <w:tabs>
          <w:tab w:val="num" w:pos="4320"/>
        </w:tabs>
        <w:ind w:left="4320" w:hanging="360"/>
      </w:pPr>
      <w:rPr>
        <w:rFonts w:ascii="Wingdings" w:hAnsi="Wingdings" w:cs="Wingdings" w:hint="default"/>
      </w:rPr>
    </w:lvl>
    <w:lvl w:ilvl="6" w:tplc="04050001">
      <w:start w:val="1"/>
      <w:numFmt w:val="bullet"/>
      <w:lvlText w:val=""/>
      <w:lvlJc w:val="left"/>
      <w:pPr>
        <w:tabs>
          <w:tab w:val="num" w:pos="5040"/>
        </w:tabs>
        <w:ind w:left="5040" w:hanging="360"/>
      </w:pPr>
      <w:rPr>
        <w:rFonts w:ascii="Symbol" w:hAnsi="Symbol" w:cs="Symbol" w:hint="default"/>
      </w:rPr>
    </w:lvl>
    <w:lvl w:ilvl="7" w:tplc="04050003">
      <w:start w:val="1"/>
      <w:numFmt w:val="bullet"/>
      <w:lvlText w:val="o"/>
      <w:lvlJc w:val="left"/>
      <w:pPr>
        <w:tabs>
          <w:tab w:val="num" w:pos="5760"/>
        </w:tabs>
        <w:ind w:left="5760" w:hanging="360"/>
      </w:pPr>
      <w:rPr>
        <w:rFonts w:ascii="Courier New" w:hAnsi="Courier New" w:cs="Courier New" w:hint="default"/>
      </w:rPr>
    </w:lvl>
    <w:lvl w:ilvl="8" w:tplc="04050005">
      <w:start w:val="1"/>
      <w:numFmt w:val="bullet"/>
      <w:lvlText w:val=""/>
      <w:lvlJc w:val="left"/>
      <w:pPr>
        <w:tabs>
          <w:tab w:val="num" w:pos="6480"/>
        </w:tabs>
        <w:ind w:left="6480" w:hanging="360"/>
      </w:pPr>
      <w:rPr>
        <w:rFonts w:ascii="Wingdings" w:hAnsi="Wingdings" w:cs="Wingdings" w:hint="default"/>
      </w:rPr>
    </w:lvl>
  </w:abstractNum>
  <w:abstractNum w:abstractNumId="29">
    <w:nsid w:val="2E175882"/>
    <w:multiLevelType w:val="hybridMultilevel"/>
    <w:tmpl w:val="857456AA"/>
    <w:lvl w:ilvl="0" w:tplc="73F868E0">
      <w:start w:val="1"/>
      <w:numFmt w:val="bullet"/>
      <w:lvlText w:val=""/>
      <w:lvlJc w:val="left"/>
      <w:pPr>
        <w:tabs>
          <w:tab w:val="num" w:pos="720"/>
        </w:tabs>
        <w:ind w:left="720" w:hanging="360"/>
      </w:pPr>
      <w:rPr>
        <w:rFonts w:ascii="Symbol" w:hAnsi="Symbol" w:cs="Symbol" w:hint="default"/>
        <w:color w:val="auto"/>
      </w:rPr>
    </w:lvl>
    <w:lvl w:ilvl="1" w:tplc="04050003">
      <w:start w:val="1"/>
      <w:numFmt w:val="bullet"/>
      <w:lvlText w:val="o"/>
      <w:lvlJc w:val="left"/>
      <w:pPr>
        <w:tabs>
          <w:tab w:val="num" w:pos="1440"/>
        </w:tabs>
        <w:ind w:left="1440" w:hanging="360"/>
      </w:pPr>
      <w:rPr>
        <w:rFonts w:ascii="Courier New" w:hAnsi="Courier New" w:cs="Courier New" w:hint="default"/>
      </w:rPr>
    </w:lvl>
    <w:lvl w:ilvl="2" w:tplc="04050005">
      <w:start w:val="1"/>
      <w:numFmt w:val="bullet"/>
      <w:lvlText w:val=""/>
      <w:lvlJc w:val="left"/>
      <w:pPr>
        <w:tabs>
          <w:tab w:val="num" w:pos="2160"/>
        </w:tabs>
        <w:ind w:left="2160" w:hanging="360"/>
      </w:pPr>
      <w:rPr>
        <w:rFonts w:ascii="Wingdings" w:hAnsi="Wingdings" w:cs="Wingdings" w:hint="default"/>
      </w:rPr>
    </w:lvl>
    <w:lvl w:ilvl="3" w:tplc="04050001">
      <w:start w:val="1"/>
      <w:numFmt w:val="bullet"/>
      <w:lvlText w:val=""/>
      <w:lvlJc w:val="left"/>
      <w:pPr>
        <w:tabs>
          <w:tab w:val="num" w:pos="2880"/>
        </w:tabs>
        <w:ind w:left="2880" w:hanging="360"/>
      </w:pPr>
      <w:rPr>
        <w:rFonts w:ascii="Symbol" w:hAnsi="Symbol" w:cs="Symbol" w:hint="default"/>
      </w:rPr>
    </w:lvl>
    <w:lvl w:ilvl="4" w:tplc="04050003">
      <w:start w:val="1"/>
      <w:numFmt w:val="bullet"/>
      <w:lvlText w:val="o"/>
      <w:lvlJc w:val="left"/>
      <w:pPr>
        <w:tabs>
          <w:tab w:val="num" w:pos="3600"/>
        </w:tabs>
        <w:ind w:left="3600" w:hanging="360"/>
      </w:pPr>
      <w:rPr>
        <w:rFonts w:ascii="Courier New" w:hAnsi="Courier New" w:cs="Courier New" w:hint="default"/>
      </w:rPr>
    </w:lvl>
    <w:lvl w:ilvl="5" w:tplc="04050005">
      <w:start w:val="1"/>
      <w:numFmt w:val="bullet"/>
      <w:lvlText w:val=""/>
      <w:lvlJc w:val="left"/>
      <w:pPr>
        <w:tabs>
          <w:tab w:val="num" w:pos="4320"/>
        </w:tabs>
        <w:ind w:left="4320" w:hanging="360"/>
      </w:pPr>
      <w:rPr>
        <w:rFonts w:ascii="Wingdings" w:hAnsi="Wingdings" w:cs="Wingdings" w:hint="default"/>
      </w:rPr>
    </w:lvl>
    <w:lvl w:ilvl="6" w:tplc="04050001">
      <w:start w:val="1"/>
      <w:numFmt w:val="bullet"/>
      <w:lvlText w:val=""/>
      <w:lvlJc w:val="left"/>
      <w:pPr>
        <w:tabs>
          <w:tab w:val="num" w:pos="5040"/>
        </w:tabs>
        <w:ind w:left="5040" w:hanging="360"/>
      </w:pPr>
      <w:rPr>
        <w:rFonts w:ascii="Symbol" w:hAnsi="Symbol" w:cs="Symbol" w:hint="default"/>
      </w:rPr>
    </w:lvl>
    <w:lvl w:ilvl="7" w:tplc="04050003">
      <w:start w:val="1"/>
      <w:numFmt w:val="bullet"/>
      <w:lvlText w:val="o"/>
      <w:lvlJc w:val="left"/>
      <w:pPr>
        <w:tabs>
          <w:tab w:val="num" w:pos="5760"/>
        </w:tabs>
        <w:ind w:left="5760" w:hanging="360"/>
      </w:pPr>
      <w:rPr>
        <w:rFonts w:ascii="Courier New" w:hAnsi="Courier New" w:cs="Courier New" w:hint="default"/>
      </w:rPr>
    </w:lvl>
    <w:lvl w:ilvl="8" w:tplc="04050005">
      <w:start w:val="1"/>
      <w:numFmt w:val="bullet"/>
      <w:lvlText w:val=""/>
      <w:lvlJc w:val="left"/>
      <w:pPr>
        <w:tabs>
          <w:tab w:val="num" w:pos="6480"/>
        </w:tabs>
        <w:ind w:left="6480" w:hanging="360"/>
      </w:pPr>
      <w:rPr>
        <w:rFonts w:ascii="Wingdings" w:hAnsi="Wingdings" w:cs="Wingdings" w:hint="default"/>
      </w:rPr>
    </w:lvl>
  </w:abstractNum>
  <w:abstractNum w:abstractNumId="30">
    <w:nsid w:val="2EB061DB"/>
    <w:multiLevelType w:val="hybridMultilevel"/>
    <w:tmpl w:val="138AE68C"/>
    <w:lvl w:ilvl="0" w:tplc="4E8A8B0A">
      <w:start w:val="1"/>
      <w:numFmt w:val="decimal"/>
      <w:lvlText w:val="%1."/>
      <w:lvlJc w:val="left"/>
      <w:pPr>
        <w:ind w:left="720" w:hanging="360"/>
      </w:pPr>
      <w:rPr>
        <w:rFonts w:hint="default"/>
        <w:color w:val="auto"/>
      </w:r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31">
    <w:nsid w:val="2F9E0FBC"/>
    <w:multiLevelType w:val="hybridMultilevel"/>
    <w:tmpl w:val="B5BEDF86"/>
    <w:lvl w:ilvl="0" w:tplc="04050001">
      <w:start w:val="1"/>
      <w:numFmt w:val="bullet"/>
      <w:lvlText w:val=""/>
      <w:lvlJc w:val="left"/>
      <w:pPr>
        <w:ind w:left="720" w:hanging="360"/>
      </w:pPr>
      <w:rPr>
        <w:rFonts w:ascii="Symbol" w:hAnsi="Symbol" w:cs="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cs="Wingdings" w:hint="default"/>
      </w:rPr>
    </w:lvl>
    <w:lvl w:ilvl="3" w:tplc="04050001">
      <w:start w:val="1"/>
      <w:numFmt w:val="bullet"/>
      <w:lvlText w:val=""/>
      <w:lvlJc w:val="left"/>
      <w:pPr>
        <w:ind w:left="2880" w:hanging="360"/>
      </w:pPr>
      <w:rPr>
        <w:rFonts w:ascii="Symbol" w:hAnsi="Symbol" w:cs="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cs="Wingdings" w:hint="default"/>
      </w:rPr>
    </w:lvl>
    <w:lvl w:ilvl="6" w:tplc="04050001">
      <w:start w:val="1"/>
      <w:numFmt w:val="bullet"/>
      <w:lvlText w:val=""/>
      <w:lvlJc w:val="left"/>
      <w:pPr>
        <w:ind w:left="5040" w:hanging="360"/>
      </w:pPr>
      <w:rPr>
        <w:rFonts w:ascii="Symbol" w:hAnsi="Symbol" w:cs="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cs="Wingdings" w:hint="default"/>
      </w:rPr>
    </w:lvl>
  </w:abstractNum>
  <w:abstractNum w:abstractNumId="32">
    <w:nsid w:val="3208279E"/>
    <w:multiLevelType w:val="hybridMultilevel"/>
    <w:tmpl w:val="2E8657AE"/>
    <w:lvl w:ilvl="0" w:tplc="04050001">
      <w:start w:val="1"/>
      <w:numFmt w:val="bullet"/>
      <w:lvlText w:val=""/>
      <w:lvlJc w:val="left"/>
      <w:pPr>
        <w:ind w:left="720" w:hanging="360"/>
      </w:pPr>
      <w:rPr>
        <w:rFonts w:ascii="Symbol" w:hAnsi="Symbol" w:cs="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cs="Wingdings" w:hint="default"/>
      </w:rPr>
    </w:lvl>
    <w:lvl w:ilvl="3" w:tplc="04050001">
      <w:start w:val="1"/>
      <w:numFmt w:val="bullet"/>
      <w:lvlText w:val=""/>
      <w:lvlJc w:val="left"/>
      <w:pPr>
        <w:ind w:left="2880" w:hanging="360"/>
      </w:pPr>
      <w:rPr>
        <w:rFonts w:ascii="Symbol" w:hAnsi="Symbol" w:cs="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cs="Wingdings" w:hint="default"/>
      </w:rPr>
    </w:lvl>
    <w:lvl w:ilvl="6" w:tplc="04050001">
      <w:start w:val="1"/>
      <w:numFmt w:val="bullet"/>
      <w:lvlText w:val=""/>
      <w:lvlJc w:val="left"/>
      <w:pPr>
        <w:ind w:left="5040" w:hanging="360"/>
      </w:pPr>
      <w:rPr>
        <w:rFonts w:ascii="Symbol" w:hAnsi="Symbol" w:cs="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cs="Wingdings" w:hint="default"/>
      </w:rPr>
    </w:lvl>
  </w:abstractNum>
  <w:abstractNum w:abstractNumId="33">
    <w:nsid w:val="32A35935"/>
    <w:multiLevelType w:val="hybridMultilevel"/>
    <w:tmpl w:val="39A4D40C"/>
    <w:lvl w:ilvl="0" w:tplc="04050001">
      <w:start w:val="1"/>
      <w:numFmt w:val="bullet"/>
      <w:lvlText w:val=""/>
      <w:lvlJc w:val="left"/>
      <w:pPr>
        <w:ind w:left="720" w:hanging="360"/>
      </w:pPr>
      <w:rPr>
        <w:rFonts w:ascii="Symbol" w:hAnsi="Symbol" w:cs="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cs="Wingdings" w:hint="default"/>
      </w:rPr>
    </w:lvl>
    <w:lvl w:ilvl="3" w:tplc="04050001">
      <w:start w:val="1"/>
      <w:numFmt w:val="bullet"/>
      <w:lvlText w:val=""/>
      <w:lvlJc w:val="left"/>
      <w:pPr>
        <w:ind w:left="2880" w:hanging="360"/>
      </w:pPr>
      <w:rPr>
        <w:rFonts w:ascii="Symbol" w:hAnsi="Symbol" w:cs="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cs="Wingdings" w:hint="default"/>
      </w:rPr>
    </w:lvl>
    <w:lvl w:ilvl="6" w:tplc="04050001">
      <w:start w:val="1"/>
      <w:numFmt w:val="bullet"/>
      <w:lvlText w:val=""/>
      <w:lvlJc w:val="left"/>
      <w:pPr>
        <w:ind w:left="5040" w:hanging="360"/>
      </w:pPr>
      <w:rPr>
        <w:rFonts w:ascii="Symbol" w:hAnsi="Symbol" w:cs="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cs="Wingdings" w:hint="default"/>
      </w:rPr>
    </w:lvl>
  </w:abstractNum>
  <w:abstractNum w:abstractNumId="34">
    <w:nsid w:val="3490241B"/>
    <w:multiLevelType w:val="hybridMultilevel"/>
    <w:tmpl w:val="CB6A5992"/>
    <w:lvl w:ilvl="0" w:tplc="04050001">
      <w:start w:val="1"/>
      <w:numFmt w:val="bullet"/>
      <w:lvlText w:val=""/>
      <w:lvlJc w:val="left"/>
      <w:pPr>
        <w:ind w:left="720" w:hanging="360"/>
      </w:pPr>
      <w:rPr>
        <w:rFonts w:ascii="Symbol" w:hAnsi="Symbol" w:cs="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cs="Wingdings" w:hint="default"/>
      </w:rPr>
    </w:lvl>
    <w:lvl w:ilvl="3" w:tplc="04050001">
      <w:start w:val="1"/>
      <w:numFmt w:val="bullet"/>
      <w:lvlText w:val=""/>
      <w:lvlJc w:val="left"/>
      <w:pPr>
        <w:ind w:left="2880" w:hanging="360"/>
      </w:pPr>
      <w:rPr>
        <w:rFonts w:ascii="Symbol" w:hAnsi="Symbol" w:cs="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cs="Wingdings" w:hint="default"/>
      </w:rPr>
    </w:lvl>
    <w:lvl w:ilvl="6" w:tplc="04050001">
      <w:start w:val="1"/>
      <w:numFmt w:val="bullet"/>
      <w:lvlText w:val=""/>
      <w:lvlJc w:val="left"/>
      <w:pPr>
        <w:ind w:left="5040" w:hanging="360"/>
      </w:pPr>
      <w:rPr>
        <w:rFonts w:ascii="Symbol" w:hAnsi="Symbol" w:cs="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cs="Wingdings" w:hint="default"/>
      </w:rPr>
    </w:lvl>
  </w:abstractNum>
  <w:abstractNum w:abstractNumId="35">
    <w:nsid w:val="356A64C5"/>
    <w:multiLevelType w:val="hybridMultilevel"/>
    <w:tmpl w:val="2C88E31C"/>
    <w:lvl w:ilvl="0" w:tplc="04050001">
      <w:start w:val="1"/>
      <w:numFmt w:val="bullet"/>
      <w:lvlText w:val=""/>
      <w:lvlJc w:val="left"/>
      <w:pPr>
        <w:ind w:left="772" w:hanging="360"/>
      </w:pPr>
      <w:rPr>
        <w:rFonts w:ascii="Symbol" w:hAnsi="Symbol" w:cs="Symbol" w:hint="default"/>
      </w:rPr>
    </w:lvl>
    <w:lvl w:ilvl="1" w:tplc="04050003">
      <w:start w:val="1"/>
      <w:numFmt w:val="bullet"/>
      <w:lvlText w:val="o"/>
      <w:lvlJc w:val="left"/>
      <w:pPr>
        <w:ind w:left="1492" w:hanging="360"/>
      </w:pPr>
      <w:rPr>
        <w:rFonts w:ascii="Courier New" w:hAnsi="Courier New" w:cs="Courier New" w:hint="default"/>
      </w:rPr>
    </w:lvl>
    <w:lvl w:ilvl="2" w:tplc="04050005">
      <w:start w:val="1"/>
      <w:numFmt w:val="bullet"/>
      <w:lvlText w:val=""/>
      <w:lvlJc w:val="left"/>
      <w:pPr>
        <w:ind w:left="2212" w:hanging="360"/>
      </w:pPr>
      <w:rPr>
        <w:rFonts w:ascii="Wingdings" w:hAnsi="Wingdings" w:cs="Wingdings" w:hint="default"/>
      </w:rPr>
    </w:lvl>
    <w:lvl w:ilvl="3" w:tplc="04050001">
      <w:start w:val="1"/>
      <w:numFmt w:val="bullet"/>
      <w:lvlText w:val=""/>
      <w:lvlJc w:val="left"/>
      <w:pPr>
        <w:ind w:left="2932" w:hanging="360"/>
      </w:pPr>
      <w:rPr>
        <w:rFonts w:ascii="Symbol" w:hAnsi="Symbol" w:cs="Symbol" w:hint="default"/>
      </w:rPr>
    </w:lvl>
    <w:lvl w:ilvl="4" w:tplc="04050003">
      <w:start w:val="1"/>
      <w:numFmt w:val="bullet"/>
      <w:lvlText w:val="o"/>
      <w:lvlJc w:val="left"/>
      <w:pPr>
        <w:ind w:left="3652" w:hanging="360"/>
      </w:pPr>
      <w:rPr>
        <w:rFonts w:ascii="Courier New" w:hAnsi="Courier New" w:cs="Courier New" w:hint="default"/>
      </w:rPr>
    </w:lvl>
    <w:lvl w:ilvl="5" w:tplc="04050005">
      <w:start w:val="1"/>
      <w:numFmt w:val="bullet"/>
      <w:lvlText w:val=""/>
      <w:lvlJc w:val="left"/>
      <w:pPr>
        <w:ind w:left="4372" w:hanging="360"/>
      </w:pPr>
      <w:rPr>
        <w:rFonts w:ascii="Wingdings" w:hAnsi="Wingdings" w:cs="Wingdings" w:hint="default"/>
      </w:rPr>
    </w:lvl>
    <w:lvl w:ilvl="6" w:tplc="04050001">
      <w:start w:val="1"/>
      <w:numFmt w:val="bullet"/>
      <w:lvlText w:val=""/>
      <w:lvlJc w:val="left"/>
      <w:pPr>
        <w:ind w:left="5092" w:hanging="360"/>
      </w:pPr>
      <w:rPr>
        <w:rFonts w:ascii="Symbol" w:hAnsi="Symbol" w:cs="Symbol" w:hint="default"/>
      </w:rPr>
    </w:lvl>
    <w:lvl w:ilvl="7" w:tplc="04050003">
      <w:start w:val="1"/>
      <w:numFmt w:val="bullet"/>
      <w:lvlText w:val="o"/>
      <w:lvlJc w:val="left"/>
      <w:pPr>
        <w:ind w:left="5812" w:hanging="360"/>
      </w:pPr>
      <w:rPr>
        <w:rFonts w:ascii="Courier New" w:hAnsi="Courier New" w:cs="Courier New" w:hint="default"/>
      </w:rPr>
    </w:lvl>
    <w:lvl w:ilvl="8" w:tplc="04050005">
      <w:start w:val="1"/>
      <w:numFmt w:val="bullet"/>
      <w:lvlText w:val=""/>
      <w:lvlJc w:val="left"/>
      <w:pPr>
        <w:ind w:left="6532" w:hanging="360"/>
      </w:pPr>
      <w:rPr>
        <w:rFonts w:ascii="Wingdings" w:hAnsi="Wingdings" w:cs="Wingdings" w:hint="default"/>
      </w:rPr>
    </w:lvl>
  </w:abstractNum>
  <w:abstractNum w:abstractNumId="36">
    <w:nsid w:val="357F7991"/>
    <w:multiLevelType w:val="hybridMultilevel"/>
    <w:tmpl w:val="29F4F0C6"/>
    <w:lvl w:ilvl="0" w:tplc="73F868E0">
      <w:start w:val="1"/>
      <w:numFmt w:val="bullet"/>
      <w:lvlText w:val=""/>
      <w:lvlJc w:val="left"/>
      <w:pPr>
        <w:tabs>
          <w:tab w:val="num" w:pos="720"/>
        </w:tabs>
        <w:ind w:left="720" w:hanging="360"/>
      </w:pPr>
      <w:rPr>
        <w:rFonts w:ascii="Symbol" w:hAnsi="Symbol" w:cs="Symbol" w:hint="default"/>
        <w:color w:val="auto"/>
      </w:rPr>
    </w:lvl>
    <w:lvl w:ilvl="1" w:tplc="04050003">
      <w:start w:val="1"/>
      <w:numFmt w:val="bullet"/>
      <w:lvlText w:val="o"/>
      <w:lvlJc w:val="left"/>
      <w:pPr>
        <w:tabs>
          <w:tab w:val="num" w:pos="1440"/>
        </w:tabs>
        <w:ind w:left="1440" w:hanging="360"/>
      </w:pPr>
      <w:rPr>
        <w:rFonts w:ascii="Courier New" w:hAnsi="Courier New" w:cs="Courier New" w:hint="default"/>
      </w:rPr>
    </w:lvl>
    <w:lvl w:ilvl="2" w:tplc="04050005">
      <w:start w:val="1"/>
      <w:numFmt w:val="bullet"/>
      <w:lvlText w:val=""/>
      <w:lvlJc w:val="left"/>
      <w:pPr>
        <w:tabs>
          <w:tab w:val="num" w:pos="2160"/>
        </w:tabs>
        <w:ind w:left="2160" w:hanging="360"/>
      </w:pPr>
      <w:rPr>
        <w:rFonts w:ascii="Wingdings" w:hAnsi="Wingdings" w:cs="Wingdings" w:hint="default"/>
      </w:rPr>
    </w:lvl>
    <w:lvl w:ilvl="3" w:tplc="04050001">
      <w:start w:val="1"/>
      <w:numFmt w:val="bullet"/>
      <w:lvlText w:val=""/>
      <w:lvlJc w:val="left"/>
      <w:pPr>
        <w:tabs>
          <w:tab w:val="num" w:pos="2880"/>
        </w:tabs>
        <w:ind w:left="2880" w:hanging="360"/>
      </w:pPr>
      <w:rPr>
        <w:rFonts w:ascii="Symbol" w:hAnsi="Symbol" w:cs="Symbol" w:hint="default"/>
      </w:rPr>
    </w:lvl>
    <w:lvl w:ilvl="4" w:tplc="04050003">
      <w:start w:val="1"/>
      <w:numFmt w:val="bullet"/>
      <w:lvlText w:val="o"/>
      <w:lvlJc w:val="left"/>
      <w:pPr>
        <w:tabs>
          <w:tab w:val="num" w:pos="3600"/>
        </w:tabs>
        <w:ind w:left="3600" w:hanging="360"/>
      </w:pPr>
      <w:rPr>
        <w:rFonts w:ascii="Courier New" w:hAnsi="Courier New" w:cs="Courier New" w:hint="default"/>
      </w:rPr>
    </w:lvl>
    <w:lvl w:ilvl="5" w:tplc="04050005">
      <w:start w:val="1"/>
      <w:numFmt w:val="bullet"/>
      <w:lvlText w:val=""/>
      <w:lvlJc w:val="left"/>
      <w:pPr>
        <w:tabs>
          <w:tab w:val="num" w:pos="4320"/>
        </w:tabs>
        <w:ind w:left="4320" w:hanging="360"/>
      </w:pPr>
      <w:rPr>
        <w:rFonts w:ascii="Wingdings" w:hAnsi="Wingdings" w:cs="Wingdings" w:hint="default"/>
      </w:rPr>
    </w:lvl>
    <w:lvl w:ilvl="6" w:tplc="04050001">
      <w:start w:val="1"/>
      <w:numFmt w:val="bullet"/>
      <w:lvlText w:val=""/>
      <w:lvlJc w:val="left"/>
      <w:pPr>
        <w:tabs>
          <w:tab w:val="num" w:pos="5040"/>
        </w:tabs>
        <w:ind w:left="5040" w:hanging="360"/>
      </w:pPr>
      <w:rPr>
        <w:rFonts w:ascii="Symbol" w:hAnsi="Symbol" w:cs="Symbol" w:hint="default"/>
      </w:rPr>
    </w:lvl>
    <w:lvl w:ilvl="7" w:tplc="04050003">
      <w:start w:val="1"/>
      <w:numFmt w:val="bullet"/>
      <w:lvlText w:val="o"/>
      <w:lvlJc w:val="left"/>
      <w:pPr>
        <w:tabs>
          <w:tab w:val="num" w:pos="5760"/>
        </w:tabs>
        <w:ind w:left="5760" w:hanging="360"/>
      </w:pPr>
      <w:rPr>
        <w:rFonts w:ascii="Courier New" w:hAnsi="Courier New" w:cs="Courier New" w:hint="default"/>
      </w:rPr>
    </w:lvl>
    <w:lvl w:ilvl="8" w:tplc="04050005">
      <w:start w:val="1"/>
      <w:numFmt w:val="bullet"/>
      <w:lvlText w:val=""/>
      <w:lvlJc w:val="left"/>
      <w:pPr>
        <w:tabs>
          <w:tab w:val="num" w:pos="6480"/>
        </w:tabs>
        <w:ind w:left="6480" w:hanging="360"/>
      </w:pPr>
      <w:rPr>
        <w:rFonts w:ascii="Wingdings" w:hAnsi="Wingdings" w:cs="Wingdings" w:hint="default"/>
      </w:rPr>
    </w:lvl>
  </w:abstractNum>
  <w:abstractNum w:abstractNumId="37">
    <w:nsid w:val="3AF76633"/>
    <w:multiLevelType w:val="hybridMultilevel"/>
    <w:tmpl w:val="21226310"/>
    <w:lvl w:ilvl="0" w:tplc="04050001">
      <w:start w:val="1"/>
      <w:numFmt w:val="bullet"/>
      <w:lvlText w:val=""/>
      <w:lvlJc w:val="left"/>
      <w:pPr>
        <w:ind w:left="720" w:hanging="360"/>
      </w:pPr>
      <w:rPr>
        <w:rFonts w:ascii="Symbol" w:hAnsi="Symbol" w:cs="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cs="Wingdings" w:hint="default"/>
      </w:rPr>
    </w:lvl>
    <w:lvl w:ilvl="3" w:tplc="04050001">
      <w:start w:val="1"/>
      <w:numFmt w:val="bullet"/>
      <w:lvlText w:val=""/>
      <w:lvlJc w:val="left"/>
      <w:pPr>
        <w:ind w:left="2880" w:hanging="360"/>
      </w:pPr>
      <w:rPr>
        <w:rFonts w:ascii="Symbol" w:hAnsi="Symbol" w:cs="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cs="Wingdings" w:hint="default"/>
      </w:rPr>
    </w:lvl>
    <w:lvl w:ilvl="6" w:tplc="04050001">
      <w:start w:val="1"/>
      <w:numFmt w:val="bullet"/>
      <w:lvlText w:val=""/>
      <w:lvlJc w:val="left"/>
      <w:pPr>
        <w:ind w:left="5040" w:hanging="360"/>
      </w:pPr>
      <w:rPr>
        <w:rFonts w:ascii="Symbol" w:hAnsi="Symbol" w:cs="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cs="Wingdings" w:hint="default"/>
      </w:rPr>
    </w:lvl>
  </w:abstractNum>
  <w:abstractNum w:abstractNumId="38">
    <w:nsid w:val="3C1D6357"/>
    <w:multiLevelType w:val="hybridMultilevel"/>
    <w:tmpl w:val="8BDA8A90"/>
    <w:lvl w:ilvl="0" w:tplc="04050001">
      <w:start w:val="1"/>
      <w:numFmt w:val="bullet"/>
      <w:lvlText w:val=""/>
      <w:lvlJc w:val="left"/>
      <w:pPr>
        <w:ind w:left="720" w:hanging="360"/>
      </w:pPr>
      <w:rPr>
        <w:rFonts w:ascii="Symbol" w:hAnsi="Symbol" w:cs="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cs="Wingdings" w:hint="default"/>
      </w:rPr>
    </w:lvl>
    <w:lvl w:ilvl="3" w:tplc="04050001">
      <w:start w:val="1"/>
      <w:numFmt w:val="bullet"/>
      <w:lvlText w:val=""/>
      <w:lvlJc w:val="left"/>
      <w:pPr>
        <w:ind w:left="2880" w:hanging="360"/>
      </w:pPr>
      <w:rPr>
        <w:rFonts w:ascii="Symbol" w:hAnsi="Symbol" w:cs="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cs="Wingdings" w:hint="default"/>
      </w:rPr>
    </w:lvl>
    <w:lvl w:ilvl="6" w:tplc="04050001">
      <w:start w:val="1"/>
      <w:numFmt w:val="bullet"/>
      <w:lvlText w:val=""/>
      <w:lvlJc w:val="left"/>
      <w:pPr>
        <w:ind w:left="5040" w:hanging="360"/>
      </w:pPr>
      <w:rPr>
        <w:rFonts w:ascii="Symbol" w:hAnsi="Symbol" w:cs="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cs="Wingdings" w:hint="default"/>
      </w:rPr>
    </w:lvl>
  </w:abstractNum>
  <w:abstractNum w:abstractNumId="39">
    <w:nsid w:val="3F530476"/>
    <w:multiLevelType w:val="hybridMultilevel"/>
    <w:tmpl w:val="020A818C"/>
    <w:lvl w:ilvl="0" w:tplc="EC7871D8">
      <w:start w:val="1"/>
      <w:numFmt w:val="lowerLetter"/>
      <w:lvlText w:val="%1)"/>
      <w:lvlJc w:val="left"/>
      <w:pPr>
        <w:ind w:left="1800" w:hanging="360"/>
      </w:pPr>
      <w:rPr>
        <w:rFonts w:hint="default"/>
      </w:rPr>
    </w:lvl>
    <w:lvl w:ilvl="1" w:tplc="04050019">
      <w:start w:val="1"/>
      <w:numFmt w:val="lowerLetter"/>
      <w:lvlText w:val="%2."/>
      <w:lvlJc w:val="left"/>
      <w:pPr>
        <w:ind w:left="2520" w:hanging="360"/>
      </w:pPr>
    </w:lvl>
    <w:lvl w:ilvl="2" w:tplc="0405001B">
      <w:start w:val="1"/>
      <w:numFmt w:val="lowerRoman"/>
      <w:lvlText w:val="%3."/>
      <w:lvlJc w:val="right"/>
      <w:pPr>
        <w:ind w:left="3240" w:hanging="180"/>
      </w:pPr>
    </w:lvl>
    <w:lvl w:ilvl="3" w:tplc="0405000F">
      <w:start w:val="1"/>
      <w:numFmt w:val="decimal"/>
      <w:lvlText w:val="%4."/>
      <w:lvlJc w:val="left"/>
      <w:pPr>
        <w:ind w:left="3960" w:hanging="360"/>
      </w:pPr>
    </w:lvl>
    <w:lvl w:ilvl="4" w:tplc="04050019">
      <w:start w:val="1"/>
      <w:numFmt w:val="lowerLetter"/>
      <w:lvlText w:val="%5."/>
      <w:lvlJc w:val="left"/>
      <w:pPr>
        <w:ind w:left="4680" w:hanging="360"/>
      </w:pPr>
    </w:lvl>
    <w:lvl w:ilvl="5" w:tplc="0405001B">
      <w:start w:val="1"/>
      <w:numFmt w:val="lowerRoman"/>
      <w:lvlText w:val="%6."/>
      <w:lvlJc w:val="right"/>
      <w:pPr>
        <w:ind w:left="5400" w:hanging="180"/>
      </w:pPr>
    </w:lvl>
    <w:lvl w:ilvl="6" w:tplc="0405000F">
      <w:start w:val="1"/>
      <w:numFmt w:val="decimal"/>
      <w:lvlText w:val="%7."/>
      <w:lvlJc w:val="left"/>
      <w:pPr>
        <w:ind w:left="6120" w:hanging="360"/>
      </w:pPr>
    </w:lvl>
    <w:lvl w:ilvl="7" w:tplc="04050019">
      <w:start w:val="1"/>
      <w:numFmt w:val="lowerLetter"/>
      <w:lvlText w:val="%8."/>
      <w:lvlJc w:val="left"/>
      <w:pPr>
        <w:ind w:left="6840" w:hanging="360"/>
      </w:pPr>
    </w:lvl>
    <w:lvl w:ilvl="8" w:tplc="0405001B">
      <w:start w:val="1"/>
      <w:numFmt w:val="lowerRoman"/>
      <w:lvlText w:val="%9."/>
      <w:lvlJc w:val="right"/>
      <w:pPr>
        <w:ind w:left="7560" w:hanging="180"/>
      </w:pPr>
    </w:lvl>
  </w:abstractNum>
  <w:abstractNum w:abstractNumId="40">
    <w:nsid w:val="3F642048"/>
    <w:multiLevelType w:val="hybridMultilevel"/>
    <w:tmpl w:val="5C5220A6"/>
    <w:lvl w:ilvl="0" w:tplc="04050001">
      <w:start w:val="1"/>
      <w:numFmt w:val="bullet"/>
      <w:lvlText w:val=""/>
      <w:lvlJc w:val="left"/>
      <w:pPr>
        <w:ind w:left="720" w:hanging="360"/>
      </w:pPr>
      <w:rPr>
        <w:rFonts w:ascii="Symbol" w:hAnsi="Symbol" w:cs="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cs="Wingdings" w:hint="default"/>
      </w:rPr>
    </w:lvl>
    <w:lvl w:ilvl="3" w:tplc="04050001">
      <w:start w:val="1"/>
      <w:numFmt w:val="bullet"/>
      <w:lvlText w:val=""/>
      <w:lvlJc w:val="left"/>
      <w:pPr>
        <w:ind w:left="2880" w:hanging="360"/>
      </w:pPr>
      <w:rPr>
        <w:rFonts w:ascii="Symbol" w:hAnsi="Symbol" w:cs="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cs="Wingdings" w:hint="default"/>
      </w:rPr>
    </w:lvl>
    <w:lvl w:ilvl="6" w:tplc="04050001">
      <w:start w:val="1"/>
      <w:numFmt w:val="bullet"/>
      <w:lvlText w:val=""/>
      <w:lvlJc w:val="left"/>
      <w:pPr>
        <w:ind w:left="5040" w:hanging="360"/>
      </w:pPr>
      <w:rPr>
        <w:rFonts w:ascii="Symbol" w:hAnsi="Symbol" w:cs="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cs="Wingdings" w:hint="default"/>
      </w:rPr>
    </w:lvl>
  </w:abstractNum>
  <w:abstractNum w:abstractNumId="41">
    <w:nsid w:val="3F7B055B"/>
    <w:multiLevelType w:val="multilevel"/>
    <w:tmpl w:val="1374CEB2"/>
    <w:lvl w:ilvl="0">
      <w:start w:val="1"/>
      <w:numFmt w:val="decimal"/>
      <w:pStyle w:val="Nadpis1"/>
      <w:lvlText w:val="%1"/>
      <w:lvlJc w:val="left"/>
      <w:pPr>
        <w:ind w:left="432" w:hanging="432"/>
      </w:pPr>
    </w:lvl>
    <w:lvl w:ilvl="1">
      <w:start w:val="1"/>
      <w:numFmt w:val="decimal"/>
      <w:pStyle w:val="Nadpis2"/>
      <w:lvlText w:val="%1.%2"/>
      <w:lvlJc w:val="left"/>
      <w:pPr>
        <w:ind w:left="576" w:hanging="576"/>
      </w:pPr>
    </w:lvl>
    <w:lvl w:ilvl="2">
      <w:start w:val="1"/>
      <w:numFmt w:val="decimal"/>
      <w:pStyle w:val="Nadpis3"/>
      <w:lvlText w:val="%1.%2.%3"/>
      <w:lvlJc w:val="left"/>
      <w:pPr>
        <w:ind w:left="720" w:hanging="720"/>
      </w:pPr>
      <w:rPr>
        <w:b w:val="0"/>
        <w:bCs w:val="0"/>
        <w:i w:val="0"/>
        <w:iCs w:val="0"/>
        <w:caps w:val="0"/>
        <w:smallCaps w:val="0"/>
        <w:strike w:val="0"/>
        <w:dstrike w:val="0"/>
        <w:vanish w:val="0"/>
        <w:spacing w:val="0"/>
        <w:kern w:val="0"/>
        <w:position w:val="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3">
      <w:start w:val="1"/>
      <w:numFmt w:val="decimal"/>
      <w:pStyle w:val="Nadpis4"/>
      <w:lvlText w:val="%1.%2.%3.%4"/>
      <w:lvlJc w:val="left"/>
      <w:pPr>
        <w:ind w:left="864" w:hanging="864"/>
      </w:pPr>
    </w:lvl>
    <w:lvl w:ilvl="4">
      <w:start w:val="1"/>
      <w:numFmt w:val="decimal"/>
      <w:pStyle w:val="Nadpis5"/>
      <w:lvlText w:val="%1.%2.%3.%4.%5"/>
      <w:lvlJc w:val="left"/>
      <w:pPr>
        <w:ind w:left="1008" w:hanging="1008"/>
      </w:pPr>
    </w:lvl>
    <w:lvl w:ilvl="5">
      <w:start w:val="1"/>
      <w:numFmt w:val="decimal"/>
      <w:pStyle w:val="Nadpis6"/>
      <w:lvlText w:val="%1.%2.%3.%4.%5.%6"/>
      <w:lvlJc w:val="left"/>
      <w:pPr>
        <w:ind w:left="1152" w:hanging="1152"/>
      </w:pPr>
    </w:lvl>
    <w:lvl w:ilvl="6">
      <w:start w:val="1"/>
      <w:numFmt w:val="decimal"/>
      <w:pStyle w:val="Nadpis7"/>
      <w:lvlText w:val="%1.%2.%3.%4.%5.%6.%7"/>
      <w:lvlJc w:val="left"/>
      <w:pPr>
        <w:ind w:left="1296" w:hanging="1296"/>
      </w:pPr>
    </w:lvl>
    <w:lvl w:ilvl="7">
      <w:start w:val="1"/>
      <w:numFmt w:val="decimal"/>
      <w:pStyle w:val="Nadpis8"/>
      <w:lvlText w:val="%1.%2.%3.%4.%5.%6.%7.%8"/>
      <w:lvlJc w:val="left"/>
      <w:pPr>
        <w:ind w:left="1440" w:hanging="1440"/>
      </w:pPr>
    </w:lvl>
    <w:lvl w:ilvl="8">
      <w:start w:val="1"/>
      <w:numFmt w:val="decimal"/>
      <w:pStyle w:val="Nadpis9"/>
      <w:lvlText w:val="%1.%2.%3.%4.%5.%6.%7.%8.%9"/>
      <w:lvlJc w:val="left"/>
      <w:pPr>
        <w:ind w:left="1584" w:hanging="1584"/>
      </w:pPr>
    </w:lvl>
  </w:abstractNum>
  <w:abstractNum w:abstractNumId="42">
    <w:nsid w:val="3FDE78AA"/>
    <w:multiLevelType w:val="hybridMultilevel"/>
    <w:tmpl w:val="938E217A"/>
    <w:lvl w:ilvl="0" w:tplc="04050001">
      <w:start w:val="1"/>
      <w:numFmt w:val="bullet"/>
      <w:lvlText w:val=""/>
      <w:lvlJc w:val="left"/>
      <w:pPr>
        <w:ind w:left="720" w:hanging="360"/>
      </w:pPr>
      <w:rPr>
        <w:rFonts w:ascii="Symbol" w:hAnsi="Symbol" w:cs="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cs="Wingdings" w:hint="default"/>
      </w:rPr>
    </w:lvl>
    <w:lvl w:ilvl="3" w:tplc="04050001">
      <w:start w:val="1"/>
      <w:numFmt w:val="bullet"/>
      <w:lvlText w:val=""/>
      <w:lvlJc w:val="left"/>
      <w:pPr>
        <w:ind w:left="2880" w:hanging="360"/>
      </w:pPr>
      <w:rPr>
        <w:rFonts w:ascii="Symbol" w:hAnsi="Symbol" w:cs="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cs="Wingdings" w:hint="default"/>
      </w:rPr>
    </w:lvl>
    <w:lvl w:ilvl="6" w:tplc="04050001">
      <w:start w:val="1"/>
      <w:numFmt w:val="bullet"/>
      <w:lvlText w:val=""/>
      <w:lvlJc w:val="left"/>
      <w:pPr>
        <w:ind w:left="5040" w:hanging="360"/>
      </w:pPr>
      <w:rPr>
        <w:rFonts w:ascii="Symbol" w:hAnsi="Symbol" w:cs="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cs="Wingdings" w:hint="default"/>
      </w:rPr>
    </w:lvl>
  </w:abstractNum>
  <w:abstractNum w:abstractNumId="43">
    <w:nsid w:val="45161F6F"/>
    <w:multiLevelType w:val="hybridMultilevel"/>
    <w:tmpl w:val="1EF28620"/>
    <w:lvl w:ilvl="0" w:tplc="04050001">
      <w:start w:val="1"/>
      <w:numFmt w:val="bullet"/>
      <w:lvlText w:val=""/>
      <w:lvlJc w:val="left"/>
      <w:pPr>
        <w:ind w:left="720" w:hanging="360"/>
      </w:pPr>
      <w:rPr>
        <w:rFonts w:ascii="Symbol" w:hAnsi="Symbol" w:cs="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cs="Wingdings" w:hint="default"/>
      </w:rPr>
    </w:lvl>
    <w:lvl w:ilvl="3" w:tplc="04050001">
      <w:start w:val="1"/>
      <w:numFmt w:val="bullet"/>
      <w:lvlText w:val=""/>
      <w:lvlJc w:val="left"/>
      <w:pPr>
        <w:ind w:left="2880" w:hanging="360"/>
      </w:pPr>
      <w:rPr>
        <w:rFonts w:ascii="Symbol" w:hAnsi="Symbol" w:cs="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cs="Wingdings" w:hint="default"/>
      </w:rPr>
    </w:lvl>
    <w:lvl w:ilvl="6" w:tplc="04050001">
      <w:start w:val="1"/>
      <w:numFmt w:val="bullet"/>
      <w:lvlText w:val=""/>
      <w:lvlJc w:val="left"/>
      <w:pPr>
        <w:ind w:left="5040" w:hanging="360"/>
      </w:pPr>
      <w:rPr>
        <w:rFonts w:ascii="Symbol" w:hAnsi="Symbol" w:cs="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cs="Wingdings" w:hint="default"/>
      </w:rPr>
    </w:lvl>
  </w:abstractNum>
  <w:abstractNum w:abstractNumId="44">
    <w:nsid w:val="453556C0"/>
    <w:multiLevelType w:val="hybridMultilevel"/>
    <w:tmpl w:val="78582898"/>
    <w:lvl w:ilvl="0" w:tplc="73F868E0">
      <w:start w:val="1"/>
      <w:numFmt w:val="bullet"/>
      <w:lvlText w:val=""/>
      <w:lvlJc w:val="left"/>
      <w:pPr>
        <w:tabs>
          <w:tab w:val="num" w:pos="720"/>
        </w:tabs>
        <w:ind w:left="720" w:hanging="360"/>
      </w:pPr>
      <w:rPr>
        <w:rFonts w:ascii="Symbol" w:hAnsi="Symbol" w:cs="Symbol" w:hint="default"/>
        <w:color w:val="auto"/>
      </w:rPr>
    </w:lvl>
    <w:lvl w:ilvl="1" w:tplc="04050003">
      <w:start w:val="1"/>
      <w:numFmt w:val="bullet"/>
      <w:lvlText w:val="o"/>
      <w:lvlJc w:val="left"/>
      <w:pPr>
        <w:tabs>
          <w:tab w:val="num" w:pos="1440"/>
        </w:tabs>
        <w:ind w:left="1440" w:hanging="360"/>
      </w:pPr>
      <w:rPr>
        <w:rFonts w:ascii="Courier New" w:hAnsi="Courier New" w:cs="Courier New" w:hint="default"/>
      </w:rPr>
    </w:lvl>
    <w:lvl w:ilvl="2" w:tplc="04050005">
      <w:start w:val="1"/>
      <w:numFmt w:val="bullet"/>
      <w:lvlText w:val=""/>
      <w:lvlJc w:val="left"/>
      <w:pPr>
        <w:tabs>
          <w:tab w:val="num" w:pos="2160"/>
        </w:tabs>
        <w:ind w:left="2160" w:hanging="360"/>
      </w:pPr>
      <w:rPr>
        <w:rFonts w:ascii="Wingdings" w:hAnsi="Wingdings" w:cs="Wingdings" w:hint="default"/>
      </w:rPr>
    </w:lvl>
    <w:lvl w:ilvl="3" w:tplc="04050001">
      <w:start w:val="1"/>
      <w:numFmt w:val="bullet"/>
      <w:lvlText w:val=""/>
      <w:lvlJc w:val="left"/>
      <w:pPr>
        <w:tabs>
          <w:tab w:val="num" w:pos="2880"/>
        </w:tabs>
        <w:ind w:left="2880" w:hanging="360"/>
      </w:pPr>
      <w:rPr>
        <w:rFonts w:ascii="Symbol" w:hAnsi="Symbol" w:cs="Symbol" w:hint="default"/>
      </w:rPr>
    </w:lvl>
    <w:lvl w:ilvl="4" w:tplc="04050003">
      <w:start w:val="1"/>
      <w:numFmt w:val="bullet"/>
      <w:lvlText w:val="o"/>
      <w:lvlJc w:val="left"/>
      <w:pPr>
        <w:tabs>
          <w:tab w:val="num" w:pos="3600"/>
        </w:tabs>
        <w:ind w:left="3600" w:hanging="360"/>
      </w:pPr>
      <w:rPr>
        <w:rFonts w:ascii="Courier New" w:hAnsi="Courier New" w:cs="Courier New" w:hint="default"/>
      </w:rPr>
    </w:lvl>
    <w:lvl w:ilvl="5" w:tplc="04050005">
      <w:start w:val="1"/>
      <w:numFmt w:val="bullet"/>
      <w:lvlText w:val=""/>
      <w:lvlJc w:val="left"/>
      <w:pPr>
        <w:tabs>
          <w:tab w:val="num" w:pos="4320"/>
        </w:tabs>
        <w:ind w:left="4320" w:hanging="360"/>
      </w:pPr>
      <w:rPr>
        <w:rFonts w:ascii="Wingdings" w:hAnsi="Wingdings" w:cs="Wingdings" w:hint="default"/>
      </w:rPr>
    </w:lvl>
    <w:lvl w:ilvl="6" w:tplc="04050001">
      <w:start w:val="1"/>
      <w:numFmt w:val="bullet"/>
      <w:lvlText w:val=""/>
      <w:lvlJc w:val="left"/>
      <w:pPr>
        <w:tabs>
          <w:tab w:val="num" w:pos="5040"/>
        </w:tabs>
        <w:ind w:left="5040" w:hanging="360"/>
      </w:pPr>
      <w:rPr>
        <w:rFonts w:ascii="Symbol" w:hAnsi="Symbol" w:cs="Symbol" w:hint="default"/>
      </w:rPr>
    </w:lvl>
    <w:lvl w:ilvl="7" w:tplc="04050003">
      <w:start w:val="1"/>
      <w:numFmt w:val="bullet"/>
      <w:lvlText w:val="o"/>
      <w:lvlJc w:val="left"/>
      <w:pPr>
        <w:tabs>
          <w:tab w:val="num" w:pos="5760"/>
        </w:tabs>
        <w:ind w:left="5760" w:hanging="360"/>
      </w:pPr>
      <w:rPr>
        <w:rFonts w:ascii="Courier New" w:hAnsi="Courier New" w:cs="Courier New" w:hint="default"/>
      </w:rPr>
    </w:lvl>
    <w:lvl w:ilvl="8" w:tplc="04050005">
      <w:start w:val="1"/>
      <w:numFmt w:val="bullet"/>
      <w:lvlText w:val=""/>
      <w:lvlJc w:val="left"/>
      <w:pPr>
        <w:tabs>
          <w:tab w:val="num" w:pos="6480"/>
        </w:tabs>
        <w:ind w:left="6480" w:hanging="360"/>
      </w:pPr>
      <w:rPr>
        <w:rFonts w:ascii="Wingdings" w:hAnsi="Wingdings" w:cs="Wingdings" w:hint="default"/>
      </w:rPr>
    </w:lvl>
  </w:abstractNum>
  <w:abstractNum w:abstractNumId="45">
    <w:nsid w:val="478E4811"/>
    <w:multiLevelType w:val="hybridMultilevel"/>
    <w:tmpl w:val="E3D4D922"/>
    <w:lvl w:ilvl="0" w:tplc="04050001">
      <w:start w:val="1"/>
      <w:numFmt w:val="bullet"/>
      <w:lvlText w:val=""/>
      <w:lvlJc w:val="left"/>
      <w:pPr>
        <w:ind w:left="720" w:hanging="360"/>
      </w:pPr>
      <w:rPr>
        <w:rFonts w:ascii="Symbol" w:hAnsi="Symbol" w:cs="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cs="Wingdings" w:hint="default"/>
      </w:rPr>
    </w:lvl>
    <w:lvl w:ilvl="3" w:tplc="04050001">
      <w:start w:val="1"/>
      <w:numFmt w:val="bullet"/>
      <w:lvlText w:val=""/>
      <w:lvlJc w:val="left"/>
      <w:pPr>
        <w:ind w:left="2880" w:hanging="360"/>
      </w:pPr>
      <w:rPr>
        <w:rFonts w:ascii="Symbol" w:hAnsi="Symbol" w:cs="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cs="Wingdings" w:hint="default"/>
      </w:rPr>
    </w:lvl>
    <w:lvl w:ilvl="6" w:tplc="04050001">
      <w:start w:val="1"/>
      <w:numFmt w:val="bullet"/>
      <w:lvlText w:val=""/>
      <w:lvlJc w:val="left"/>
      <w:pPr>
        <w:ind w:left="5040" w:hanging="360"/>
      </w:pPr>
      <w:rPr>
        <w:rFonts w:ascii="Symbol" w:hAnsi="Symbol" w:cs="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cs="Wingdings" w:hint="default"/>
      </w:rPr>
    </w:lvl>
  </w:abstractNum>
  <w:abstractNum w:abstractNumId="46">
    <w:nsid w:val="488C7884"/>
    <w:multiLevelType w:val="hybridMultilevel"/>
    <w:tmpl w:val="FB908D14"/>
    <w:lvl w:ilvl="0" w:tplc="735622C4">
      <w:start w:val="8"/>
      <w:numFmt w:val="bullet"/>
      <w:lvlText w:val="-"/>
      <w:lvlJc w:val="left"/>
      <w:pPr>
        <w:tabs>
          <w:tab w:val="num" w:pos="720"/>
        </w:tabs>
        <w:ind w:left="720" w:hanging="360"/>
      </w:pPr>
      <w:rPr>
        <w:rFonts w:ascii="Times New Roman" w:eastAsia="Times New Roman" w:hAnsi="Times New Roman" w:hint="default"/>
      </w:rPr>
    </w:lvl>
    <w:lvl w:ilvl="1" w:tplc="04050003">
      <w:start w:val="1"/>
      <w:numFmt w:val="bullet"/>
      <w:lvlText w:val="o"/>
      <w:lvlJc w:val="left"/>
      <w:pPr>
        <w:tabs>
          <w:tab w:val="num" w:pos="1440"/>
        </w:tabs>
        <w:ind w:left="1440" w:hanging="360"/>
      </w:pPr>
      <w:rPr>
        <w:rFonts w:ascii="Courier New" w:hAnsi="Courier New" w:cs="Courier New" w:hint="default"/>
      </w:rPr>
    </w:lvl>
    <w:lvl w:ilvl="2" w:tplc="04050005">
      <w:start w:val="1"/>
      <w:numFmt w:val="bullet"/>
      <w:lvlText w:val=""/>
      <w:lvlJc w:val="left"/>
      <w:pPr>
        <w:tabs>
          <w:tab w:val="num" w:pos="2160"/>
        </w:tabs>
        <w:ind w:left="2160" w:hanging="360"/>
      </w:pPr>
      <w:rPr>
        <w:rFonts w:ascii="Wingdings" w:hAnsi="Wingdings" w:cs="Wingdings" w:hint="default"/>
      </w:rPr>
    </w:lvl>
    <w:lvl w:ilvl="3" w:tplc="04050001">
      <w:start w:val="1"/>
      <w:numFmt w:val="bullet"/>
      <w:lvlText w:val=""/>
      <w:lvlJc w:val="left"/>
      <w:pPr>
        <w:tabs>
          <w:tab w:val="num" w:pos="2880"/>
        </w:tabs>
        <w:ind w:left="2880" w:hanging="360"/>
      </w:pPr>
      <w:rPr>
        <w:rFonts w:ascii="Symbol" w:hAnsi="Symbol" w:cs="Symbol" w:hint="default"/>
      </w:rPr>
    </w:lvl>
    <w:lvl w:ilvl="4" w:tplc="04050003">
      <w:start w:val="1"/>
      <w:numFmt w:val="bullet"/>
      <w:lvlText w:val="o"/>
      <w:lvlJc w:val="left"/>
      <w:pPr>
        <w:tabs>
          <w:tab w:val="num" w:pos="3600"/>
        </w:tabs>
        <w:ind w:left="3600" w:hanging="360"/>
      </w:pPr>
      <w:rPr>
        <w:rFonts w:ascii="Courier New" w:hAnsi="Courier New" w:cs="Courier New" w:hint="default"/>
      </w:rPr>
    </w:lvl>
    <w:lvl w:ilvl="5" w:tplc="04050005">
      <w:start w:val="1"/>
      <w:numFmt w:val="bullet"/>
      <w:lvlText w:val=""/>
      <w:lvlJc w:val="left"/>
      <w:pPr>
        <w:tabs>
          <w:tab w:val="num" w:pos="4320"/>
        </w:tabs>
        <w:ind w:left="4320" w:hanging="360"/>
      </w:pPr>
      <w:rPr>
        <w:rFonts w:ascii="Wingdings" w:hAnsi="Wingdings" w:cs="Wingdings" w:hint="default"/>
      </w:rPr>
    </w:lvl>
    <w:lvl w:ilvl="6" w:tplc="04050001">
      <w:start w:val="1"/>
      <w:numFmt w:val="bullet"/>
      <w:lvlText w:val=""/>
      <w:lvlJc w:val="left"/>
      <w:pPr>
        <w:tabs>
          <w:tab w:val="num" w:pos="5040"/>
        </w:tabs>
        <w:ind w:left="5040" w:hanging="360"/>
      </w:pPr>
      <w:rPr>
        <w:rFonts w:ascii="Symbol" w:hAnsi="Symbol" w:cs="Symbol" w:hint="default"/>
      </w:rPr>
    </w:lvl>
    <w:lvl w:ilvl="7" w:tplc="04050003">
      <w:start w:val="1"/>
      <w:numFmt w:val="bullet"/>
      <w:lvlText w:val="o"/>
      <w:lvlJc w:val="left"/>
      <w:pPr>
        <w:tabs>
          <w:tab w:val="num" w:pos="5760"/>
        </w:tabs>
        <w:ind w:left="5760" w:hanging="360"/>
      </w:pPr>
      <w:rPr>
        <w:rFonts w:ascii="Courier New" w:hAnsi="Courier New" w:cs="Courier New" w:hint="default"/>
      </w:rPr>
    </w:lvl>
    <w:lvl w:ilvl="8" w:tplc="04050005">
      <w:start w:val="1"/>
      <w:numFmt w:val="bullet"/>
      <w:lvlText w:val=""/>
      <w:lvlJc w:val="left"/>
      <w:pPr>
        <w:tabs>
          <w:tab w:val="num" w:pos="6480"/>
        </w:tabs>
        <w:ind w:left="6480" w:hanging="360"/>
      </w:pPr>
      <w:rPr>
        <w:rFonts w:ascii="Wingdings" w:hAnsi="Wingdings" w:cs="Wingdings" w:hint="default"/>
      </w:rPr>
    </w:lvl>
  </w:abstractNum>
  <w:abstractNum w:abstractNumId="47">
    <w:nsid w:val="4D770349"/>
    <w:multiLevelType w:val="hybridMultilevel"/>
    <w:tmpl w:val="4AB097A8"/>
    <w:lvl w:ilvl="0" w:tplc="04050001">
      <w:start w:val="1"/>
      <w:numFmt w:val="bullet"/>
      <w:lvlText w:val=""/>
      <w:lvlJc w:val="left"/>
      <w:pPr>
        <w:ind w:left="829" w:hanging="360"/>
      </w:pPr>
      <w:rPr>
        <w:rFonts w:ascii="Symbol" w:hAnsi="Symbol" w:cs="Symbol" w:hint="default"/>
      </w:rPr>
    </w:lvl>
    <w:lvl w:ilvl="1" w:tplc="04050003">
      <w:start w:val="1"/>
      <w:numFmt w:val="bullet"/>
      <w:lvlText w:val="o"/>
      <w:lvlJc w:val="left"/>
      <w:pPr>
        <w:ind w:left="1549" w:hanging="360"/>
      </w:pPr>
      <w:rPr>
        <w:rFonts w:ascii="Courier New" w:hAnsi="Courier New" w:cs="Courier New" w:hint="default"/>
      </w:rPr>
    </w:lvl>
    <w:lvl w:ilvl="2" w:tplc="04050005">
      <w:start w:val="1"/>
      <w:numFmt w:val="bullet"/>
      <w:lvlText w:val=""/>
      <w:lvlJc w:val="left"/>
      <w:pPr>
        <w:ind w:left="2269" w:hanging="360"/>
      </w:pPr>
      <w:rPr>
        <w:rFonts w:ascii="Wingdings" w:hAnsi="Wingdings" w:cs="Wingdings" w:hint="default"/>
      </w:rPr>
    </w:lvl>
    <w:lvl w:ilvl="3" w:tplc="04050001">
      <w:start w:val="1"/>
      <w:numFmt w:val="bullet"/>
      <w:lvlText w:val=""/>
      <w:lvlJc w:val="left"/>
      <w:pPr>
        <w:ind w:left="2989" w:hanging="360"/>
      </w:pPr>
      <w:rPr>
        <w:rFonts w:ascii="Symbol" w:hAnsi="Symbol" w:cs="Symbol" w:hint="default"/>
      </w:rPr>
    </w:lvl>
    <w:lvl w:ilvl="4" w:tplc="04050003">
      <w:start w:val="1"/>
      <w:numFmt w:val="bullet"/>
      <w:lvlText w:val="o"/>
      <w:lvlJc w:val="left"/>
      <w:pPr>
        <w:ind w:left="3709" w:hanging="360"/>
      </w:pPr>
      <w:rPr>
        <w:rFonts w:ascii="Courier New" w:hAnsi="Courier New" w:cs="Courier New" w:hint="default"/>
      </w:rPr>
    </w:lvl>
    <w:lvl w:ilvl="5" w:tplc="04050005">
      <w:start w:val="1"/>
      <w:numFmt w:val="bullet"/>
      <w:lvlText w:val=""/>
      <w:lvlJc w:val="left"/>
      <w:pPr>
        <w:ind w:left="4429" w:hanging="360"/>
      </w:pPr>
      <w:rPr>
        <w:rFonts w:ascii="Wingdings" w:hAnsi="Wingdings" w:cs="Wingdings" w:hint="default"/>
      </w:rPr>
    </w:lvl>
    <w:lvl w:ilvl="6" w:tplc="04050001">
      <w:start w:val="1"/>
      <w:numFmt w:val="bullet"/>
      <w:lvlText w:val=""/>
      <w:lvlJc w:val="left"/>
      <w:pPr>
        <w:ind w:left="5149" w:hanging="360"/>
      </w:pPr>
      <w:rPr>
        <w:rFonts w:ascii="Symbol" w:hAnsi="Symbol" w:cs="Symbol" w:hint="default"/>
      </w:rPr>
    </w:lvl>
    <w:lvl w:ilvl="7" w:tplc="04050003">
      <w:start w:val="1"/>
      <w:numFmt w:val="bullet"/>
      <w:lvlText w:val="o"/>
      <w:lvlJc w:val="left"/>
      <w:pPr>
        <w:ind w:left="5869" w:hanging="360"/>
      </w:pPr>
      <w:rPr>
        <w:rFonts w:ascii="Courier New" w:hAnsi="Courier New" w:cs="Courier New" w:hint="default"/>
      </w:rPr>
    </w:lvl>
    <w:lvl w:ilvl="8" w:tplc="04050005">
      <w:start w:val="1"/>
      <w:numFmt w:val="bullet"/>
      <w:lvlText w:val=""/>
      <w:lvlJc w:val="left"/>
      <w:pPr>
        <w:ind w:left="6589" w:hanging="360"/>
      </w:pPr>
      <w:rPr>
        <w:rFonts w:ascii="Wingdings" w:hAnsi="Wingdings" w:cs="Wingdings" w:hint="default"/>
      </w:rPr>
    </w:lvl>
  </w:abstractNum>
  <w:abstractNum w:abstractNumId="48">
    <w:nsid w:val="4DD82CE9"/>
    <w:multiLevelType w:val="hybridMultilevel"/>
    <w:tmpl w:val="595EC7AA"/>
    <w:lvl w:ilvl="0" w:tplc="04050001">
      <w:start w:val="1"/>
      <w:numFmt w:val="bullet"/>
      <w:lvlText w:val=""/>
      <w:lvlJc w:val="left"/>
      <w:pPr>
        <w:ind w:left="720" w:hanging="360"/>
      </w:pPr>
      <w:rPr>
        <w:rFonts w:ascii="Symbol" w:hAnsi="Symbol" w:cs="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cs="Wingdings" w:hint="default"/>
      </w:rPr>
    </w:lvl>
    <w:lvl w:ilvl="3" w:tplc="04050001">
      <w:start w:val="1"/>
      <w:numFmt w:val="bullet"/>
      <w:lvlText w:val=""/>
      <w:lvlJc w:val="left"/>
      <w:pPr>
        <w:ind w:left="2880" w:hanging="360"/>
      </w:pPr>
      <w:rPr>
        <w:rFonts w:ascii="Symbol" w:hAnsi="Symbol" w:cs="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cs="Wingdings" w:hint="default"/>
      </w:rPr>
    </w:lvl>
    <w:lvl w:ilvl="6" w:tplc="04050001">
      <w:start w:val="1"/>
      <w:numFmt w:val="bullet"/>
      <w:lvlText w:val=""/>
      <w:lvlJc w:val="left"/>
      <w:pPr>
        <w:ind w:left="5040" w:hanging="360"/>
      </w:pPr>
      <w:rPr>
        <w:rFonts w:ascii="Symbol" w:hAnsi="Symbol" w:cs="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cs="Wingdings" w:hint="default"/>
      </w:rPr>
    </w:lvl>
  </w:abstractNum>
  <w:abstractNum w:abstractNumId="49">
    <w:nsid w:val="50337AD3"/>
    <w:multiLevelType w:val="hybridMultilevel"/>
    <w:tmpl w:val="18864C16"/>
    <w:lvl w:ilvl="0" w:tplc="04050001">
      <w:start w:val="1"/>
      <w:numFmt w:val="bullet"/>
      <w:lvlText w:val=""/>
      <w:lvlJc w:val="left"/>
      <w:pPr>
        <w:ind w:left="720" w:hanging="360"/>
      </w:pPr>
      <w:rPr>
        <w:rFonts w:ascii="Symbol" w:hAnsi="Symbol" w:cs="Symbol" w:hint="default"/>
      </w:rPr>
    </w:lvl>
    <w:lvl w:ilvl="1" w:tplc="04050001">
      <w:start w:val="1"/>
      <w:numFmt w:val="bullet"/>
      <w:lvlText w:val=""/>
      <w:lvlJc w:val="left"/>
      <w:pPr>
        <w:ind w:left="1440" w:hanging="360"/>
      </w:pPr>
      <w:rPr>
        <w:rFonts w:ascii="Symbol" w:hAnsi="Symbol" w:cs="Symbol" w:hint="default"/>
      </w:rPr>
    </w:lvl>
    <w:lvl w:ilvl="2" w:tplc="04050005">
      <w:start w:val="1"/>
      <w:numFmt w:val="bullet"/>
      <w:lvlText w:val=""/>
      <w:lvlJc w:val="left"/>
      <w:pPr>
        <w:ind w:left="2160" w:hanging="360"/>
      </w:pPr>
      <w:rPr>
        <w:rFonts w:ascii="Wingdings" w:hAnsi="Wingdings" w:cs="Wingdings" w:hint="default"/>
      </w:rPr>
    </w:lvl>
    <w:lvl w:ilvl="3" w:tplc="04050001">
      <w:start w:val="1"/>
      <w:numFmt w:val="bullet"/>
      <w:lvlText w:val=""/>
      <w:lvlJc w:val="left"/>
      <w:pPr>
        <w:ind w:left="2880" w:hanging="360"/>
      </w:pPr>
      <w:rPr>
        <w:rFonts w:ascii="Symbol" w:hAnsi="Symbol" w:cs="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cs="Wingdings" w:hint="default"/>
      </w:rPr>
    </w:lvl>
    <w:lvl w:ilvl="6" w:tplc="04050001">
      <w:start w:val="1"/>
      <w:numFmt w:val="bullet"/>
      <w:lvlText w:val=""/>
      <w:lvlJc w:val="left"/>
      <w:pPr>
        <w:ind w:left="5040" w:hanging="360"/>
      </w:pPr>
      <w:rPr>
        <w:rFonts w:ascii="Symbol" w:hAnsi="Symbol" w:cs="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cs="Wingdings" w:hint="default"/>
      </w:rPr>
    </w:lvl>
  </w:abstractNum>
  <w:abstractNum w:abstractNumId="50">
    <w:nsid w:val="51365CE1"/>
    <w:multiLevelType w:val="hybridMultilevel"/>
    <w:tmpl w:val="F34A19B8"/>
    <w:lvl w:ilvl="0" w:tplc="04050001">
      <w:start w:val="1"/>
      <w:numFmt w:val="bullet"/>
      <w:lvlText w:val=""/>
      <w:lvlJc w:val="left"/>
      <w:pPr>
        <w:ind w:left="720" w:hanging="360"/>
      </w:pPr>
      <w:rPr>
        <w:rFonts w:ascii="Symbol" w:hAnsi="Symbol" w:cs="Symbol" w:hint="default"/>
      </w:rPr>
    </w:lvl>
    <w:lvl w:ilvl="1" w:tplc="04050001">
      <w:start w:val="1"/>
      <w:numFmt w:val="bullet"/>
      <w:lvlText w:val=""/>
      <w:lvlJc w:val="left"/>
      <w:pPr>
        <w:ind w:left="1440" w:hanging="360"/>
      </w:pPr>
      <w:rPr>
        <w:rFonts w:ascii="Symbol" w:hAnsi="Symbol" w:cs="Symbol" w:hint="default"/>
      </w:rPr>
    </w:lvl>
    <w:lvl w:ilvl="2" w:tplc="04050005">
      <w:start w:val="1"/>
      <w:numFmt w:val="bullet"/>
      <w:lvlText w:val=""/>
      <w:lvlJc w:val="left"/>
      <w:pPr>
        <w:ind w:left="2160" w:hanging="360"/>
      </w:pPr>
      <w:rPr>
        <w:rFonts w:ascii="Wingdings" w:hAnsi="Wingdings" w:cs="Wingdings" w:hint="default"/>
      </w:rPr>
    </w:lvl>
    <w:lvl w:ilvl="3" w:tplc="04050001">
      <w:start w:val="1"/>
      <w:numFmt w:val="bullet"/>
      <w:lvlText w:val=""/>
      <w:lvlJc w:val="left"/>
      <w:pPr>
        <w:ind w:left="2880" w:hanging="360"/>
      </w:pPr>
      <w:rPr>
        <w:rFonts w:ascii="Symbol" w:hAnsi="Symbol" w:cs="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cs="Wingdings" w:hint="default"/>
      </w:rPr>
    </w:lvl>
    <w:lvl w:ilvl="6" w:tplc="04050001">
      <w:start w:val="1"/>
      <w:numFmt w:val="bullet"/>
      <w:lvlText w:val=""/>
      <w:lvlJc w:val="left"/>
      <w:pPr>
        <w:ind w:left="5040" w:hanging="360"/>
      </w:pPr>
      <w:rPr>
        <w:rFonts w:ascii="Symbol" w:hAnsi="Symbol" w:cs="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cs="Wingdings" w:hint="default"/>
      </w:rPr>
    </w:lvl>
  </w:abstractNum>
  <w:abstractNum w:abstractNumId="51">
    <w:nsid w:val="52B24728"/>
    <w:multiLevelType w:val="hybridMultilevel"/>
    <w:tmpl w:val="AF62CA98"/>
    <w:lvl w:ilvl="0" w:tplc="04050001">
      <w:start w:val="1"/>
      <w:numFmt w:val="bullet"/>
      <w:lvlText w:val=""/>
      <w:lvlJc w:val="left"/>
      <w:pPr>
        <w:ind w:left="720" w:hanging="360"/>
      </w:pPr>
      <w:rPr>
        <w:rFonts w:ascii="Symbol" w:hAnsi="Symbol" w:cs="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cs="Wingdings" w:hint="default"/>
      </w:rPr>
    </w:lvl>
    <w:lvl w:ilvl="3" w:tplc="04050001">
      <w:start w:val="1"/>
      <w:numFmt w:val="bullet"/>
      <w:lvlText w:val=""/>
      <w:lvlJc w:val="left"/>
      <w:pPr>
        <w:ind w:left="2880" w:hanging="360"/>
      </w:pPr>
      <w:rPr>
        <w:rFonts w:ascii="Symbol" w:hAnsi="Symbol" w:cs="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cs="Wingdings" w:hint="default"/>
      </w:rPr>
    </w:lvl>
    <w:lvl w:ilvl="6" w:tplc="04050001">
      <w:start w:val="1"/>
      <w:numFmt w:val="bullet"/>
      <w:lvlText w:val=""/>
      <w:lvlJc w:val="left"/>
      <w:pPr>
        <w:ind w:left="5040" w:hanging="360"/>
      </w:pPr>
      <w:rPr>
        <w:rFonts w:ascii="Symbol" w:hAnsi="Symbol" w:cs="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cs="Wingdings" w:hint="default"/>
      </w:rPr>
    </w:lvl>
  </w:abstractNum>
  <w:abstractNum w:abstractNumId="52">
    <w:nsid w:val="5513742B"/>
    <w:multiLevelType w:val="hybridMultilevel"/>
    <w:tmpl w:val="E2845D5C"/>
    <w:lvl w:ilvl="0" w:tplc="04050001">
      <w:start w:val="1"/>
      <w:numFmt w:val="bullet"/>
      <w:lvlText w:val=""/>
      <w:lvlJc w:val="left"/>
      <w:pPr>
        <w:ind w:left="720" w:hanging="360"/>
      </w:pPr>
      <w:rPr>
        <w:rFonts w:ascii="Symbol" w:hAnsi="Symbol" w:cs="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cs="Wingdings" w:hint="default"/>
      </w:rPr>
    </w:lvl>
    <w:lvl w:ilvl="3" w:tplc="04050001">
      <w:start w:val="1"/>
      <w:numFmt w:val="bullet"/>
      <w:lvlText w:val=""/>
      <w:lvlJc w:val="left"/>
      <w:pPr>
        <w:ind w:left="2880" w:hanging="360"/>
      </w:pPr>
      <w:rPr>
        <w:rFonts w:ascii="Symbol" w:hAnsi="Symbol" w:cs="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cs="Wingdings" w:hint="default"/>
      </w:rPr>
    </w:lvl>
    <w:lvl w:ilvl="6" w:tplc="04050001">
      <w:start w:val="1"/>
      <w:numFmt w:val="bullet"/>
      <w:lvlText w:val=""/>
      <w:lvlJc w:val="left"/>
      <w:pPr>
        <w:ind w:left="5040" w:hanging="360"/>
      </w:pPr>
      <w:rPr>
        <w:rFonts w:ascii="Symbol" w:hAnsi="Symbol" w:cs="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cs="Wingdings" w:hint="default"/>
      </w:rPr>
    </w:lvl>
  </w:abstractNum>
  <w:abstractNum w:abstractNumId="53">
    <w:nsid w:val="56147E87"/>
    <w:multiLevelType w:val="hybridMultilevel"/>
    <w:tmpl w:val="41E67DDA"/>
    <w:lvl w:ilvl="0" w:tplc="2E34EA7E">
      <w:start w:val="1"/>
      <w:numFmt w:val="bullet"/>
      <w:lvlText w:val="•"/>
      <w:lvlJc w:val="left"/>
      <w:pPr>
        <w:tabs>
          <w:tab w:val="num" w:pos="360"/>
        </w:tabs>
        <w:ind w:left="360" w:hanging="360"/>
      </w:pPr>
      <w:rPr>
        <w:rFonts w:ascii="Times New Roman" w:hAnsi="Times New Roman" w:cs="Times New Roman" w:hint="default"/>
      </w:rPr>
    </w:lvl>
    <w:lvl w:ilvl="1" w:tplc="0405001B">
      <w:start w:val="1"/>
      <w:numFmt w:val="lowerRoman"/>
      <w:lvlText w:val="%2."/>
      <w:lvlJc w:val="right"/>
      <w:pPr>
        <w:tabs>
          <w:tab w:val="num" w:pos="1080"/>
        </w:tabs>
        <w:ind w:left="1080" w:hanging="360"/>
      </w:pPr>
      <w:rPr>
        <w:rFonts w:hint="default"/>
      </w:rPr>
    </w:lvl>
    <w:lvl w:ilvl="2" w:tplc="55F055E2">
      <w:start w:val="1"/>
      <w:numFmt w:val="bullet"/>
      <w:lvlText w:val="•"/>
      <w:lvlJc w:val="left"/>
      <w:pPr>
        <w:tabs>
          <w:tab w:val="num" w:pos="1800"/>
        </w:tabs>
        <w:ind w:left="1800" w:hanging="360"/>
      </w:pPr>
      <w:rPr>
        <w:rFonts w:ascii="Times New Roman" w:hAnsi="Times New Roman" w:cs="Times New Roman" w:hint="default"/>
      </w:rPr>
    </w:lvl>
    <w:lvl w:ilvl="3" w:tplc="2AA0A352">
      <w:start w:val="1"/>
      <w:numFmt w:val="bullet"/>
      <w:lvlText w:val="•"/>
      <w:lvlJc w:val="left"/>
      <w:pPr>
        <w:tabs>
          <w:tab w:val="num" w:pos="2520"/>
        </w:tabs>
        <w:ind w:left="2520" w:hanging="360"/>
      </w:pPr>
      <w:rPr>
        <w:rFonts w:ascii="Times New Roman" w:hAnsi="Times New Roman" w:cs="Times New Roman" w:hint="default"/>
      </w:rPr>
    </w:lvl>
    <w:lvl w:ilvl="4" w:tplc="05B681C6">
      <w:start w:val="1"/>
      <w:numFmt w:val="bullet"/>
      <w:lvlText w:val="•"/>
      <w:lvlJc w:val="left"/>
      <w:pPr>
        <w:tabs>
          <w:tab w:val="num" w:pos="3240"/>
        </w:tabs>
        <w:ind w:left="3240" w:hanging="360"/>
      </w:pPr>
      <w:rPr>
        <w:rFonts w:ascii="Times New Roman" w:hAnsi="Times New Roman" w:cs="Times New Roman" w:hint="default"/>
      </w:rPr>
    </w:lvl>
    <w:lvl w:ilvl="5" w:tplc="313E9C1C">
      <w:start w:val="1"/>
      <w:numFmt w:val="bullet"/>
      <w:lvlText w:val="•"/>
      <w:lvlJc w:val="left"/>
      <w:pPr>
        <w:tabs>
          <w:tab w:val="num" w:pos="3960"/>
        </w:tabs>
        <w:ind w:left="3960" w:hanging="360"/>
      </w:pPr>
      <w:rPr>
        <w:rFonts w:ascii="Times New Roman" w:hAnsi="Times New Roman" w:cs="Times New Roman" w:hint="default"/>
      </w:rPr>
    </w:lvl>
    <w:lvl w:ilvl="6" w:tplc="5FF6CB1C">
      <w:start w:val="1"/>
      <w:numFmt w:val="bullet"/>
      <w:lvlText w:val="•"/>
      <w:lvlJc w:val="left"/>
      <w:pPr>
        <w:tabs>
          <w:tab w:val="num" w:pos="4680"/>
        </w:tabs>
        <w:ind w:left="4680" w:hanging="360"/>
      </w:pPr>
      <w:rPr>
        <w:rFonts w:ascii="Times New Roman" w:hAnsi="Times New Roman" w:cs="Times New Roman" w:hint="default"/>
      </w:rPr>
    </w:lvl>
    <w:lvl w:ilvl="7" w:tplc="8618AAB8">
      <w:start w:val="1"/>
      <w:numFmt w:val="bullet"/>
      <w:lvlText w:val="•"/>
      <w:lvlJc w:val="left"/>
      <w:pPr>
        <w:tabs>
          <w:tab w:val="num" w:pos="5400"/>
        </w:tabs>
        <w:ind w:left="5400" w:hanging="360"/>
      </w:pPr>
      <w:rPr>
        <w:rFonts w:ascii="Times New Roman" w:hAnsi="Times New Roman" w:cs="Times New Roman" w:hint="default"/>
      </w:rPr>
    </w:lvl>
    <w:lvl w:ilvl="8" w:tplc="E5184B92">
      <w:start w:val="1"/>
      <w:numFmt w:val="bullet"/>
      <w:lvlText w:val="•"/>
      <w:lvlJc w:val="left"/>
      <w:pPr>
        <w:tabs>
          <w:tab w:val="num" w:pos="6120"/>
        </w:tabs>
        <w:ind w:left="6120" w:hanging="360"/>
      </w:pPr>
      <w:rPr>
        <w:rFonts w:ascii="Times New Roman" w:hAnsi="Times New Roman" w:cs="Times New Roman" w:hint="default"/>
      </w:rPr>
    </w:lvl>
  </w:abstractNum>
  <w:abstractNum w:abstractNumId="54">
    <w:nsid w:val="57FD3D0F"/>
    <w:multiLevelType w:val="hybridMultilevel"/>
    <w:tmpl w:val="DC16C0B0"/>
    <w:lvl w:ilvl="0" w:tplc="04050001">
      <w:start w:val="1"/>
      <w:numFmt w:val="bullet"/>
      <w:lvlText w:val=""/>
      <w:lvlJc w:val="left"/>
      <w:pPr>
        <w:ind w:left="720" w:hanging="465"/>
      </w:pPr>
      <w:rPr>
        <w:rFonts w:ascii="Symbol" w:hAnsi="Symbol" w:cs="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cs="Wingdings" w:hint="default"/>
      </w:rPr>
    </w:lvl>
    <w:lvl w:ilvl="3" w:tplc="04050001">
      <w:start w:val="1"/>
      <w:numFmt w:val="bullet"/>
      <w:lvlText w:val=""/>
      <w:lvlJc w:val="left"/>
      <w:pPr>
        <w:ind w:left="2880" w:hanging="360"/>
      </w:pPr>
      <w:rPr>
        <w:rFonts w:ascii="Symbol" w:hAnsi="Symbol" w:cs="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cs="Wingdings" w:hint="default"/>
      </w:rPr>
    </w:lvl>
    <w:lvl w:ilvl="6" w:tplc="04050001">
      <w:start w:val="1"/>
      <w:numFmt w:val="bullet"/>
      <w:lvlText w:val=""/>
      <w:lvlJc w:val="left"/>
      <w:pPr>
        <w:ind w:left="5040" w:hanging="360"/>
      </w:pPr>
      <w:rPr>
        <w:rFonts w:ascii="Symbol" w:hAnsi="Symbol" w:cs="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cs="Wingdings" w:hint="default"/>
      </w:rPr>
    </w:lvl>
  </w:abstractNum>
  <w:abstractNum w:abstractNumId="55">
    <w:nsid w:val="59B54C4E"/>
    <w:multiLevelType w:val="hybridMultilevel"/>
    <w:tmpl w:val="26AC03D0"/>
    <w:lvl w:ilvl="0" w:tplc="B7A8557E">
      <w:start w:val="1"/>
      <w:numFmt w:val="lowerLetter"/>
      <w:lvlText w:val="%1)"/>
      <w:lvlJc w:val="left"/>
      <w:pPr>
        <w:ind w:left="1800" w:hanging="360"/>
      </w:pPr>
      <w:rPr>
        <w:rFonts w:hint="default"/>
      </w:rPr>
    </w:lvl>
    <w:lvl w:ilvl="1" w:tplc="04050019">
      <w:start w:val="1"/>
      <w:numFmt w:val="lowerLetter"/>
      <w:lvlText w:val="%2."/>
      <w:lvlJc w:val="left"/>
      <w:pPr>
        <w:ind w:left="2520" w:hanging="360"/>
      </w:pPr>
    </w:lvl>
    <w:lvl w:ilvl="2" w:tplc="0405001B">
      <w:start w:val="1"/>
      <w:numFmt w:val="lowerRoman"/>
      <w:lvlText w:val="%3."/>
      <w:lvlJc w:val="right"/>
      <w:pPr>
        <w:ind w:left="3240" w:hanging="180"/>
      </w:pPr>
    </w:lvl>
    <w:lvl w:ilvl="3" w:tplc="0405000F">
      <w:start w:val="1"/>
      <w:numFmt w:val="decimal"/>
      <w:lvlText w:val="%4."/>
      <w:lvlJc w:val="left"/>
      <w:pPr>
        <w:ind w:left="3960" w:hanging="360"/>
      </w:pPr>
    </w:lvl>
    <w:lvl w:ilvl="4" w:tplc="04050019">
      <w:start w:val="1"/>
      <w:numFmt w:val="lowerLetter"/>
      <w:lvlText w:val="%5."/>
      <w:lvlJc w:val="left"/>
      <w:pPr>
        <w:ind w:left="4680" w:hanging="360"/>
      </w:pPr>
    </w:lvl>
    <w:lvl w:ilvl="5" w:tplc="0405001B">
      <w:start w:val="1"/>
      <w:numFmt w:val="lowerRoman"/>
      <w:lvlText w:val="%6."/>
      <w:lvlJc w:val="right"/>
      <w:pPr>
        <w:ind w:left="5400" w:hanging="180"/>
      </w:pPr>
    </w:lvl>
    <w:lvl w:ilvl="6" w:tplc="0405000F">
      <w:start w:val="1"/>
      <w:numFmt w:val="decimal"/>
      <w:lvlText w:val="%7."/>
      <w:lvlJc w:val="left"/>
      <w:pPr>
        <w:ind w:left="6120" w:hanging="360"/>
      </w:pPr>
    </w:lvl>
    <w:lvl w:ilvl="7" w:tplc="04050019">
      <w:start w:val="1"/>
      <w:numFmt w:val="lowerLetter"/>
      <w:lvlText w:val="%8."/>
      <w:lvlJc w:val="left"/>
      <w:pPr>
        <w:ind w:left="6840" w:hanging="360"/>
      </w:pPr>
    </w:lvl>
    <w:lvl w:ilvl="8" w:tplc="0405001B">
      <w:start w:val="1"/>
      <w:numFmt w:val="lowerRoman"/>
      <w:lvlText w:val="%9."/>
      <w:lvlJc w:val="right"/>
      <w:pPr>
        <w:ind w:left="7560" w:hanging="180"/>
      </w:pPr>
    </w:lvl>
  </w:abstractNum>
  <w:abstractNum w:abstractNumId="56">
    <w:nsid w:val="5D542A3F"/>
    <w:multiLevelType w:val="hybridMultilevel"/>
    <w:tmpl w:val="606212AA"/>
    <w:lvl w:ilvl="0" w:tplc="04050001">
      <w:start w:val="1"/>
      <w:numFmt w:val="bullet"/>
      <w:lvlText w:val=""/>
      <w:lvlJc w:val="left"/>
      <w:pPr>
        <w:ind w:left="720" w:hanging="360"/>
      </w:pPr>
      <w:rPr>
        <w:rFonts w:ascii="Symbol" w:hAnsi="Symbol" w:cs="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cs="Wingdings" w:hint="default"/>
      </w:rPr>
    </w:lvl>
    <w:lvl w:ilvl="3" w:tplc="04050001">
      <w:start w:val="1"/>
      <w:numFmt w:val="bullet"/>
      <w:lvlText w:val=""/>
      <w:lvlJc w:val="left"/>
      <w:pPr>
        <w:ind w:left="2880" w:hanging="360"/>
      </w:pPr>
      <w:rPr>
        <w:rFonts w:ascii="Symbol" w:hAnsi="Symbol" w:cs="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cs="Wingdings" w:hint="default"/>
      </w:rPr>
    </w:lvl>
    <w:lvl w:ilvl="6" w:tplc="04050001">
      <w:start w:val="1"/>
      <w:numFmt w:val="bullet"/>
      <w:lvlText w:val=""/>
      <w:lvlJc w:val="left"/>
      <w:pPr>
        <w:ind w:left="5040" w:hanging="360"/>
      </w:pPr>
      <w:rPr>
        <w:rFonts w:ascii="Symbol" w:hAnsi="Symbol" w:cs="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cs="Wingdings" w:hint="default"/>
      </w:rPr>
    </w:lvl>
  </w:abstractNum>
  <w:abstractNum w:abstractNumId="57">
    <w:nsid w:val="5E830577"/>
    <w:multiLevelType w:val="hybridMultilevel"/>
    <w:tmpl w:val="D03E8316"/>
    <w:lvl w:ilvl="0" w:tplc="04050001">
      <w:start w:val="1"/>
      <w:numFmt w:val="bullet"/>
      <w:lvlText w:val=""/>
      <w:lvlJc w:val="left"/>
      <w:pPr>
        <w:ind w:left="720" w:hanging="360"/>
      </w:pPr>
      <w:rPr>
        <w:rFonts w:ascii="Symbol" w:hAnsi="Symbol" w:cs="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cs="Wingdings" w:hint="default"/>
      </w:rPr>
    </w:lvl>
    <w:lvl w:ilvl="3" w:tplc="04050001">
      <w:start w:val="1"/>
      <w:numFmt w:val="bullet"/>
      <w:lvlText w:val=""/>
      <w:lvlJc w:val="left"/>
      <w:pPr>
        <w:ind w:left="2880" w:hanging="360"/>
      </w:pPr>
      <w:rPr>
        <w:rFonts w:ascii="Symbol" w:hAnsi="Symbol" w:cs="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cs="Wingdings" w:hint="default"/>
      </w:rPr>
    </w:lvl>
    <w:lvl w:ilvl="6" w:tplc="04050001">
      <w:start w:val="1"/>
      <w:numFmt w:val="bullet"/>
      <w:lvlText w:val=""/>
      <w:lvlJc w:val="left"/>
      <w:pPr>
        <w:ind w:left="5040" w:hanging="360"/>
      </w:pPr>
      <w:rPr>
        <w:rFonts w:ascii="Symbol" w:hAnsi="Symbol" w:cs="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cs="Wingdings" w:hint="default"/>
      </w:rPr>
    </w:lvl>
  </w:abstractNum>
  <w:abstractNum w:abstractNumId="58">
    <w:nsid w:val="61BE0F2F"/>
    <w:multiLevelType w:val="hybridMultilevel"/>
    <w:tmpl w:val="6D3E501C"/>
    <w:lvl w:ilvl="0" w:tplc="04050001">
      <w:start w:val="1"/>
      <w:numFmt w:val="bullet"/>
      <w:lvlText w:val=""/>
      <w:lvlJc w:val="left"/>
      <w:pPr>
        <w:ind w:left="720" w:hanging="360"/>
      </w:pPr>
      <w:rPr>
        <w:rFonts w:ascii="Symbol" w:hAnsi="Symbol" w:cs="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cs="Wingdings" w:hint="default"/>
      </w:rPr>
    </w:lvl>
    <w:lvl w:ilvl="3" w:tplc="04050001">
      <w:start w:val="1"/>
      <w:numFmt w:val="bullet"/>
      <w:lvlText w:val=""/>
      <w:lvlJc w:val="left"/>
      <w:pPr>
        <w:ind w:left="2880" w:hanging="360"/>
      </w:pPr>
      <w:rPr>
        <w:rFonts w:ascii="Symbol" w:hAnsi="Symbol" w:cs="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cs="Wingdings" w:hint="default"/>
      </w:rPr>
    </w:lvl>
    <w:lvl w:ilvl="6" w:tplc="04050001">
      <w:start w:val="1"/>
      <w:numFmt w:val="bullet"/>
      <w:lvlText w:val=""/>
      <w:lvlJc w:val="left"/>
      <w:pPr>
        <w:ind w:left="5040" w:hanging="360"/>
      </w:pPr>
      <w:rPr>
        <w:rFonts w:ascii="Symbol" w:hAnsi="Symbol" w:cs="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cs="Wingdings" w:hint="default"/>
      </w:rPr>
    </w:lvl>
  </w:abstractNum>
  <w:abstractNum w:abstractNumId="59">
    <w:nsid w:val="62437ECA"/>
    <w:multiLevelType w:val="hybridMultilevel"/>
    <w:tmpl w:val="CD444EB0"/>
    <w:lvl w:ilvl="0" w:tplc="04050001">
      <w:start w:val="1"/>
      <w:numFmt w:val="bullet"/>
      <w:lvlText w:val=""/>
      <w:lvlJc w:val="left"/>
      <w:pPr>
        <w:ind w:left="720" w:hanging="360"/>
      </w:pPr>
      <w:rPr>
        <w:rFonts w:ascii="Symbol" w:hAnsi="Symbol" w:cs="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cs="Wingdings" w:hint="default"/>
      </w:rPr>
    </w:lvl>
    <w:lvl w:ilvl="3" w:tplc="04050001">
      <w:start w:val="1"/>
      <w:numFmt w:val="bullet"/>
      <w:lvlText w:val=""/>
      <w:lvlJc w:val="left"/>
      <w:pPr>
        <w:ind w:left="2880" w:hanging="360"/>
      </w:pPr>
      <w:rPr>
        <w:rFonts w:ascii="Symbol" w:hAnsi="Symbol" w:cs="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cs="Wingdings" w:hint="default"/>
      </w:rPr>
    </w:lvl>
    <w:lvl w:ilvl="6" w:tplc="04050001">
      <w:start w:val="1"/>
      <w:numFmt w:val="bullet"/>
      <w:lvlText w:val=""/>
      <w:lvlJc w:val="left"/>
      <w:pPr>
        <w:ind w:left="5040" w:hanging="360"/>
      </w:pPr>
      <w:rPr>
        <w:rFonts w:ascii="Symbol" w:hAnsi="Symbol" w:cs="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cs="Wingdings" w:hint="default"/>
      </w:rPr>
    </w:lvl>
  </w:abstractNum>
  <w:abstractNum w:abstractNumId="60">
    <w:nsid w:val="62A4744F"/>
    <w:multiLevelType w:val="multilevel"/>
    <w:tmpl w:val="1054E2D0"/>
    <w:lvl w:ilvl="0">
      <w:start w:val="1"/>
      <w:numFmt w:val="decimal"/>
      <w:pStyle w:val="smlouvaheading1"/>
      <w:lvlText w:val="%1"/>
      <w:lvlJc w:val="left"/>
      <w:pPr>
        <w:ind w:left="360" w:hanging="360"/>
      </w:pPr>
      <w:rPr>
        <w:rFonts w:ascii="Arial" w:hAnsi="Arial" w:cs="Arial" w:hint="default"/>
        <w:b/>
        <w:bCs/>
        <w:i w:val="0"/>
        <w:iCs w:val="0"/>
        <w:sz w:val="19"/>
        <w:szCs w:val="19"/>
      </w:rPr>
    </w:lvl>
    <w:lvl w:ilvl="1">
      <w:start w:val="1"/>
      <w:numFmt w:val="decimal"/>
      <w:pStyle w:val="smlouvaheading2"/>
      <w:lvlText w:val="%1.%2"/>
      <w:lvlJc w:val="left"/>
      <w:pPr>
        <w:ind w:left="720" w:hanging="360"/>
      </w:pPr>
      <w:rPr>
        <w:rFonts w:ascii="Arial" w:hAnsi="Arial" w:cs="Arial" w:hint="default"/>
        <w:b w:val="0"/>
        <w:bCs w:val="0"/>
        <w:i w:val="0"/>
        <w:iCs w:val="0"/>
        <w:sz w:val="19"/>
        <w:szCs w:val="19"/>
      </w:rPr>
    </w:lvl>
    <w:lvl w:ilvl="2">
      <w:start w:val="1"/>
      <w:numFmt w:val="decimal"/>
      <w:pStyle w:val="smlouvaheading3"/>
      <w:lvlText w:val="%1.%2.%3"/>
      <w:lvlJc w:val="left"/>
      <w:pPr>
        <w:ind w:left="1080" w:hanging="360"/>
      </w:pPr>
      <w:rPr>
        <w:rFonts w:ascii="Arial" w:hAnsi="Arial" w:cs="Arial" w:hint="default"/>
        <w:b w:val="0"/>
        <w:bCs w:val="0"/>
        <w:i w:val="0"/>
        <w:iCs w:val="0"/>
        <w:sz w:val="19"/>
        <w:szCs w:val="19"/>
      </w:rPr>
    </w:lvl>
    <w:lvl w:ilvl="3">
      <w:start w:val="1"/>
      <w:numFmt w:val="decimal"/>
      <w:pStyle w:val="smlouvaheading4"/>
      <w:lvlText w:val="%1.%2.%3.%4"/>
      <w:lvlJc w:val="left"/>
      <w:pPr>
        <w:ind w:left="1440" w:hanging="360"/>
      </w:pPr>
      <w:rPr>
        <w:rFonts w:ascii="Arial" w:hAnsi="Arial" w:cs="Arial" w:hint="default"/>
        <w:b w:val="0"/>
        <w:bCs w:val="0"/>
        <w:i w:val="0"/>
        <w:iCs w:val="0"/>
        <w:sz w:val="19"/>
        <w:szCs w:val="19"/>
      </w:rPr>
    </w:lvl>
    <w:lvl w:ilvl="4">
      <w:start w:val="1"/>
      <w:numFmt w:val="none"/>
      <w:lvlText w:val=""/>
      <w:lvlJc w:val="left"/>
      <w:pPr>
        <w:ind w:left="1800" w:hanging="360"/>
      </w:pPr>
      <w:rPr>
        <w:rFonts w:ascii="Arial" w:hAnsi="Arial" w:cs="Arial" w:hint="default"/>
        <w:b w:val="0"/>
        <w:bCs w:val="0"/>
        <w:i/>
        <w:iCs/>
        <w:sz w:val="19"/>
        <w:szCs w:val="19"/>
      </w:rPr>
    </w:lvl>
    <w:lvl w:ilvl="5">
      <w:start w:val="1"/>
      <w:numFmt w:val="none"/>
      <w:lvlText w:val=""/>
      <w:lvlJc w:val="left"/>
      <w:pPr>
        <w:ind w:left="2160" w:hanging="360"/>
      </w:pPr>
      <w:rPr>
        <w:rFonts w:ascii="Arial" w:hAnsi="Arial" w:cs="Arial" w:hint="default"/>
        <w:b w:val="0"/>
        <w:bCs w:val="0"/>
        <w:i/>
        <w:iCs/>
        <w:sz w:val="19"/>
        <w:szCs w:val="19"/>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1">
    <w:nsid w:val="634935A9"/>
    <w:multiLevelType w:val="hybridMultilevel"/>
    <w:tmpl w:val="FDAA157A"/>
    <w:lvl w:ilvl="0" w:tplc="938A899E">
      <w:start w:val="1"/>
      <w:numFmt w:val="bullet"/>
      <w:pStyle w:val="Bulletslevel1"/>
      <w:lvlText w:val=""/>
      <w:lvlJc w:val="left"/>
      <w:pPr>
        <w:ind w:left="720" w:hanging="360"/>
      </w:pPr>
      <w:rPr>
        <w:rFonts w:ascii="Symbol" w:hAnsi="Symbol" w:cs="Symbol" w:hint="default"/>
        <w:b w:val="0"/>
        <w:bCs w:val="0"/>
        <w:i w:val="0"/>
        <w:iCs w:val="0"/>
        <w:sz w:val="19"/>
        <w:szCs w:val="19"/>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62">
    <w:nsid w:val="65541CFF"/>
    <w:multiLevelType w:val="hybridMultilevel"/>
    <w:tmpl w:val="46DCF08A"/>
    <w:lvl w:ilvl="0" w:tplc="04050017">
      <w:start w:val="1"/>
      <w:numFmt w:val="lowerLetter"/>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63">
    <w:nsid w:val="69720739"/>
    <w:multiLevelType w:val="hybridMultilevel"/>
    <w:tmpl w:val="1006FD30"/>
    <w:lvl w:ilvl="0" w:tplc="04050001">
      <w:start w:val="1"/>
      <w:numFmt w:val="bullet"/>
      <w:lvlText w:val=""/>
      <w:lvlJc w:val="left"/>
      <w:pPr>
        <w:ind w:left="720" w:hanging="360"/>
      </w:pPr>
      <w:rPr>
        <w:rFonts w:ascii="Symbol" w:hAnsi="Symbol" w:cs="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cs="Wingdings" w:hint="default"/>
      </w:rPr>
    </w:lvl>
    <w:lvl w:ilvl="3" w:tplc="04050001">
      <w:start w:val="1"/>
      <w:numFmt w:val="bullet"/>
      <w:lvlText w:val=""/>
      <w:lvlJc w:val="left"/>
      <w:pPr>
        <w:ind w:left="2880" w:hanging="360"/>
      </w:pPr>
      <w:rPr>
        <w:rFonts w:ascii="Symbol" w:hAnsi="Symbol" w:cs="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cs="Wingdings" w:hint="default"/>
      </w:rPr>
    </w:lvl>
    <w:lvl w:ilvl="6" w:tplc="04050001">
      <w:start w:val="1"/>
      <w:numFmt w:val="bullet"/>
      <w:lvlText w:val=""/>
      <w:lvlJc w:val="left"/>
      <w:pPr>
        <w:ind w:left="5040" w:hanging="360"/>
      </w:pPr>
      <w:rPr>
        <w:rFonts w:ascii="Symbol" w:hAnsi="Symbol" w:cs="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cs="Wingdings" w:hint="default"/>
      </w:rPr>
    </w:lvl>
  </w:abstractNum>
  <w:abstractNum w:abstractNumId="64">
    <w:nsid w:val="69F34BEC"/>
    <w:multiLevelType w:val="hybridMultilevel"/>
    <w:tmpl w:val="AC5E2330"/>
    <w:lvl w:ilvl="0" w:tplc="73F868E0">
      <w:start w:val="1"/>
      <w:numFmt w:val="bullet"/>
      <w:lvlText w:val=""/>
      <w:lvlJc w:val="left"/>
      <w:pPr>
        <w:tabs>
          <w:tab w:val="num" w:pos="720"/>
        </w:tabs>
        <w:ind w:left="720" w:hanging="360"/>
      </w:pPr>
      <w:rPr>
        <w:rFonts w:ascii="Symbol" w:hAnsi="Symbol" w:cs="Symbol" w:hint="default"/>
        <w:color w:val="auto"/>
      </w:rPr>
    </w:lvl>
    <w:lvl w:ilvl="1" w:tplc="04050003">
      <w:start w:val="1"/>
      <w:numFmt w:val="bullet"/>
      <w:lvlText w:val="o"/>
      <w:lvlJc w:val="left"/>
      <w:pPr>
        <w:tabs>
          <w:tab w:val="num" w:pos="1440"/>
        </w:tabs>
        <w:ind w:left="1440" w:hanging="360"/>
      </w:pPr>
      <w:rPr>
        <w:rFonts w:ascii="Courier New" w:hAnsi="Courier New" w:cs="Courier New" w:hint="default"/>
      </w:rPr>
    </w:lvl>
    <w:lvl w:ilvl="2" w:tplc="04050005">
      <w:start w:val="1"/>
      <w:numFmt w:val="bullet"/>
      <w:lvlText w:val=""/>
      <w:lvlJc w:val="left"/>
      <w:pPr>
        <w:tabs>
          <w:tab w:val="num" w:pos="2160"/>
        </w:tabs>
        <w:ind w:left="2160" w:hanging="360"/>
      </w:pPr>
      <w:rPr>
        <w:rFonts w:ascii="Wingdings" w:hAnsi="Wingdings" w:cs="Wingdings" w:hint="default"/>
      </w:rPr>
    </w:lvl>
    <w:lvl w:ilvl="3" w:tplc="04050001">
      <w:start w:val="1"/>
      <w:numFmt w:val="bullet"/>
      <w:lvlText w:val=""/>
      <w:lvlJc w:val="left"/>
      <w:pPr>
        <w:tabs>
          <w:tab w:val="num" w:pos="2880"/>
        </w:tabs>
        <w:ind w:left="2880" w:hanging="360"/>
      </w:pPr>
      <w:rPr>
        <w:rFonts w:ascii="Symbol" w:hAnsi="Symbol" w:cs="Symbol" w:hint="default"/>
      </w:rPr>
    </w:lvl>
    <w:lvl w:ilvl="4" w:tplc="04050003">
      <w:start w:val="1"/>
      <w:numFmt w:val="bullet"/>
      <w:lvlText w:val="o"/>
      <w:lvlJc w:val="left"/>
      <w:pPr>
        <w:tabs>
          <w:tab w:val="num" w:pos="3600"/>
        </w:tabs>
        <w:ind w:left="3600" w:hanging="360"/>
      </w:pPr>
      <w:rPr>
        <w:rFonts w:ascii="Courier New" w:hAnsi="Courier New" w:cs="Courier New" w:hint="default"/>
      </w:rPr>
    </w:lvl>
    <w:lvl w:ilvl="5" w:tplc="04050005">
      <w:start w:val="1"/>
      <w:numFmt w:val="bullet"/>
      <w:lvlText w:val=""/>
      <w:lvlJc w:val="left"/>
      <w:pPr>
        <w:tabs>
          <w:tab w:val="num" w:pos="4320"/>
        </w:tabs>
        <w:ind w:left="4320" w:hanging="360"/>
      </w:pPr>
      <w:rPr>
        <w:rFonts w:ascii="Wingdings" w:hAnsi="Wingdings" w:cs="Wingdings" w:hint="default"/>
      </w:rPr>
    </w:lvl>
    <w:lvl w:ilvl="6" w:tplc="04050001">
      <w:start w:val="1"/>
      <w:numFmt w:val="bullet"/>
      <w:lvlText w:val=""/>
      <w:lvlJc w:val="left"/>
      <w:pPr>
        <w:tabs>
          <w:tab w:val="num" w:pos="5040"/>
        </w:tabs>
        <w:ind w:left="5040" w:hanging="360"/>
      </w:pPr>
      <w:rPr>
        <w:rFonts w:ascii="Symbol" w:hAnsi="Symbol" w:cs="Symbol" w:hint="default"/>
      </w:rPr>
    </w:lvl>
    <w:lvl w:ilvl="7" w:tplc="04050003">
      <w:start w:val="1"/>
      <w:numFmt w:val="bullet"/>
      <w:lvlText w:val="o"/>
      <w:lvlJc w:val="left"/>
      <w:pPr>
        <w:tabs>
          <w:tab w:val="num" w:pos="5760"/>
        </w:tabs>
        <w:ind w:left="5760" w:hanging="360"/>
      </w:pPr>
      <w:rPr>
        <w:rFonts w:ascii="Courier New" w:hAnsi="Courier New" w:cs="Courier New" w:hint="default"/>
      </w:rPr>
    </w:lvl>
    <w:lvl w:ilvl="8" w:tplc="04050005">
      <w:start w:val="1"/>
      <w:numFmt w:val="bullet"/>
      <w:lvlText w:val=""/>
      <w:lvlJc w:val="left"/>
      <w:pPr>
        <w:tabs>
          <w:tab w:val="num" w:pos="6480"/>
        </w:tabs>
        <w:ind w:left="6480" w:hanging="360"/>
      </w:pPr>
      <w:rPr>
        <w:rFonts w:ascii="Wingdings" w:hAnsi="Wingdings" w:cs="Wingdings" w:hint="default"/>
      </w:rPr>
    </w:lvl>
  </w:abstractNum>
  <w:abstractNum w:abstractNumId="65">
    <w:nsid w:val="6AAD31B1"/>
    <w:multiLevelType w:val="hybridMultilevel"/>
    <w:tmpl w:val="2E9EE0E8"/>
    <w:lvl w:ilvl="0" w:tplc="04050001">
      <w:start w:val="1"/>
      <w:numFmt w:val="bullet"/>
      <w:lvlText w:val=""/>
      <w:lvlJc w:val="left"/>
      <w:pPr>
        <w:ind w:left="774" w:hanging="360"/>
      </w:pPr>
      <w:rPr>
        <w:rFonts w:ascii="Symbol" w:hAnsi="Symbol" w:cs="Symbol" w:hint="default"/>
      </w:rPr>
    </w:lvl>
    <w:lvl w:ilvl="1" w:tplc="04050003">
      <w:start w:val="1"/>
      <w:numFmt w:val="bullet"/>
      <w:lvlText w:val="o"/>
      <w:lvlJc w:val="left"/>
      <w:pPr>
        <w:ind w:left="1494" w:hanging="360"/>
      </w:pPr>
      <w:rPr>
        <w:rFonts w:ascii="Courier New" w:hAnsi="Courier New" w:cs="Courier New" w:hint="default"/>
      </w:rPr>
    </w:lvl>
    <w:lvl w:ilvl="2" w:tplc="04050005">
      <w:start w:val="1"/>
      <w:numFmt w:val="bullet"/>
      <w:lvlText w:val=""/>
      <w:lvlJc w:val="left"/>
      <w:pPr>
        <w:ind w:left="2214" w:hanging="360"/>
      </w:pPr>
      <w:rPr>
        <w:rFonts w:ascii="Wingdings" w:hAnsi="Wingdings" w:cs="Wingdings" w:hint="default"/>
      </w:rPr>
    </w:lvl>
    <w:lvl w:ilvl="3" w:tplc="04050001">
      <w:start w:val="1"/>
      <w:numFmt w:val="bullet"/>
      <w:lvlText w:val=""/>
      <w:lvlJc w:val="left"/>
      <w:pPr>
        <w:ind w:left="2934" w:hanging="360"/>
      </w:pPr>
      <w:rPr>
        <w:rFonts w:ascii="Symbol" w:hAnsi="Symbol" w:cs="Symbol" w:hint="default"/>
      </w:rPr>
    </w:lvl>
    <w:lvl w:ilvl="4" w:tplc="04050003">
      <w:start w:val="1"/>
      <w:numFmt w:val="bullet"/>
      <w:lvlText w:val="o"/>
      <w:lvlJc w:val="left"/>
      <w:pPr>
        <w:ind w:left="3654" w:hanging="360"/>
      </w:pPr>
      <w:rPr>
        <w:rFonts w:ascii="Courier New" w:hAnsi="Courier New" w:cs="Courier New" w:hint="default"/>
      </w:rPr>
    </w:lvl>
    <w:lvl w:ilvl="5" w:tplc="04050005">
      <w:start w:val="1"/>
      <w:numFmt w:val="bullet"/>
      <w:lvlText w:val=""/>
      <w:lvlJc w:val="left"/>
      <w:pPr>
        <w:ind w:left="4374" w:hanging="360"/>
      </w:pPr>
      <w:rPr>
        <w:rFonts w:ascii="Wingdings" w:hAnsi="Wingdings" w:cs="Wingdings" w:hint="default"/>
      </w:rPr>
    </w:lvl>
    <w:lvl w:ilvl="6" w:tplc="04050001">
      <w:start w:val="1"/>
      <w:numFmt w:val="bullet"/>
      <w:lvlText w:val=""/>
      <w:lvlJc w:val="left"/>
      <w:pPr>
        <w:ind w:left="5094" w:hanging="360"/>
      </w:pPr>
      <w:rPr>
        <w:rFonts w:ascii="Symbol" w:hAnsi="Symbol" w:cs="Symbol" w:hint="default"/>
      </w:rPr>
    </w:lvl>
    <w:lvl w:ilvl="7" w:tplc="04050003">
      <w:start w:val="1"/>
      <w:numFmt w:val="bullet"/>
      <w:lvlText w:val="o"/>
      <w:lvlJc w:val="left"/>
      <w:pPr>
        <w:ind w:left="5814" w:hanging="360"/>
      </w:pPr>
      <w:rPr>
        <w:rFonts w:ascii="Courier New" w:hAnsi="Courier New" w:cs="Courier New" w:hint="default"/>
      </w:rPr>
    </w:lvl>
    <w:lvl w:ilvl="8" w:tplc="04050005">
      <w:start w:val="1"/>
      <w:numFmt w:val="bullet"/>
      <w:lvlText w:val=""/>
      <w:lvlJc w:val="left"/>
      <w:pPr>
        <w:ind w:left="6534" w:hanging="360"/>
      </w:pPr>
      <w:rPr>
        <w:rFonts w:ascii="Wingdings" w:hAnsi="Wingdings" w:cs="Wingdings" w:hint="default"/>
      </w:rPr>
    </w:lvl>
  </w:abstractNum>
  <w:abstractNum w:abstractNumId="66">
    <w:nsid w:val="6AAF1A1F"/>
    <w:multiLevelType w:val="multilevel"/>
    <w:tmpl w:val="048EFB80"/>
    <w:lvl w:ilvl="0">
      <w:start w:val="1"/>
      <w:numFmt w:val="decimal"/>
      <w:isLgl/>
      <w:lvlText w:val="(%1)"/>
      <w:lvlJc w:val="left"/>
      <w:pPr>
        <w:tabs>
          <w:tab w:val="num" w:pos="782"/>
        </w:tabs>
        <w:ind w:firstLine="425"/>
      </w:pPr>
    </w:lvl>
    <w:lvl w:ilvl="1">
      <w:start w:val="1"/>
      <w:numFmt w:val="lowerLetter"/>
      <w:lvlText w:val="%2)"/>
      <w:lvlJc w:val="left"/>
      <w:pPr>
        <w:tabs>
          <w:tab w:val="num" w:pos="425"/>
        </w:tabs>
        <w:ind w:left="425" w:hanging="425"/>
      </w:pPr>
    </w:lvl>
    <w:lvl w:ilvl="2">
      <w:start w:val="1"/>
      <w:numFmt w:val="decimal"/>
      <w:isLgl/>
      <w:lvlText w:val="%3."/>
      <w:lvlJc w:val="left"/>
      <w:pPr>
        <w:tabs>
          <w:tab w:val="num" w:pos="850"/>
        </w:tabs>
        <w:ind w:left="850" w:hanging="425"/>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520"/>
        </w:tabs>
        <w:ind w:left="2160" w:hanging="360"/>
      </w:pPr>
    </w:lvl>
    <w:lvl w:ilvl="6">
      <w:start w:val="1"/>
      <w:numFmt w:val="decimal"/>
      <w:pStyle w:val="Textodstavce"/>
      <w:lvlText w:val="(%7)"/>
      <w:lvlJc w:val="left"/>
      <w:pPr>
        <w:tabs>
          <w:tab w:val="num" w:pos="785"/>
        </w:tabs>
        <w:ind w:firstLine="425"/>
      </w:pPr>
    </w:lvl>
    <w:lvl w:ilvl="7">
      <w:start w:val="1"/>
      <w:numFmt w:val="lowerLetter"/>
      <w:pStyle w:val="Textpsmene"/>
      <w:lvlText w:val="%8)"/>
      <w:lvlJc w:val="left"/>
      <w:pPr>
        <w:tabs>
          <w:tab w:val="num" w:pos="425"/>
        </w:tabs>
        <w:ind w:left="425" w:hanging="425"/>
      </w:pPr>
    </w:lvl>
    <w:lvl w:ilvl="8">
      <w:start w:val="1"/>
      <w:numFmt w:val="decimal"/>
      <w:pStyle w:val="Textbodu"/>
      <w:lvlText w:val="%9."/>
      <w:lvlJc w:val="left"/>
      <w:pPr>
        <w:tabs>
          <w:tab w:val="num" w:pos="851"/>
        </w:tabs>
        <w:ind w:left="851" w:hanging="426"/>
      </w:pPr>
    </w:lvl>
  </w:abstractNum>
  <w:abstractNum w:abstractNumId="67">
    <w:nsid w:val="6C0844A3"/>
    <w:multiLevelType w:val="hybridMultilevel"/>
    <w:tmpl w:val="46DCF08A"/>
    <w:lvl w:ilvl="0" w:tplc="04050017">
      <w:start w:val="1"/>
      <w:numFmt w:val="lowerLetter"/>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68">
    <w:nsid w:val="722830FF"/>
    <w:multiLevelType w:val="hybridMultilevel"/>
    <w:tmpl w:val="D394920A"/>
    <w:lvl w:ilvl="0" w:tplc="04050001">
      <w:start w:val="1"/>
      <w:numFmt w:val="bullet"/>
      <w:lvlText w:val=""/>
      <w:lvlJc w:val="left"/>
      <w:pPr>
        <w:ind w:left="975" w:hanging="360"/>
      </w:pPr>
      <w:rPr>
        <w:rFonts w:ascii="Symbol" w:hAnsi="Symbol" w:cs="Symbol" w:hint="default"/>
      </w:rPr>
    </w:lvl>
    <w:lvl w:ilvl="1" w:tplc="04050003">
      <w:start w:val="1"/>
      <w:numFmt w:val="bullet"/>
      <w:lvlText w:val="o"/>
      <w:lvlJc w:val="left"/>
      <w:pPr>
        <w:ind w:left="1695" w:hanging="360"/>
      </w:pPr>
      <w:rPr>
        <w:rFonts w:ascii="Courier New" w:hAnsi="Courier New" w:cs="Courier New" w:hint="default"/>
      </w:rPr>
    </w:lvl>
    <w:lvl w:ilvl="2" w:tplc="04050005">
      <w:start w:val="1"/>
      <w:numFmt w:val="bullet"/>
      <w:lvlText w:val=""/>
      <w:lvlJc w:val="left"/>
      <w:pPr>
        <w:ind w:left="2415" w:hanging="360"/>
      </w:pPr>
      <w:rPr>
        <w:rFonts w:ascii="Wingdings" w:hAnsi="Wingdings" w:cs="Wingdings" w:hint="default"/>
      </w:rPr>
    </w:lvl>
    <w:lvl w:ilvl="3" w:tplc="04050001">
      <w:start w:val="1"/>
      <w:numFmt w:val="bullet"/>
      <w:lvlText w:val=""/>
      <w:lvlJc w:val="left"/>
      <w:pPr>
        <w:ind w:left="3135" w:hanging="360"/>
      </w:pPr>
      <w:rPr>
        <w:rFonts w:ascii="Symbol" w:hAnsi="Symbol" w:cs="Symbol" w:hint="default"/>
      </w:rPr>
    </w:lvl>
    <w:lvl w:ilvl="4" w:tplc="04050003">
      <w:start w:val="1"/>
      <w:numFmt w:val="bullet"/>
      <w:lvlText w:val="o"/>
      <w:lvlJc w:val="left"/>
      <w:pPr>
        <w:ind w:left="3855" w:hanging="360"/>
      </w:pPr>
      <w:rPr>
        <w:rFonts w:ascii="Courier New" w:hAnsi="Courier New" w:cs="Courier New" w:hint="default"/>
      </w:rPr>
    </w:lvl>
    <w:lvl w:ilvl="5" w:tplc="04050005">
      <w:start w:val="1"/>
      <w:numFmt w:val="bullet"/>
      <w:lvlText w:val=""/>
      <w:lvlJc w:val="left"/>
      <w:pPr>
        <w:ind w:left="4575" w:hanging="360"/>
      </w:pPr>
      <w:rPr>
        <w:rFonts w:ascii="Wingdings" w:hAnsi="Wingdings" w:cs="Wingdings" w:hint="default"/>
      </w:rPr>
    </w:lvl>
    <w:lvl w:ilvl="6" w:tplc="04050001">
      <w:start w:val="1"/>
      <w:numFmt w:val="bullet"/>
      <w:lvlText w:val=""/>
      <w:lvlJc w:val="left"/>
      <w:pPr>
        <w:ind w:left="5295" w:hanging="360"/>
      </w:pPr>
      <w:rPr>
        <w:rFonts w:ascii="Symbol" w:hAnsi="Symbol" w:cs="Symbol" w:hint="default"/>
      </w:rPr>
    </w:lvl>
    <w:lvl w:ilvl="7" w:tplc="04050003">
      <w:start w:val="1"/>
      <w:numFmt w:val="bullet"/>
      <w:lvlText w:val="o"/>
      <w:lvlJc w:val="left"/>
      <w:pPr>
        <w:ind w:left="6015" w:hanging="360"/>
      </w:pPr>
      <w:rPr>
        <w:rFonts w:ascii="Courier New" w:hAnsi="Courier New" w:cs="Courier New" w:hint="default"/>
      </w:rPr>
    </w:lvl>
    <w:lvl w:ilvl="8" w:tplc="04050005">
      <w:start w:val="1"/>
      <w:numFmt w:val="bullet"/>
      <w:lvlText w:val=""/>
      <w:lvlJc w:val="left"/>
      <w:pPr>
        <w:ind w:left="6735" w:hanging="360"/>
      </w:pPr>
      <w:rPr>
        <w:rFonts w:ascii="Wingdings" w:hAnsi="Wingdings" w:cs="Wingdings" w:hint="default"/>
      </w:rPr>
    </w:lvl>
  </w:abstractNum>
  <w:abstractNum w:abstractNumId="69">
    <w:nsid w:val="73B0670B"/>
    <w:multiLevelType w:val="hybridMultilevel"/>
    <w:tmpl w:val="6D40BC86"/>
    <w:lvl w:ilvl="0" w:tplc="185A853E">
      <w:start w:val="1"/>
      <w:numFmt w:val="decimal"/>
      <w:lvlText w:val="%1."/>
      <w:lvlJc w:val="left"/>
      <w:pPr>
        <w:ind w:left="720" w:hanging="360"/>
      </w:pPr>
      <w:rPr>
        <w:rFonts w:hint="default"/>
        <w:b w:val="0"/>
        <w:bCs w:val="0"/>
      </w:r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70">
    <w:nsid w:val="764872A5"/>
    <w:multiLevelType w:val="hybridMultilevel"/>
    <w:tmpl w:val="E3C0D964"/>
    <w:lvl w:ilvl="0" w:tplc="73F868E0">
      <w:start w:val="1"/>
      <w:numFmt w:val="bullet"/>
      <w:lvlText w:val=""/>
      <w:lvlJc w:val="left"/>
      <w:pPr>
        <w:tabs>
          <w:tab w:val="num" w:pos="720"/>
        </w:tabs>
        <w:ind w:left="720" w:hanging="360"/>
      </w:pPr>
      <w:rPr>
        <w:rFonts w:ascii="Symbol" w:hAnsi="Symbol" w:cs="Symbol" w:hint="default"/>
        <w:color w:val="auto"/>
      </w:rPr>
    </w:lvl>
    <w:lvl w:ilvl="1" w:tplc="04050003">
      <w:start w:val="1"/>
      <w:numFmt w:val="bullet"/>
      <w:lvlText w:val="o"/>
      <w:lvlJc w:val="left"/>
      <w:pPr>
        <w:tabs>
          <w:tab w:val="num" w:pos="1440"/>
        </w:tabs>
        <w:ind w:left="1440" w:hanging="360"/>
      </w:pPr>
      <w:rPr>
        <w:rFonts w:ascii="Courier New" w:hAnsi="Courier New" w:cs="Courier New" w:hint="default"/>
      </w:rPr>
    </w:lvl>
    <w:lvl w:ilvl="2" w:tplc="04050005">
      <w:start w:val="1"/>
      <w:numFmt w:val="bullet"/>
      <w:lvlText w:val=""/>
      <w:lvlJc w:val="left"/>
      <w:pPr>
        <w:tabs>
          <w:tab w:val="num" w:pos="2160"/>
        </w:tabs>
        <w:ind w:left="2160" w:hanging="360"/>
      </w:pPr>
      <w:rPr>
        <w:rFonts w:ascii="Wingdings" w:hAnsi="Wingdings" w:cs="Wingdings" w:hint="default"/>
      </w:rPr>
    </w:lvl>
    <w:lvl w:ilvl="3" w:tplc="04050001">
      <w:start w:val="1"/>
      <w:numFmt w:val="bullet"/>
      <w:lvlText w:val=""/>
      <w:lvlJc w:val="left"/>
      <w:pPr>
        <w:tabs>
          <w:tab w:val="num" w:pos="2880"/>
        </w:tabs>
        <w:ind w:left="2880" w:hanging="360"/>
      </w:pPr>
      <w:rPr>
        <w:rFonts w:ascii="Symbol" w:hAnsi="Symbol" w:cs="Symbol" w:hint="default"/>
      </w:rPr>
    </w:lvl>
    <w:lvl w:ilvl="4" w:tplc="04050003">
      <w:start w:val="1"/>
      <w:numFmt w:val="bullet"/>
      <w:lvlText w:val="o"/>
      <w:lvlJc w:val="left"/>
      <w:pPr>
        <w:tabs>
          <w:tab w:val="num" w:pos="3600"/>
        </w:tabs>
        <w:ind w:left="3600" w:hanging="360"/>
      </w:pPr>
      <w:rPr>
        <w:rFonts w:ascii="Courier New" w:hAnsi="Courier New" w:cs="Courier New" w:hint="default"/>
      </w:rPr>
    </w:lvl>
    <w:lvl w:ilvl="5" w:tplc="04050005">
      <w:start w:val="1"/>
      <w:numFmt w:val="bullet"/>
      <w:lvlText w:val=""/>
      <w:lvlJc w:val="left"/>
      <w:pPr>
        <w:tabs>
          <w:tab w:val="num" w:pos="4320"/>
        </w:tabs>
        <w:ind w:left="4320" w:hanging="360"/>
      </w:pPr>
      <w:rPr>
        <w:rFonts w:ascii="Wingdings" w:hAnsi="Wingdings" w:cs="Wingdings" w:hint="default"/>
      </w:rPr>
    </w:lvl>
    <w:lvl w:ilvl="6" w:tplc="04050001">
      <w:start w:val="1"/>
      <w:numFmt w:val="bullet"/>
      <w:lvlText w:val=""/>
      <w:lvlJc w:val="left"/>
      <w:pPr>
        <w:tabs>
          <w:tab w:val="num" w:pos="5040"/>
        </w:tabs>
        <w:ind w:left="5040" w:hanging="360"/>
      </w:pPr>
      <w:rPr>
        <w:rFonts w:ascii="Symbol" w:hAnsi="Symbol" w:cs="Symbol" w:hint="default"/>
      </w:rPr>
    </w:lvl>
    <w:lvl w:ilvl="7" w:tplc="04050003">
      <w:start w:val="1"/>
      <w:numFmt w:val="bullet"/>
      <w:lvlText w:val="o"/>
      <w:lvlJc w:val="left"/>
      <w:pPr>
        <w:tabs>
          <w:tab w:val="num" w:pos="5760"/>
        </w:tabs>
        <w:ind w:left="5760" w:hanging="360"/>
      </w:pPr>
      <w:rPr>
        <w:rFonts w:ascii="Courier New" w:hAnsi="Courier New" w:cs="Courier New" w:hint="default"/>
      </w:rPr>
    </w:lvl>
    <w:lvl w:ilvl="8" w:tplc="04050005">
      <w:start w:val="1"/>
      <w:numFmt w:val="bullet"/>
      <w:lvlText w:val=""/>
      <w:lvlJc w:val="left"/>
      <w:pPr>
        <w:tabs>
          <w:tab w:val="num" w:pos="6480"/>
        </w:tabs>
        <w:ind w:left="6480" w:hanging="360"/>
      </w:pPr>
      <w:rPr>
        <w:rFonts w:ascii="Wingdings" w:hAnsi="Wingdings" w:cs="Wingdings" w:hint="default"/>
      </w:rPr>
    </w:lvl>
  </w:abstractNum>
  <w:abstractNum w:abstractNumId="71">
    <w:nsid w:val="7A042E1C"/>
    <w:multiLevelType w:val="hybridMultilevel"/>
    <w:tmpl w:val="4E965330"/>
    <w:lvl w:ilvl="0" w:tplc="DF020D94">
      <w:start w:val="1"/>
      <w:numFmt w:val="bullet"/>
      <w:lvlText w:val="•"/>
      <w:lvlJc w:val="left"/>
      <w:pPr>
        <w:tabs>
          <w:tab w:val="num" w:pos="720"/>
        </w:tabs>
        <w:ind w:left="720" w:hanging="360"/>
      </w:pPr>
      <w:rPr>
        <w:rFonts w:ascii="Arial" w:hAnsi="Arial" w:cs="Arial" w:hint="default"/>
      </w:rPr>
    </w:lvl>
    <w:lvl w:ilvl="1" w:tplc="479E054E">
      <w:start w:val="1"/>
      <w:numFmt w:val="bullet"/>
      <w:lvlText w:val="•"/>
      <w:lvlJc w:val="left"/>
      <w:pPr>
        <w:tabs>
          <w:tab w:val="num" w:pos="1440"/>
        </w:tabs>
        <w:ind w:left="1440" w:hanging="360"/>
      </w:pPr>
      <w:rPr>
        <w:rFonts w:ascii="Arial" w:hAnsi="Arial" w:cs="Arial" w:hint="default"/>
      </w:rPr>
    </w:lvl>
    <w:lvl w:ilvl="2" w:tplc="DED89FA2">
      <w:start w:val="1"/>
      <w:numFmt w:val="bullet"/>
      <w:lvlText w:val="•"/>
      <w:lvlJc w:val="left"/>
      <w:pPr>
        <w:tabs>
          <w:tab w:val="num" w:pos="2160"/>
        </w:tabs>
        <w:ind w:left="2160" w:hanging="360"/>
      </w:pPr>
      <w:rPr>
        <w:rFonts w:ascii="Arial" w:hAnsi="Arial" w:cs="Arial" w:hint="default"/>
      </w:rPr>
    </w:lvl>
    <w:lvl w:ilvl="3" w:tplc="7346C342">
      <w:start w:val="1"/>
      <w:numFmt w:val="bullet"/>
      <w:lvlText w:val="•"/>
      <w:lvlJc w:val="left"/>
      <w:pPr>
        <w:tabs>
          <w:tab w:val="num" w:pos="2880"/>
        </w:tabs>
        <w:ind w:left="2880" w:hanging="360"/>
      </w:pPr>
      <w:rPr>
        <w:rFonts w:ascii="Arial" w:hAnsi="Arial" w:cs="Arial" w:hint="default"/>
      </w:rPr>
    </w:lvl>
    <w:lvl w:ilvl="4" w:tplc="5D841464">
      <w:start w:val="1"/>
      <w:numFmt w:val="bullet"/>
      <w:lvlText w:val="•"/>
      <w:lvlJc w:val="left"/>
      <w:pPr>
        <w:tabs>
          <w:tab w:val="num" w:pos="3600"/>
        </w:tabs>
        <w:ind w:left="3600" w:hanging="360"/>
      </w:pPr>
      <w:rPr>
        <w:rFonts w:ascii="Arial" w:hAnsi="Arial" w:cs="Arial" w:hint="default"/>
      </w:rPr>
    </w:lvl>
    <w:lvl w:ilvl="5" w:tplc="8E1097D4">
      <w:start w:val="1"/>
      <w:numFmt w:val="bullet"/>
      <w:lvlText w:val="•"/>
      <w:lvlJc w:val="left"/>
      <w:pPr>
        <w:tabs>
          <w:tab w:val="num" w:pos="4320"/>
        </w:tabs>
        <w:ind w:left="4320" w:hanging="360"/>
      </w:pPr>
      <w:rPr>
        <w:rFonts w:ascii="Arial" w:hAnsi="Arial" w:cs="Arial" w:hint="default"/>
      </w:rPr>
    </w:lvl>
    <w:lvl w:ilvl="6" w:tplc="30FA49CC">
      <w:start w:val="1"/>
      <w:numFmt w:val="bullet"/>
      <w:lvlText w:val="•"/>
      <w:lvlJc w:val="left"/>
      <w:pPr>
        <w:tabs>
          <w:tab w:val="num" w:pos="5040"/>
        </w:tabs>
        <w:ind w:left="5040" w:hanging="360"/>
      </w:pPr>
      <w:rPr>
        <w:rFonts w:ascii="Arial" w:hAnsi="Arial" w:cs="Arial" w:hint="default"/>
      </w:rPr>
    </w:lvl>
    <w:lvl w:ilvl="7" w:tplc="9C0E4F5A">
      <w:start w:val="1"/>
      <w:numFmt w:val="bullet"/>
      <w:lvlText w:val="•"/>
      <w:lvlJc w:val="left"/>
      <w:pPr>
        <w:tabs>
          <w:tab w:val="num" w:pos="5760"/>
        </w:tabs>
        <w:ind w:left="5760" w:hanging="360"/>
      </w:pPr>
      <w:rPr>
        <w:rFonts w:ascii="Arial" w:hAnsi="Arial" w:cs="Arial" w:hint="default"/>
      </w:rPr>
    </w:lvl>
    <w:lvl w:ilvl="8" w:tplc="8A38F794">
      <w:start w:val="1"/>
      <w:numFmt w:val="bullet"/>
      <w:lvlText w:val="•"/>
      <w:lvlJc w:val="left"/>
      <w:pPr>
        <w:tabs>
          <w:tab w:val="num" w:pos="6480"/>
        </w:tabs>
        <w:ind w:left="6480" w:hanging="360"/>
      </w:pPr>
      <w:rPr>
        <w:rFonts w:ascii="Arial" w:hAnsi="Arial" w:cs="Arial" w:hint="default"/>
      </w:rPr>
    </w:lvl>
  </w:abstractNum>
  <w:abstractNum w:abstractNumId="72">
    <w:nsid w:val="7B826C46"/>
    <w:multiLevelType w:val="hybridMultilevel"/>
    <w:tmpl w:val="159C7F4E"/>
    <w:lvl w:ilvl="0" w:tplc="04050001">
      <w:start w:val="1"/>
      <w:numFmt w:val="bullet"/>
      <w:lvlText w:val=""/>
      <w:lvlJc w:val="left"/>
      <w:pPr>
        <w:ind w:left="720" w:hanging="360"/>
      </w:pPr>
      <w:rPr>
        <w:rFonts w:ascii="Symbol" w:hAnsi="Symbol" w:cs="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cs="Wingdings" w:hint="default"/>
      </w:rPr>
    </w:lvl>
    <w:lvl w:ilvl="3" w:tplc="04050001">
      <w:start w:val="1"/>
      <w:numFmt w:val="bullet"/>
      <w:lvlText w:val=""/>
      <w:lvlJc w:val="left"/>
      <w:pPr>
        <w:ind w:left="2880" w:hanging="360"/>
      </w:pPr>
      <w:rPr>
        <w:rFonts w:ascii="Symbol" w:hAnsi="Symbol" w:cs="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cs="Wingdings" w:hint="default"/>
      </w:rPr>
    </w:lvl>
    <w:lvl w:ilvl="6" w:tplc="04050001">
      <w:start w:val="1"/>
      <w:numFmt w:val="bullet"/>
      <w:lvlText w:val=""/>
      <w:lvlJc w:val="left"/>
      <w:pPr>
        <w:ind w:left="5040" w:hanging="360"/>
      </w:pPr>
      <w:rPr>
        <w:rFonts w:ascii="Symbol" w:hAnsi="Symbol" w:cs="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cs="Wingdings" w:hint="default"/>
      </w:rPr>
    </w:lvl>
  </w:abstractNum>
  <w:abstractNum w:abstractNumId="73">
    <w:nsid w:val="7EB64D90"/>
    <w:multiLevelType w:val="hybridMultilevel"/>
    <w:tmpl w:val="C9265DBE"/>
    <w:lvl w:ilvl="0" w:tplc="04050001">
      <w:start w:val="1"/>
      <w:numFmt w:val="bullet"/>
      <w:lvlText w:val=""/>
      <w:lvlJc w:val="left"/>
      <w:pPr>
        <w:ind w:left="720" w:hanging="360"/>
      </w:pPr>
      <w:rPr>
        <w:rFonts w:ascii="Symbol" w:hAnsi="Symbol" w:cs="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cs="Wingdings" w:hint="default"/>
      </w:rPr>
    </w:lvl>
    <w:lvl w:ilvl="3" w:tplc="04050001">
      <w:start w:val="1"/>
      <w:numFmt w:val="bullet"/>
      <w:lvlText w:val=""/>
      <w:lvlJc w:val="left"/>
      <w:pPr>
        <w:ind w:left="2880" w:hanging="360"/>
      </w:pPr>
      <w:rPr>
        <w:rFonts w:ascii="Symbol" w:hAnsi="Symbol" w:cs="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cs="Wingdings" w:hint="default"/>
      </w:rPr>
    </w:lvl>
    <w:lvl w:ilvl="6" w:tplc="04050001">
      <w:start w:val="1"/>
      <w:numFmt w:val="bullet"/>
      <w:lvlText w:val=""/>
      <w:lvlJc w:val="left"/>
      <w:pPr>
        <w:ind w:left="5040" w:hanging="360"/>
      </w:pPr>
      <w:rPr>
        <w:rFonts w:ascii="Symbol" w:hAnsi="Symbol" w:cs="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cs="Wingdings" w:hint="default"/>
      </w:rPr>
    </w:lvl>
  </w:abstractNum>
  <w:num w:numId="1">
    <w:abstractNumId w:val="61"/>
  </w:num>
  <w:num w:numId="2">
    <w:abstractNumId w:val="41"/>
  </w:num>
  <w:num w:numId="3">
    <w:abstractNumId w:val="14"/>
  </w:num>
  <w:num w:numId="4">
    <w:abstractNumId w:val="60"/>
  </w:num>
  <w:num w:numId="5">
    <w:abstractNumId w:val="25"/>
  </w:num>
  <w:num w:numId="6">
    <w:abstractNumId w:val="66"/>
  </w:num>
  <w:num w:numId="7">
    <w:abstractNumId w:val="53"/>
  </w:num>
  <w:num w:numId="8">
    <w:abstractNumId w:val="62"/>
  </w:num>
  <w:num w:numId="9">
    <w:abstractNumId w:val="67"/>
  </w:num>
  <w:num w:numId="10">
    <w:abstractNumId w:val="20"/>
  </w:num>
  <w:num w:numId="11">
    <w:abstractNumId w:val="11"/>
  </w:num>
  <w:num w:numId="12">
    <w:abstractNumId w:val="27"/>
  </w:num>
  <w:num w:numId="13">
    <w:abstractNumId w:val="3"/>
  </w:num>
  <w:num w:numId="14">
    <w:abstractNumId w:val="5"/>
  </w:num>
  <w:num w:numId="15">
    <w:abstractNumId w:val="37"/>
  </w:num>
  <w:num w:numId="16">
    <w:abstractNumId w:val="23"/>
  </w:num>
  <w:num w:numId="17">
    <w:abstractNumId w:val="39"/>
  </w:num>
  <w:num w:numId="18">
    <w:abstractNumId w:val="55"/>
  </w:num>
  <w:num w:numId="19">
    <w:abstractNumId w:val="68"/>
  </w:num>
  <w:num w:numId="20">
    <w:abstractNumId w:val="54"/>
  </w:num>
  <w:num w:numId="21">
    <w:abstractNumId w:val="42"/>
  </w:num>
  <w:num w:numId="22">
    <w:abstractNumId w:val="65"/>
  </w:num>
  <w:num w:numId="23">
    <w:abstractNumId w:val="21"/>
  </w:num>
  <w:num w:numId="24">
    <w:abstractNumId w:val="26"/>
  </w:num>
  <w:num w:numId="25">
    <w:abstractNumId w:val="49"/>
  </w:num>
  <w:num w:numId="26">
    <w:abstractNumId w:val="50"/>
  </w:num>
  <w:num w:numId="27">
    <w:abstractNumId w:val="69"/>
  </w:num>
  <w:num w:numId="28">
    <w:abstractNumId w:val="16"/>
  </w:num>
  <w:num w:numId="29">
    <w:abstractNumId w:val="58"/>
  </w:num>
  <w:num w:numId="30">
    <w:abstractNumId w:val="35"/>
  </w:num>
  <w:num w:numId="31">
    <w:abstractNumId w:val="6"/>
  </w:num>
  <w:num w:numId="32">
    <w:abstractNumId w:val="1"/>
  </w:num>
  <w:num w:numId="33">
    <w:abstractNumId w:val="30"/>
  </w:num>
  <w:num w:numId="34">
    <w:abstractNumId w:val="10"/>
  </w:num>
  <w:num w:numId="35">
    <w:abstractNumId w:val="31"/>
  </w:num>
  <w:num w:numId="36">
    <w:abstractNumId w:val="9"/>
  </w:num>
  <w:num w:numId="37">
    <w:abstractNumId w:val="12"/>
  </w:num>
  <w:num w:numId="38">
    <w:abstractNumId w:val="0"/>
  </w:num>
  <w:num w:numId="39">
    <w:abstractNumId w:val="56"/>
  </w:num>
  <w:num w:numId="40">
    <w:abstractNumId w:val="17"/>
  </w:num>
  <w:num w:numId="41">
    <w:abstractNumId w:val="38"/>
  </w:num>
  <w:num w:numId="42">
    <w:abstractNumId w:val="51"/>
  </w:num>
  <w:num w:numId="43">
    <w:abstractNumId w:val="45"/>
  </w:num>
  <w:num w:numId="44">
    <w:abstractNumId w:val="40"/>
  </w:num>
  <w:num w:numId="45">
    <w:abstractNumId w:val="59"/>
  </w:num>
  <w:num w:numId="46">
    <w:abstractNumId w:val="47"/>
  </w:num>
  <w:num w:numId="47">
    <w:abstractNumId w:val="34"/>
  </w:num>
  <w:num w:numId="48">
    <w:abstractNumId w:val="18"/>
  </w:num>
  <w:num w:numId="49">
    <w:abstractNumId w:val="19"/>
  </w:num>
  <w:num w:numId="50">
    <w:abstractNumId w:val="48"/>
  </w:num>
  <w:num w:numId="51">
    <w:abstractNumId w:val="7"/>
  </w:num>
  <w:num w:numId="52">
    <w:abstractNumId w:val="73"/>
  </w:num>
  <w:num w:numId="53">
    <w:abstractNumId w:val="52"/>
  </w:num>
  <w:num w:numId="54">
    <w:abstractNumId w:val="72"/>
  </w:num>
  <w:num w:numId="55">
    <w:abstractNumId w:val="33"/>
  </w:num>
  <w:num w:numId="56">
    <w:abstractNumId w:val="24"/>
  </w:num>
  <w:num w:numId="57">
    <w:abstractNumId w:val="15"/>
  </w:num>
  <w:num w:numId="58">
    <w:abstractNumId w:val="2"/>
  </w:num>
  <w:num w:numId="59">
    <w:abstractNumId w:val="57"/>
  </w:num>
  <w:num w:numId="60">
    <w:abstractNumId w:val="63"/>
  </w:num>
  <w:num w:numId="61">
    <w:abstractNumId w:val="22"/>
  </w:num>
  <w:num w:numId="62">
    <w:abstractNumId w:val="71"/>
  </w:num>
  <w:num w:numId="63">
    <w:abstractNumId w:val="13"/>
  </w:num>
  <w:num w:numId="64">
    <w:abstractNumId w:val="43"/>
  </w:num>
  <w:num w:numId="65">
    <w:abstractNumId w:val="32"/>
  </w:num>
  <w:num w:numId="66">
    <w:abstractNumId w:val="28"/>
  </w:num>
  <w:num w:numId="67">
    <w:abstractNumId w:val="4"/>
  </w:num>
  <w:num w:numId="68">
    <w:abstractNumId w:val="46"/>
  </w:num>
  <w:num w:numId="69">
    <w:abstractNumId w:val="8"/>
  </w:num>
  <w:num w:numId="70">
    <w:abstractNumId w:val="44"/>
  </w:num>
  <w:num w:numId="71">
    <w:abstractNumId w:val="70"/>
  </w:num>
  <w:num w:numId="72">
    <w:abstractNumId w:val="64"/>
  </w:num>
  <w:num w:numId="73">
    <w:abstractNumId w:val="36"/>
  </w:num>
  <w:num w:numId="74">
    <w:abstractNumId w:val="29"/>
  </w:num>
  <w:numIdMacAtCleanup w:val="7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PersonalInformation/>
  <w:embedSystemFonts/>
  <w:proofState w:spelling="clean" w:grammar="clean"/>
  <w:defaultTabStop w:val="720"/>
  <w:hyphenationZone w:val="425"/>
  <w:doNotHyphenateCaps/>
  <w:drawingGridHorizontalSpacing w:val="120"/>
  <w:displayHorizontalDrawingGridEvery w:val="2"/>
  <w:displayVerticalDrawingGridEvery w:val="2"/>
  <w:noPunctuationKerning/>
  <w:characterSpacingControl w:val="doNotCompress"/>
  <w:doNotValidateAgainstSchema/>
  <w:doNotDemarcateInvalidXml/>
  <w:hdrShapeDefaults>
    <o:shapedefaults v:ext="edit" spidmax="2052"/>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F795F"/>
    <w:rsid w:val="000001DA"/>
    <w:rsid w:val="00000B40"/>
    <w:rsid w:val="00000FA0"/>
    <w:rsid w:val="000016A5"/>
    <w:rsid w:val="00001DB2"/>
    <w:rsid w:val="00002015"/>
    <w:rsid w:val="000025AD"/>
    <w:rsid w:val="000025DC"/>
    <w:rsid w:val="00002DD8"/>
    <w:rsid w:val="00003D22"/>
    <w:rsid w:val="00003F0E"/>
    <w:rsid w:val="00004074"/>
    <w:rsid w:val="000043EF"/>
    <w:rsid w:val="000043F9"/>
    <w:rsid w:val="0000505A"/>
    <w:rsid w:val="00005BCA"/>
    <w:rsid w:val="0000698A"/>
    <w:rsid w:val="00006E63"/>
    <w:rsid w:val="000079AF"/>
    <w:rsid w:val="00010409"/>
    <w:rsid w:val="0001090F"/>
    <w:rsid w:val="00011767"/>
    <w:rsid w:val="00011947"/>
    <w:rsid w:val="00011F73"/>
    <w:rsid w:val="00012452"/>
    <w:rsid w:val="0001338D"/>
    <w:rsid w:val="00013958"/>
    <w:rsid w:val="00013E7A"/>
    <w:rsid w:val="000151F5"/>
    <w:rsid w:val="000155DE"/>
    <w:rsid w:val="00015CDE"/>
    <w:rsid w:val="0001667F"/>
    <w:rsid w:val="00016A56"/>
    <w:rsid w:val="000171CA"/>
    <w:rsid w:val="00020100"/>
    <w:rsid w:val="00020599"/>
    <w:rsid w:val="00020A5B"/>
    <w:rsid w:val="0002147A"/>
    <w:rsid w:val="00021BDA"/>
    <w:rsid w:val="000228EC"/>
    <w:rsid w:val="000229CF"/>
    <w:rsid w:val="00023A38"/>
    <w:rsid w:val="00023FE8"/>
    <w:rsid w:val="00024479"/>
    <w:rsid w:val="00024752"/>
    <w:rsid w:val="000252FB"/>
    <w:rsid w:val="00025463"/>
    <w:rsid w:val="0002549A"/>
    <w:rsid w:val="00025E39"/>
    <w:rsid w:val="00026130"/>
    <w:rsid w:val="00027A8C"/>
    <w:rsid w:val="00027EAA"/>
    <w:rsid w:val="000300EB"/>
    <w:rsid w:val="00030A35"/>
    <w:rsid w:val="00030C5B"/>
    <w:rsid w:val="00030CC4"/>
    <w:rsid w:val="00031353"/>
    <w:rsid w:val="000315D4"/>
    <w:rsid w:val="00031DE1"/>
    <w:rsid w:val="000322AF"/>
    <w:rsid w:val="00032433"/>
    <w:rsid w:val="00033F44"/>
    <w:rsid w:val="00035556"/>
    <w:rsid w:val="00035962"/>
    <w:rsid w:val="000359C0"/>
    <w:rsid w:val="0003604F"/>
    <w:rsid w:val="00036243"/>
    <w:rsid w:val="00036753"/>
    <w:rsid w:val="000368BB"/>
    <w:rsid w:val="000371F0"/>
    <w:rsid w:val="00040888"/>
    <w:rsid w:val="000408FC"/>
    <w:rsid w:val="0004141B"/>
    <w:rsid w:val="000425C1"/>
    <w:rsid w:val="000429BA"/>
    <w:rsid w:val="000430F4"/>
    <w:rsid w:val="0004327A"/>
    <w:rsid w:val="00043598"/>
    <w:rsid w:val="00043EDB"/>
    <w:rsid w:val="0004486E"/>
    <w:rsid w:val="0004532F"/>
    <w:rsid w:val="000454A3"/>
    <w:rsid w:val="000455DD"/>
    <w:rsid w:val="0004574D"/>
    <w:rsid w:val="00045D18"/>
    <w:rsid w:val="00045FA3"/>
    <w:rsid w:val="00046696"/>
    <w:rsid w:val="000469E8"/>
    <w:rsid w:val="00046E01"/>
    <w:rsid w:val="0005004D"/>
    <w:rsid w:val="000506C2"/>
    <w:rsid w:val="00050785"/>
    <w:rsid w:val="00050858"/>
    <w:rsid w:val="00050D77"/>
    <w:rsid w:val="000519F9"/>
    <w:rsid w:val="00052204"/>
    <w:rsid w:val="00052A4B"/>
    <w:rsid w:val="0005313A"/>
    <w:rsid w:val="000532CF"/>
    <w:rsid w:val="000538B4"/>
    <w:rsid w:val="0005430D"/>
    <w:rsid w:val="00056347"/>
    <w:rsid w:val="000564C8"/>
    <w:rsid w:val="00056D2B"/>
    <w:rsid w:val="00056EC7"/>
    <w:rsid w:val="00056EEA"/>
    <w:rsid w:val="00057198"/>
    <w:rsid w:val="000577BB"/>
    <w:rsid w:val="00060B9F"/>
    <w:rsid w:val="000610A4"/>
    <w:rsid w:val="00061AEC"/>
    <w:rsid w:val="00061B71"/>
    <w:rsid w:val="000630DB"/>
    <w:rsid w:val="0006387C"/>
    <w:rsid w:val="000645CA"/>
    <w:rsid w:val="0006463D"/>
    <w:rsid w:val="00064B3D"/>
    <w:rsid w:val="00064F83"/>
    <w:rsid w:val="000652D8"/>
    <w:rsid w:val="00065632"/>
    <w:rsid w:val="00065B97"/>
    <w:rsid w:val="000660B0"/>
    <w:rsid w:val="00066183"/>
    <w:rsid w:val="00067028"/>
    <w:rsid w:val="0006774B"/>
    <w:rsid w:val="00067A9C"/>
    <w:rsid w:val="0007020C"/>
    <w:rsid w:val="00070952"/>
    <w:rsid w:val="00070FC4"/>
    <w:rsid w:val="00071428"/>
    <w:rsid w:val="0007219D"/>
    <w:rsid w:val="0007345C"/>
    <w:rsid w:val="000737F8"/>
    <w:rsid w:val="000747B7"/>
    <w:rsid w:val="000748A7"/>
    <w:rsid w:val="00074B6E"/>
    <w:rsid w:val="00074D2F"/>
    <w:rsid w:val="00074EC4"/>
    <w:rsid w:val="00075479"/>
    <w:rsid w:val="0007555C"/>
    <w:rsid w:val="00075C1E"/>
    <w:rsid w:val="00075E23"/>
    <w:rsid w:val="00076EAF"/>
    <w:rsid w:val="0007716E"/>
    <w:rsid w:val="00077505"/>
    <w:rsid w:val="00077786"/>
    <w:rsid w:val="00077E2C"/>
    <w:rsid w:val="00077E72"/>
    <w:rsid w:val="00080830"/>
    <w:rsid w:val="0008096B"/>
    <w:rsid w:val="0008115C"/>
    <w:rsid w:val="00081533"/>
    <w:rsid w:val="00081B83"/>
    <w:rsid w:val="00081C4B"/>
    <w:rsid w:val="00082528"/>
    <w:rsid w:val="00082B9C"/>
    <w:rsid w:val="00083122"/>
    <w:rsid w:val="000847B0"/>
    <w:rsid w:val="000847F7"/>
    <w:rsid w:val="00084E5F"/>
    <w:rsid w:val="00085548"/>
    <w:rsid w:val="000857D3"/>
    <w:rsid w:val="00085E03"/>
    <w:rsid w:val="00086040"/>
    <w:rsid w:val="00086548"/>
    <w:rsid w:val="000865AD"/>
    <w:rsid w:val="000869EB"/>
    <w:rsid w:val="00086A3D"/>
    <w:rsid w:val="00086F47"/>
    <w:rsid w:val="000878C1"/>
    <w:rsid w:val="0008794A"/>
    <w:rsid w:val="00087CA8"/>
    <w:rsid w:val="00087DD3"/>
    <w:rsid w:val="000900CE"/>
    <w:rsid w:val="00090619"/>
    <w:rsid w:val="00090AF2"/>
    <w:rsid w:val="00091802"/>
    <w:rsid w:val="00091DDE"/>
    <w:rsid w:val="00091F91"/>
    <w:rsid w:val="000923F9"/>
    <w:rsid w:val="0009250B"/>
    <w:rsid w:val="00092C71"/>
    <w:rsid w:val="00093071"/>
    <w:rsid w:val="0009318C"/>
    <w:rsid w:val="0009345F"/>
    <w:rsid w:val="00093D58"/>
    <w:rsid w:val="00093E24"/>
    <w:rsid w:val="00093ED5"/>
    <w:rsid w:val="00094580"/>
    <w:rsid w:val="00094761"/>
    <w:rsid w:val="00095956"/>
    <w:rsid w:val="00095CE7"/>
    <w:rsid w:val="00096148"/>
    <w:rsid w:val="000961A0"/>
    <w:rsid w:val="000965B6"/>
    <w:rsid w:val="000966AC"/>
    <w:rsid w:val="0009673C"/>
    <w:rsid w:val="0009695F"/>
    <w:rsid w:val="0009702A"/>
    <w:rsid w:val="000976CE"/>
    <w:rsid w:val="0009791B"/>
    <w:rsid w:val="000979B7"/>
    <w:rsid w:val="000979ED"/>
    <w:rsid w:val="00097B50"/>
    <w:rsid w:val="00097D90"/>
    <w:rsid w:val="000A14FE"/>
    <w:rsid w:val="000A17F0"/>
    <w:rsid w:val="000A25AE"/>
    <w:rsid w:val="000A2D4D"/>
    <w:rsid w:val="000A2FB6"/>
    <w:rsid w:val="000A30F6"/>
    <w:rsid w:val="000A3642"/>
    <w:rsid w:val="000A3A02"/>
    <w:rsid w:val="000A4971"/>
    <w:rsid w:val="000A4C39"/>
    <w:rsid w:val="000A4CD9"/>
    <w:rsid w:val="000A505D"/>
    <w:rsid w:val="000A53DD"/>
    <w:rsid w:val="000A544E"/>
    <w:rsid w:val="000A58D4"/>
    <w:rsid w:val="000A602C"/>
    <w:rsid w:val="000A67C9"/>
    <w:rsid w:val="000A6919"/>
    <w:rsid w:val="000A6960"/>
    <w:rsid w:val="000A6B86"/>
    <w:rsid w:val="000A7EC9"/>
    <w:rsid w:val="000B002F"/>
    <w:rsid w:val="000B0043"/>
    <w:rsid w:val="000B024D"/>
    <w:rsid w:val="000B24F1"/>
    <w:rsid w:val="000B2607"/>
    <w:rsid w:val="000B27CB"/>
    <w:rsid w:val="000B32E9"/>
    <w:rsid w:val="000B36CD"/>
    <w:rsid w:val="000B3DD9"/>
    <w:rsid w:val="000B486D"/>
    <w:rsid w:val="000B6A4F"/>
    <w:rsid w:val="000B7233"/>
    <w:rsid w:val="000B735B"/>
    <w:rsid w:val="000B7751"/>
    <w:rsid w:val="000C05AF"/>
    <w:rsid w:val="000C07D2"/>
    <w:rsid w:val="000C1BDF"/>
    <w:rsid w:val="000C36D5"/>
    <w:rsid w:val="000C5272"/>
    <w:rsid w:val="000C5837"/>
    <w:rsid w:val="000C5B71"/>
    <w:rsid w:val="000C5FE9"/>
    <w:rsid w:val="000C6034"/>
    <w:rsid w:val="000C608C"/>
    <w:rsid w:val="000C6BE6"/>
    <w:rsid w:val="000C704C"/>
    <w:rsid w:val="000C7976"/>
    <w:rsid w:val="000D00A9"/>
    <w:rsid w:val="000D014A"/>
    <w:rsid w:val="000D046F"/>
    <w:rsid w:val="000D04C5"/>
    <w:rsid w:val="000D0514"/>
    <w:rsid w:val="000D0AA5"/>
    <w:rsid w:val="000D0C74"/>
    <w:rsid w:val="000D0CBA"/>
    <w:rsid w:val="000D0D31"/>
    <w:rsid w:val="000D18CD"/>
    <w:rsid w:val="000D25E4"/>
    <w:rsid w:val="000D2B56"/>
    <w:rsid w:val="000D2BF4"/>
    <w:rsid w:val="000D31E9"/>
    <w:rsid w:val="000D328F"/>
    <w:rsid w:val="000D32A5"/>
    <w:rsid w:val="000D3E27"/>
    <w:rsid w:val="000D4287"/>
    <w:rsid w:val="000D42FA"/>
    <w:rsid w:val="000D4720"/>
    <w:rsid w:val="000D63F0"/>
    <w:rsid w:val="000D6461"/>
    <w:rsid w:val="000D77DB"/>
    <w:rsid w:val="000D7DB9"/>
    <w:rsid w:val="000D7E31"/>
    <w:rsid w:val="000E006F"/>
    <w:rsid w:val="000E03F9"/>
    <w:rsid w:val="000E049A"/>
    <w:rsid w:val="000E0CF8"/>
    <w:rsid w:val="000E1338"/>
    <w:rsid w:val="000E1F57"/>
    <w:rsid w:val="000E25A5"/>
    <w:rsid w:val="000E2A6F"/>
    <w:rsid w:val="000E2C65"/>
    <w:rsid w:val="000E2F48"/>
    <w:rsid w:val="000E310E"/>
    <w:rsid w:val="000E3A40"/>
    <w:rsid w:val="000E403F"/>
    <w:rsid w:val="000E49FF"/>
    <w:rsid w:val="000E4CE4"/>
    <w:rsid w:val="000E56B4"/>
    <w:rsid w:val="000E663A"/>
    <w:rsid w:val="000E72BF"/>
    <w:rsid w:val="000E7A9E"/>
    <w:rsid w:val="000F0FE6"/>
    <w:rsid w:val="000F149C"/>
    <w:rsid w:val="000F158F"/>
    <w:rsid w:val="000F2AFA"/>
    <w:rsid w:val="000F2FFD"/>
    <w:rsid w:val="000F3057"/>
    <w:rsid w:val="000F31DA"/>
    <w:rsid w:val="000F4155"/>
    <w:rsid w:val="000F458A"/>
    <w:rsid w:val="000F4BCA"/>
    <w:rsid w:val="000F55F6"/>
    <w:rsid w:val="000F56B8"/>
    <w:rsid w:val="000F5980"/>
    <w:rsid w:val="000F5EBF"/>
    <w:rsid w:val="000F6779"/>
    <w:rsid w:val="000F6935"/>
    <w:rsid w:val="000F6D41"/>
    <w:rsid w:val="000F729F"/>
    <w:rsid w:val="000F74BD"/>
    <w:rsid w:val="000F7687"/>
    <w:rsid w:val="000F7D71"/>
    <w:rsid w:val="000F7DEB"/>
    <w:rsid w:val="000F7F45"/>
    <w:rsid w:val="00100287"/>
    <w:rsid w:val="0010035E"/>
    <w:rsid w:val="00100D3B"/>
    <w:rsid w:val="00101113"/>
    <w:rsid w:val="00102243"/>
    <w:rsid w:val="00103140"/>
    <w:rsid w:val="0010320F"/>
    <w:rsid w:val="00103611"/>
    <w:rsid w:val="00103C3A"/>
    <w:rsid w:val="00104960"/>
    <w:rsid w:val="00104B28"/>
    <w:rsid w:val="00104C19"/>
    <w:rsid w:val="00104CF9"/>
    <w:rsid w:val="00104E31"/>
    <w:rsid w:val="00105724"/>
    <w:rsid w:val="00107665"/>
    <w:rsid w:val="00107F5E"/>
    <w:rsid w:val="001107EF"/>
    <w:rsid w:val="00111EE4"/>
    <w:rsid w:val="00112062"/>
    <w:rsid w:val="00112085"/>
    <w:rsid w:val="00112588"/>
    <w:rsid w:val="0011374A"/>
    <w:rsid w:val="001148BF"/>
    <w:rsid w:val="00114D2C"/>
    <w:rsid w:val="00115B68"/>
    <w:rsid w:val="0011692E"/>
    <w:rsid w:val="00117284"/>
    <w:rsid w:val="00117898"/>
    <w:rsid w:val="00117A6A"/>
    <w:rsid w:val="001206DF"/>
    <w:rsid w:val="00120CE8"/>
    <w:rsid w:val="001216B7"/>
    <w:rsid w:val="0012189F"/>
    <w:rsid w:val="00121F2D"/>
    <w:rsid w:val="001223BA"/>
    <w:rsid w:val="00122A1A"/>
    <w:rsid w:val="00122FAE"/>
    <w:rsid w:val="0012336B"/>
    <w:rsid w:val="001233A5"/>
    <w:rsid w:val="001234D2"/>
    <w:rsid w:val="001277D4"/>
    <w:rsid w:val="00127950"/>
    <w:rsid w:val="00127B64"/>
    <w:rsid w:val="00130DF5"/>
    <w:rsid w:val="00130E70"/>
    <w:rsid w:val="00130FF6"/>
    <w:rsid w:val="00131266"/>
    <w:rsid w:val="00131689"/>
    <w:rsid w:val="0013182A"/>
    <w:rsid w:val="0013184D"/>
    <w:rsid w:val="0013198C"/>
    <w:rsid w:val="00132753"/>
    <w:rsid w:val="00132AD1"/>
    <w:rsid w:val="00132CC6"/>
    <w:rsid w:val="001333E5"/>
    <w:rsid w:val="00133951"/>
    <w:rsid w:val="00134221"/>
    <w:rsid w:val="00134E6C"/>
    <w:rsid w:val="00135340"/>
    <w:rsid w:val="001365E4"/>
    <w:rsid w:val="0013675C"/>
    <w:rsid w:val="00137909"/>
    <w:rsid w:val="00137B33"/>
    <w:rsid w:val="00137D54"/>
    <w:rsid w:val="001407E7"/>
    <w:rsid w:val="001415D0"/>
    <w:rsid w:val="00141D59"/>
    <w:rsid w:val="001421E4"/>
    <w:rsid w:val="0014231B"/>
    <w:rsid w:val="0014290C"/>
    <w:rsid w:val="001430AB"/>
    <w:rsid w:val="00143205"/>
    <w:rsid w:val="001436FE"/>
    <w:rsid w:val="00143775"/>
    <w:rsid w:val="00143808"/>
    <w:rsid w:val="00143AD7"/>
    <w:rsid w:val="00143FAC"/>
    <w:rsid w:val="00144FB6"/>
    <w:rsid w:val="001452B6"/>
    <w:rsid w:val="00146483"/>
    <w:rsid w:val="001465DE"/>
    <w:rsid w:val="00146904"/>
    <w:rsid w:val="00146A78"/>
    <w:rsid w:val="00146B02"/>
    <w:rsid w:val="00146D48"/>
    <w:rsid w:val="0014724F"/>
    <w:rsid w:val="0015002C"/>
    <w:rsid w:val="00150097"/>
    <w:rsid w:val="00150BB2"/>
    <w:rsid w:val="00150CC0"/>
    <w:rsid w:val="0015189C"/>
    <w:rsid w:val="0015229A"/>
    <w:rsid w:val="0015233E"/>
    <w:rsid w:val="00152CAC"/>
    <w:rsid w:val="00153822"/>
    <w:rsid w:val="00153928"/>
    <w:rsid w:val="00155201"/>
    <w:rsid w:val="0015537B"/>
    <w:rsid w:val="001557F1"/>
    <w:rsid w:val="001566C4"/>
    <w:rsid w:val="00156A4E"/>
    <w:rsid w:val="00156AE9"/>
    <w:rsid w:val="00156C68"/>
    <w:rsid w:val="001570E1"/>
    <w:rsid w:val="001573DD"/>
    <w:rsid w:val="00157660"/>
    <w:rsid w:val="001577C5"/>
    <w:rsid w:val="00157F46"/>
    <w:rsid w:val="00160197"/>
    <w:rsid w:val="0016054C"/>
    <w:rsid w:val="00160DE2"/>
    <w:rsid w:val="001616AE"/>
    <w:rsid w:val="00161E60"/>
    <w:rsid w:val="001633B5"/>
    <w:rsid w:val="0016364D"/>
    <w:rsid w:val="001643FB"/>
    <w:rsid w:val="001645DF"/>
    <w:rsid w:val="001645EA"/>
    <w:rsid w:val="00164FA2"/>
    <w:rsid w:val="00164FE1"/>
    <w:rsid w:val="00164FEA"/>
    <w:rsid w:val="00165453"/>
    <w:rsid w:val="00165FFA"/>
    <w:rsid w:val="0016648D"/>
    <w:rsid w:val="0016673A"/>
    <w:rsid w:val="0016676F"/>
    <w:rsid w:val="00167043"/>
    <w:rsid w:val="00167967"/>
    <w:rsid w:val="00167A27"/>
    <w:rsid w:val="00167A57"/>
    <w:rsid w:val="00167FD3"/>
    <w:rsid w:val="001701B9"/>
    <w:rsid w:val="00170237"/>
    <w:rsid w:val="00170595"/>
    <w:rsid w:val="00170609"/>
    <w:rsid w:val="00170BCF"/>
    <w:rsid w:val="0017190E"/>
    <w:rsid w:val="00171986"/>
    <w:rsid w:val="00172576"/>
    <w:rsid w:val="00172814"/>
    <w:rsid w:val="00172F31"/>
    <w:rsid w:val="001731F7"/>
    <w:rsid w:val="001740B9"/>
    <w:rsid w:val="00174A65"/>
    <w:rsid w:val="00174ADF"/>
    <w:rsid w:val="00174AFE"/>
    <w:rsid w:val="00174BA6"/>
    <w:rsid w:val="00175074"/>
    <w:rsid w:val="00175D08"/>
    <w:rsid w:val="0017697C"/>
    <w:rsid w:val="00180976"/>
    <w:rsid w:val="00180BDF"/>
    <w:rsid w:val="00180E33"/>
    <w:rsid w:val="00180F85"/>
    <w:rsid w:val="00181206"/>
    <w:rsid w:val="00181FD4"/>
    <w:rsid w:val="00182989"/>
    <w:rsid w:val="00182A1B"/>
    <w:rsid w:val="00182BAA"/>
    <w:rsid w:val="00182C05"/>
    <w:rsid w:val="00183C37"/>
    <w:rsid w:val="00183D67"/>
    <w:rsid w:val="00184170"/>
    <w:rsid w:val="001841F5"/>
    <w:rsid w:val="00184674"/>
    <w:rsid w:val="00184C04"/>
    <w:rsid w:val="00184EA4"/>
    <w:rsid w:val="001851CD"/>
    <w:rsid w:val="001859ED"/>
    <w:rsid w:val="0018643B"/>
    <w:rsid w:val="00186A76"/>
    <w:rsid w:val="00186C92"/>
    <w:rsid w:val="00186CD7"/>
    <w:rsid w:val="00187448"/>
    <w:rsid w:val="00187D49"/>
    <w:rsid w:val="00190C36"/>
    <w:rsid w:val="00191710"/>
    <w:rsid w:val="00192169"/>
    <w:rsid w:val="0019258B"/>
    <w:rsid w:val="001925DF"/>
    <w:rsid w:val="00192AC5"/>
    <w:rsid w:val="00192D1C"/>
    <w:rsid w:val="00192D2E"/>
    <w:rsid w:val="0019319B"/>
    <w:rsid w:val="00194408"/>
    <w:rsid w:val="001947EF"/>
    <w:rsid w:val="00194930"/>
    <w:rsid w:val="001955EF"/>
    <w:rsid w:val="0019571A"/>
    <w:rsid w:val="00195DF5"/>
    <w:rsid w:val="00196087"/>
    <w:rsid w:val="001A0464"/>
    <w:rsid w:val="001A12A1"/>
    <w:rsid w:val="001A1571"/>
    <w:rsid w:val="001A19F7"/>
    <w:rsid w:val="001A2B93"/>
    <w:rsid w:val="001A3229"/>
    <w:rsid w:val="001A3801"/>
    <w:rsid w:val="001A41CF"/>
    <w:rsid w:val="001A42F7"/>
    <w:rsid w:val="001A4820"/>
    <w:rsid w:val="001A4E24"/>
    <w:rsid w:val="001A55FB"/>
    <w:rsid w:val="001A57C5"/>
    <w:rsid w:val="001A71A4"/>
    <w:rsid w:val="001A7640"/>
    <w:rsid w:val="001B0078"/>
    <w:rsid w:val="001B08B2"/>
    <w:rsid w:val="001B0E53"/>
    <w:rsid w:val="001B12D4"/>
    <w:rsid w:val="001B1796"/>
    <w:rsid w:val="001B1822"/>
    <w:rsid w:val="001B1841"/>
    <w:rsid w:val="001B31DC"/>
    <w:rsid w:val="001B36B5"/>
    <w:rsid w:val="001B3D79"/>
    <w:rsid w:val="001B3F1E"/>
    <w:rsid w:val="001B442D"/>
    <w:rsid w:val="001B4924"/>
    <w:rsid w:val="001B49CA"/>
    <w:rsid w:val="001B4E6E"/>
    <w:rsid w:val="001B536E"/>
    <w:rsid w:val="001B576D"/>
    <w:rsid w:val="001B5A2A"/>
    <w:rsid w:val="001B5E34"/>
    <w:rsid w:val="001B677C"/>
    <w:rsid w:val="001B6950"/>
    <w:rsid w:val="001B6D3C"/>
    <w:rsid w:val="001B6E17"/>
    <w:rsid w:val="001B6EFB"/>
    <w:rsid w:val="001B722C"/>
    <w:rsid w:val="001B74DB"/>
    <w:rsid w:val="001B74F6"/>
    <w:rsid w:val="001B766B"/>
    <w:rsid w:val="001B7A30"/>
    <w:rsid w:val="001C01CC"/>
    <w:rsid w:val="001C176F"/>
    <w:rsid w:val="001C1ABF"/>
    <w:rsid w:val="001C2BDF"/>
    <w:rsid w:val="001C2DB7"/>
    <w:rsid w:val="001C2EF4"/>
    <w:rsid w:val="001C3461"/>
    <w:rsid w:val="001C354C"/>
    <w:rsid w:val="001C385A"/>
    <w:rsid w:val="001C454C"/>
    <w:rsid w:val="001C4829"/>
    <w:rsid w:val="001C4C03"/>
    <w:rsid w:val="001C4CC8"/>
    <w:rsid w:val="001C50FF"/>
    <w:rsid w:val="001C6515"/>
    <w:rsid w:val="001C687C"/>
    <w:rsid w:val="001C71BB"/>
    <w:rsid w:val="001C77D0"/>
    <w:rsid w:val="001C7B33"/>
    <w:rsid w:val="001D0C26"/>
    <w:rsid w:val="001D1557"/>
    <w:rsid w:val="001D1FD9"/>
    <w:rsid w:val="001D267A"/>
    <w:rsid w:val="001D2CEB"/>
    <w:rsid w:val="001D4BE6"/>
    <w:rsid w:val="001D50AD"/>
    <w:rsid w:val="001D50BA"/>
    <w:rsid w:val="001D58A7"/>
    <w:rsid w:val="001D5AEE"/>
    <w:rsid w:val="001D5F2D"/>
    <w:rsid w:val="001D663A"/>
    <w:rsid w:val="001D66FC"/>
    <w:rsid w:val="001D7D69"/>
    <w:rsid w:val="001D7F13"/>
    <w:rsid w:val="001D7FDD"/>
    <w:rsid w:val="001E0AD4"/>
    <w:rsid w:val="001E0FE4"/>
    <w:rsid w:val="001E1169"/>
    <w:rsid w:val="001E1B92"/>
    <w:rsid w:val="001E2459"/>
    <w:rsid w:val="001E280F"/>
    <w:rsid w:val="001E2A77"/>
    <w:rsid w:val="001E348D"/>
    <w:rsid w:val="001E3587"/>
    <w:rsid w:val="001E3617"/>
    <w:rsid w:val="001E4D4A"/>
    <w:rsid w:val="001E5134"/>
    <w:rsid w:val="001E6AD0"/>
    <w:rsid w:val="001E6FDA"/>
    <w:rsid w:val="001E76F5"/>
    <w:rsid w:val="001E7B1F"/>
    <w:rsid w:val="001F05F7"/>
    <w:rsid w:val="001F0BA2"/>
    <w:rsid w:val="001F0C13"/>
    <w:rsid w:val="001F0C2B"/>
    <w:rsid w:val="001F0E9C"/>
    <w:rsid w:val="001F168E"/>
    <w:rsid w:val="001F177F"/>
    <w:rsid w:val="001F3860"/>
    <w:rsid w:val="001F4AC0"/>
    <w:rsid w:val="001F4BEB"/>
    <w:rsid w:val="001F5C19"/>
    <w:rsid w:val="001F6017"/>
    <w:rsid w:val="001F71A7"/>
    <w:rsid w:val="00200231"/>
    <w:rsid w:val="0020068E"/>
    <w:rsid w:val="00200D33"/>
    <w:rsid w:val="00200E4F"/>
    <w:rsid w:val="00200FF8"/>
    <w:rsid w:val="00201155"/>
    <w:rsid w:val="002019B6"/>
    <w:rsid w:val="00201B2A"/>
    <w:rsid w:val="00201B9D"/>
    <w:rsid w:val="002026B6"/>
    <w:rsid w:val="00202972"/>
    <w:rsid w:val="0020318F"/>
    <w:rsid w:val="002032EF"/>
    <w:rsid w:val="002033B3"/>
    <w:rsid w:val="00203520"/>
    <w:rsid w:val="002035F5"/>
    <w:rsid w:val="00203FE3"/>
    <w:rsid w:val="002040E5"/>
    <w:rsid w:val="0020591F"/>
    <w:rsid w:val="00205F26"/>
    <w:rsid w:val="002066F3"/>
    <w:rsid w:val="0020726F"/>
    <w:rsid w:val="00207FCC"/>
    <w:rsid w:val="002101AC"/>
    <w:rsid w:val="0021061D"/>
    <w:rsid w:val="002109E6"/>
    <w:rsid w:val="00210E5E"/>
    <w:rsid w:val="00211191"/>
    <w:rsid w:val="00212006"/>
    <w:rsid w:val="002129AE"/>
    <w:rsid w:val="00212B9D"/>
    <w:rsid w:val="00213203"/>
    <w:rsid w:val="00213AA5"/>
    <w:rsid w:val="00213FE6"/>
    <w:rsid w:val="00214D69"/>
    <w:rsid w:val="00214FB0"/>
    <w:rsid w:val="002159AA"/>
    <w:rsid w:val="00215E08"/>
    <w:rsid w:val="0021606A"/>
    <w:rsid w:val="00216261"/>
    <w:rsid w:val="00216BEA"/>
    <w:rsid w:val="00216CC3"/>
    <w:rsid w:val="00217CD8"/>
    <w:rsid w:val="00220C21"/>
    <w:rsid w:val="00220D57"/>
    <w:rsid w:val="002214D3"/>
    <w:rsid w:val="0022195E"/>
    <w:rsid w:val="00221A02"/>
    <w:rsid w:val="002220EF"/>
    <w:rsid w:val="002225E9"/>
    <w:rsid w:val="00222A98"/>
    <w:rsid w:val="0022305A"/>
    <w:rsid w:val="00223094"/>
    <w:rsid w:val="00223A59"/>
    <w:rsid w:val="00224E75"/>
    <w:rsid w:val="002252A7"/>
    <w:rsid w:val="00225809"/>
    <w:rsid w:val="0022591D"/>
    <w:rsid w:val="00225979"/>
    <w:rsid w:val="00225BF8"/>
    <w:rsid w:val="00226187"/>
    <w:rsid w:val="002265A1"/>
    <w:rsid w:val="00226A3D"/>
    <w:rsid w:val="00226D2E"/>
    <w:rsid w:val="002277E8"/>
    <w:rsid w:val="00227A6D"/>
    <w:rsid w:val="00230F2E"/>
    <w:rsid w:val="00230F57"/>
    <w:rsid w:val="00231B5E"/>
    <w:rsid w:val="00231C8C"/>
    <w:rsid w:val="00231E7D"/>
    <w:rsid w:val="00232416"/>
    <w:rsid w:val="002327C2"/>
    <w:rsid w:val="00232C14"/>
    <w:rsid w:val="00232C18"/>
    <w:rsid w:val="00233438"/>
    <w:rsid w:val="002336E3"/>
    <w:rsid w:val="00233788"/>
    <w:rsid w:val="00233B5A"/>
    <w:rsid w:val="00233BF0"/>
    <w:rsid w:val="00233FAB"/>
    <w:rsid w:val="00234458"/>
    <w:rsid w:val="00234BE7"/>
    <w:rsid w:val="00234E3D"/>
    <w:rsid w:val="00235203"/>
    <w:rsid w:val="00235D74"/>
    <w:rsid w:val="00236144"/>
    <w:rsid w:val="002365C6"/>
    <w:rsid w:val="00236A71"/>
    <w:rsid w:val="00236E39"/>
    <w:rsid w:val="0023705F"/>
    <w:rsid w:val="00237A98"/>
    <w:rsid w:val="002401FD"/>
    <w:rsid w:val="002407B2"/>
    <w:rsid w:val="00240A9B"/>
    <w:rsid w:val="00240AC7"/>
    <w:rsid w:val="00241083"/>
    <w:rsid w:val="002412CA"/>
    <w:rsid w:val="002412CF"/>
    <w:rsid w:val="00241B2B"/>
    <w:rsid w:val="00242A6F"/>
    <w:rsid w:val="00242E42"/>
    <w:rsid w:val="00244A51"/>
    <w:rsid w:val="00244BD9"/>
    <w:rsid w:val="00244ECD"/>
    <w:rsid w:val="0024576C"/>
    <w:rsid w:val="00245788"/>
    <w:rsid w:val="00245D1D"/>
    <w:rsid w:val="00246609"/>
    <w:rsid w:val="0024695A"/>
    <w:rsid w:val="00246BAF"/>
    <w:rsid w:val="00250145"/>
    <w:rsid w:val="002501F9"/>
    <w:rsid w:val="00250DD4"/>
    <w:rsid w:val="0025139D"/>
    <w:rsid w:val="0025175B"/>
    <w:rsid w:val="00251A71"/>
    <w:rsid w:val="00251A9C"/>
    <w:rsid w:val="00253BDF"/>
    <w:rsid w:val="00254DDC"/>
    <w:rsid w:val="002550A3"/>
    <w:rsid w:val="002557C2"/>
    <w:rsid w:val="002557C9"/>
    <w:rsid w:val="002558AB"/>
    <w:rsid w:val="0025617C"/>
    <w:rsid w:val="0025661B"/>
    <w:rsid w:val="002567B9"/>
    <w:rsid w:val="00256BE3"/>
    <w:rsid w:val="00256C7E"/>
    <w:rsid w:val="00256D29"/>
    <w:rsid w:val="00257BEB"/>
    <w:rsid w:val="00257E50"/>
    <w:rsid w:val="002605A0"/>
    <w:rsid w:val="00260A1D"/>
    <w:rsid w:val="00260FAA"/>
    <w:rsid w:val="00261BED"/>
    <w:rsid w:val="0026227A"/>
    <w:rsid w:val="0026257D"/>
    <w:rsid w:val="00262633"/>
    <w:rsid w:val="00262CD3"/>
    <w:rsid w:val="00263184"/>
    <w:rsid w:val="00263A0E"/>
    <w:rsid w:val="00264806"/>
    <w:rsid w:val="00264D66"/>
    <w:rsid w:val="00264FBA"/>
    <w:rsid w:val="00265BCA"/>
    <w:rsid w:val="002663A9"/>
    <w:rsid w:val="00266EC0"/>
    <w:rsid w:val="00267BF6"/>
    <w:rsid w:val="00267EC9"/>
    <w:rsid w:val="002707C3"/>
    <w:rsid w:val="00270B9E"/>
    <w:rsid w:val="00271018"/>
    <w:rsid w:val="0027118D"/>
    <w:rsid w:val="002719EC"/>
    <w:rsid w:val="00271B42"/>
    <w:rsid w:val="00271CDF"/>
    <w:rsid w:val="00271DD5"/>
    <w:rsid w:val="00272745"/>
    <w:rsid w:val="0027275F"/>
    <w:rsid w:val="00272881"/>
    <w:rsid w:val="00272EE5"/>
    <w:rsid w:val="0027360E"/>
    <w:rsid w:val="002740BC"/>
    <w:rsid w:val="00274B42"/>
    <w:rsid w:val="00274E01"/>
    <w:rsid w:val="00276089"/>
    <w:rsid w:val="00276424"/>
    <w:rsid w:val="002767DD"/>
    <w:rsid w:val="00276CD5"/>
    <w:rsid w:val="00276DB8"/>
    <w:rsid w:val="00276EB0"/>
    <w:rsid w:val="00277ABE"/>
    <w:rsid w:val="00277E7C"/>
    <w:rsid w:val="00277F9D"/>
    <w:rsid w:val="002804ED"/>
    <w:rsid w:val="00280ACA"/>
    <w:rsid w:val="00280EF0"/>
    <w:rsid w:val="00280F42"/>
    <w:rsid w:val="0028118F"/>
    <w:rsid w:val="00281715"/>
    <w:rsid w:val="00281902"/>
    <w:rsid w:val="002819BC"/>
    <w:rsid w:val="00282BC0"/>
    <w:rsid w:val="00282C1E"/>
    <w:rsid w:val="00282CB8"/>
    <w:rsid w:val="0028342B"/>
    <w:rsid w:val="00283888"/>
    <w:rsid w:val="00283E62"/>
    <w:rsid w:val="002848B7"/>
    <w:rsid w:val="002849F8"/>
    <w:rsid w:val="00285099"/>
    <w:rsid w:val="00286158"/>
    <w:rsid w:val="002861FA"/>
    <w:rsid w:val="002862C9"/>
    <w:rsid w:val="00287493"/>
    <w:rsid w:val="002878B9"/>
    <w:rsid w:val="00287D9E"/>
    <w:rsid w:val="00290BF0"/>
    <w:rsid w:val="002914ED"/>
    <w:rsid w:val="00291D92"/>
    <w:rsid w:val="00292642"/>
    <w:rsid w:val="0029315A"/>
    <w:rsid w:val="00293A10"/>
    <w:rsid w:val="00293A42"/>
    <w:rsid w:val="002943AD"/>
    <w:rsid w:val="00295008"/>
    <w:rsid w:val="00296478"/>
    <w:rsid w:val="00296ED2"/>
    <w:rsid w:val="002971B6"/>
    <w:rsid w:val="0029721D"/>
    <w:rsid w:val="002A053C"/>
    <w:rsid w:val="002A05CF"/>
    <w:rsid w:val="002A0A5F"/>
    <w:rsid w:val="002A0E5E"/>
    <w:rsid w:val="002A13D5"/>
    <w:rsid w:val="002A165A"/>
    <w:rsid w:val="002A17F2"/>
    <w:rsid w:val="002A18CF"/>
    <w:rsid w:val="002A1A33"/>
    <w:rsid w:val="002A23FA"/>
    <w:rsid w:val="002A2598"/>
    <w:rsid w:val="002A2D62"/>
    <w:rsid w:val="002A35F6"/>
    <w:rsid w:val="002A36BA"/>
    <w:rsid w:val="002A373A"/>
    <w:rsid w:val="002A37B5"/>
    <w:rsid w:val="002A3C3D"/>
    <w:rsid w:val="002A3D8E"/>
    <w:rsid w:val="002A411C"/>
    <w:rsid w:val="002A4374"/>
    <w:rsid w:val="002A5333"/>
    <w:rsid w:val="002A5428"/>
    <w:rsid w:val="002A5640"/>
    <w:rsid w:val="002A5FE7"/>
    <w:rsid w:val="002A6638"/>
    <w:rsid w:val="002A6A1D"/>
    <w:rsid w:val="002A6B9E"/>
    <w:rsid w:val="002A6CD9"/>
    <w:rsid w:val="002A6E55"/>
    <w:rsid w:val="002A6EC3"/>
    <w:rsid w:val="002A79C8"/>
    <w:rsid w:val="002A7BBE"/>
    <w:rsid w:val="002A7D45"/>
    <w:rsid w:val="002B02F9"/>
    <w:rsid w:val="002B038C"/>
    <w:rsid w:val="002B0688"/>
    <w:rsid w:val="002B0BA5"/>
    <w:rsid w:val="002B1203"/>
    <w:rsid w:val="002B16D1"/>
    <w:rsid w:val="002B22B0"/>
    <w:rsid w:val="002B25F8"/>
    <w:rsid w:val="002B274D"/>
    <w:rsid w:val="002B3CCC"/>
    <w:rsid w:val="002B4C35"/>
    <w:rsid w:val="002B548C"/>
    <w:rsid w:val="002B62E2"/>
    <w:rsid w:val="002B6432"/>
    <w:rsid w:val="002B65F6"/>
    <w:rsid w:val="002B6658"/>
    <w:rsid w:val="002B683E"/>
    <w:rsid w:val="002B6C47"/>
    <w:rsid w:val="002B715E"/>
    <w:rsid w:val="002B718F"/>
    <w:rsid w:val="002B721C"/>
    <w:rsid w:val="002C02BB"/>
    <w:rsid w:val="002C070C"/>
    <w:rsid w:val="002C09B7"/>
    <w:rsid w:val="002C0B69"/>
    <w:rsid w:val="002C0BEF"/>
    <w:rsid w:val="002C1067"/>
    <w:rsid w:val="002C11E8"/>
    <w:rsid w:val="002C2B53"/>
    <w:rsid w:val="002C4233"/>
    <w:rsid w:val="002C45AA"/>
    <w:rsid w:val="002C45BE"/>
    <w:rsid w:val="002C46E8"/>
    <w:rsid w:val="002C47A9"/>
    <w:rsid w:val="002C4840"/>
    <w:rsid w:val="002C4AEF"/>
    <w:rsid w:val="002C503E"/>
    <w:rsid w:val="002C5043"/>
    <w:rsid w:val="002C53C4"/>
    <w:rsid w:val="002C60AE"/>
    <w:rsid w:val="002C63C2"/>
    <w:rsid w:val="002C6F19"/>
    <w:rsid w:val="002C741B"/>
    <w:rsid w:val="002C779F"/>
    <w:rsid w:val="002C7D18"/>
    <w:rsid w:val="002D02CD"/>
    <w:rsid w:val="002D0B57"/>
    <w:rsid w:val="002D14DC"/>
    <w:rsid w:val="002D1F4B"/>
    <w:rsid w:val="002D2639"/>
    <w:rsid w:val="002D2729"/>
    <w:rsid w:val="002D2C6A"/>
    <w:rsid w:val="002D32BF"/>
    <w:rsid w:val="002D34D6"/>
    <w:rsid w:val="002D3AA3"/>
    <w:rsid w:val="002D4142"/>
    <w:rsid w:val="002D54DB"/>
    <w:rsid w:val="002D5FCD"/>
    <w:rsid w:val="002D622B"/>
    <w:rsid w:val="002D63CF"/>
    <w:rsid w:val="002D668F"/>
    <w:rsid w:val="002D676E"/>
    <w:rsid w:val="002D7602"/>
    <w:rsid w:val="002E0039"/>
    <w:rsid w:val="002E11D1"/>
    <w:rsid w:val="002E16B8"/>
    <w:rsid w:val="002E1B1C"/>
    <w:rsid w:val="002E1BDE"/>
    <w:rsid w:val="002E1CC6"/>
    <w:rsid w:val="002E29DA"/>
    <w:rsid w:val="002E2C54"/>
    <w:rsid w:val="002E32BC"/>
    <w:rsid w:val="002E3B42"/>
    <w:rsid w:val="002E3EB9"/>
    <w:rsid w:val="002E4309"/>
    <w:rsid w:val="002E4C30"/>
    <w:rsid w:val="002E5C84"/>
    <w:rsid w:val="002E5F4C"/>
    <w:rsid w:val="002E5FBC"/>
    <w:rsid w:val="002E6626"/>
    <w:rsid w:val="002E71BD"/>
    <w:rsid w:val="002E728A"/>
    <w:rsid w:val="002E72C5"/>
    <w:rsid w:val="002E738A"/>
    <w:rsid w:val="002E7527"/>
    <w:rsid w:val="002F023F"/>
    <w:rsid w:val="002F03AE"/>
    <w:rsid w:val="002F053F"/>
    <w:rsid w:val="002F070A"/>
    <w:rsid w:val="002F12FB"/>
    <w:rsid w:val="002F176F"/>
    <w:rsid w:val="002F20A1"/>
    <w:rsid w:val="002F28D4"/>
    <w:rsid w:val="002F33DA"/>
    <w:rsid w:val="002F38FB"/>
    <w:rsid w:val="002F430E"/>
    <w:rsid w:val="002F4C73"/>
    <w:rsid w:val="002F4E49"/>
    <w:rsid w:val="002F4F4E"/>
    <w:rsid w:val="002F5021"/>
    <w:rsid w:val="002F5CC6"/>
    <w:rsid w:val="002F67E7"/>
    <w:rsid w:val="002F6C97"/>
    <w:rsid w:val="002F70A6"/>
    <w:rsid w:val="002F77A5"/>
    <w:rsid w:val="002F7B18"/>
    <w:rsid w:val="002F7BBC"/>
    <w:rsid w:val="00300907"/>
    <w:rsid w:val="00302797"/>
    <w:rsid w:val="00302BBD"/>
    <w:rsid w:val="00302F80"/>
    <w:rsid w:val="00303129"/>
    <w:rsid w:val="0030377C"/>
    <w:rsid w:val="003038D5"/>
    <w:rsid w:val="00303B3A"/>
    <w:rsid w:val="00303E48"/>
    <w:rsid w:val="0030412A"/>
    <w:rsid w:val="00304E74"/>
    <w:rsid w:val="00304F9B"/>
    <w:rsid w:val="0030529C"/>
    <w:rsid w:val="00305574"/>
    <w:rsid w:val="00305734"/>
    <w:rsid w:val="003058B1"/>
    <w:rsid w:val="00305D13"/>
    <w:rsid w:val="00307029"/>
    <w:rsid w:val="003073E6"/>
    <w:rsid w:val="00307475"/>
    <w:rsid w:val="003075FD"/>
    <w:rsid w:val="00307C8F"/>
    <w:rsid w:val="0031021F"/>
    <w:rsid w:val="00310F4A"/>
    <w:rsid w:val="00311223"/>
    <w:rsid w:val="003112FB"/>
    <w:rsid w:val="00311417"/>
    <w:rsid w:val="0031208C"/>
    <w:rsid w:val="003133E7"/>
    <w:rsid w:val="0031390F"/>
    <w:rsid w:val="003146C6"/>
    <w:rsid w:val="00314927"/>
    <w:rsid w:val="00314BE9"/>
    <w:rsid w:val="003151F2"/>
    <w:rsid w:val="003152C7"/>
    <w:rsid w:val="003154D8"/>
    <w:rsid w:val="003156F2"/>
    <w:rsid w:val="0031599A"/>
    <w:rsid w:val="00315C0D"/>
    <w:rsid w:val="00315DFB"/>
    <w:rsid w:val="00317C5A"/>
    <w:rsid w:val="00317F6A"/>
    <w:rsid w:val="00320066"/>
    <w:rsid w:val="00321018"/>
    <w:rsid w:val="00321889"/>
    <w:rsid w:val="00321F89"/>
    <w:rsid w:val="00322313"/>
    <w:rsid w:val="003224BE"/>
    <w:rsid w:val="00322619"/>
    <w:rsid w:val="00323745"/>
    <w:rsid w:val="00323DFC"/>
    <w:rsid w:val="00324593"/>
    <w:rsid w:val="00324596"/>
    <w:rsid w:val="00324A1A"/>
    <w:rsid w:val="003253F8"/>
    <w:rsid w:val="00325494"/>
    <w:rsid w:val="003254B9"/>
    <w:rsid w:val="003267D5"/>
    <w:rsid w:val="00326989"/>
    <w:rsid w:val="00326A0C"/>
    <w:rsid w:val="00326C4B"/>
    <w:rsid w:val="00327173"/>
    <w:rsid w:val="003277C4"/>
    <w:rsid w:val="003278C5"/>
    <w:rsid w:val="00327A0A"/>
    <w:rsid w:val="00330238"/>
    <w:rsid w:val="00330605"/>
    <w:rsid w:val="003313FB"/>
    <w:rsid w:val="00331A9A"/>
    <w:rsid w:val="00331BD7"/>
    <w:rsid w:val="00331DC8"/>
    <w:rsid w:val="003325A5"/>
    <w:rsid w:val="003325E2"/>
    <w:rsid w:val="00332E87"/>
    <w:rsid w:val="0033329F"/>
    <w:rsid w:val="00333451"/>
    <w:rsid w:val="00333962"/>
    <w:rsid w:val="00334384"/>
    <w:rsid w:val="003352F2"/>
    <w:rsid w:val="00335764"/>
    <w:rsid w:val="00335AD7"/>
    <w:rsid w:val="003365D5"/>
    <w:rsid w:val="00337437"/>
    <w:rsid w:val="003374C7"/>
    <w:rsid w:val="0033799B"/>
    <w:rsid w:val="00337D58"/>
    <w:rsid w:val="003407B7"/>
    <w:rsid w:val="003407B8"/>
    <w:rsid w:val="00340898"/>
    <w:rsid w:val="00340C4E"/>
    <w:rsid w:val="00340CAF"/>
    <w:rsid w:val="00340DE9"/>
    <w:rsid w:val="0034137D"/>
    <w:rsid w:val="0034143E"/>
    <w:rsid w:val="0034210E"/>
    <w:rsid w:val="0034216B"/>
    <w:rsid w:val="00342350"/>
    <w:rsid w:val="00343263"/>
    <w:rsid w:val="003437C1"/>
    <w:rsid w:val="00343981"/>
    <w:rsid w:val="00344309"/>
    <w:rsid w:val="00344719"/>
    <w:rsid w:val="00344944"/>
    <w:rsid w:val="00344A54"/>
    <w:rsid w:val="00344AF2"/>
    <w:rsid w:val="00344CE2"/>
    <w:rsid w:val="00344D99"/>
    <w:rsid w:val="00345046"/>
    <w:rsid w:val="00345222"/>
    <w:rsid w:val="003458CA"/>
    <w:rsid w:val="00345B96"/>
    <w:rsid w:val="0034778C"/>
    <w:rsid w:val="0034783B"/>
    <w:rsid w:val="00347966"/>
    <w:rsid w:val="00347C07"/>
    <w:rsid w:val="00350D5E"/>
    <w:rsid w:val="00351BD3"/>
    <w:rsid w:val="00353014"/>
    <w:rsid w:val="003530AF"/>
    <w:rsid w:val="0035316A"/>
    <w:rsid w:val="00353CF9"/>
    <w:rsid w:val="00354397"/>
    <w:rsid w:val="003544E3"/>
    <w:rsid w:val="003546C6"/>
    <w:rsid w:val="003549DA"/>
    <w:rsid w:val="00354ED0"/>
    <w:rsid w:val="0035520B"/>
    <w:rsid w:val="00355476"/>
    <w:rsid w:val="00355ACD"/>
    <w:rsid w:val="0035635F"/>
    <w:rsid w:val="00356A06"/>
    <w:rsid w:val="00356B59"/>
    <w:rsid w:val="0035759F"/>
    <w:rsid w:val="00357876"/>
    <w:rsid w:val="003606C3"/>
    <w:rsid w:val="00360EB6"/>
    <w:rsid w:val="0036192E"/>
    <w:rsid w:val="0036209B"/>
    <w:rsid w:val="0036220A"/>
    <w:rsid w:val="003626A0"/>
    <w:rsid w:val="0036274B"/>
    <w:rsid w:val="00363543"/>
    <w:rsid w:val="00363976"/>
    <w:rsid w:val="00365433"/>
    <w:rsid w:val="0036592B"/>
    <w:rsid w:val="003664F8"/>
    <w:rsid w:val="00366A88"/>
    <w:rsid w:val="00366ECE"/>
    <w:rsid w:val="003674AC"/>
    <w:rsid w:val="0036791D"/>
    <w:rsid w:val="00367C0D"/>
    <w:rsid w:val="00367D2A"/>
    <w:rsid w:val="0037064C"/>
    <w:rsid w:val="003716E0"/>
    <w:rsid w:val="00371A3D"/>
    <w:rsid w:val="00371DD0"/>
    <w:rsid w:val="003724A2"/>
    <w:rsid w:val="00372DA8"/>
    <w:rsid w:val="00372E2F"/>
    <w:rsid w:val="003735F6"/>
    <w:rsid w:val="003739E3"/>
    <w:rsid w:val="00373E84"/>
    <w:rsid w:val="00374238"/>
    <w:rsid w:val="00374361"/>
    <w:rsid w:val="00374BB6"/>
    <w:rsid w:val="00375271"/>
    <w:rsid w:val="00375553"/>
    <w:rsid w:val="0037588B"/>
    <w:rsid w:val="003759F7"/>
    <w:rsid w:val="00375CC6"/>
    <w:rsid w:val="00376DAB"/>
    <w:rsid w:val="003770A9"/>
    <w:rsid w:val="00377FA3"/>
    <w:rsid w:val="00380194"/>
    <w:rsid w:val="00380C24"/>
    <w:rsid w:val="00381DBC"/>
    <w:rsid w:val="00382039"/>
    <w:rsid w:val="00382687"/>
    <w:rsid w:val="003826CD"/>
    <w:rsid w:val="003826D5"/>
    <w:rsid w:val="0038271F"/>
    <w:rsid w:val="0038296B"/>
    <w:rsid w:val="003837C0"/>
    <w:rsid w:val="003838D7"/>
    <w:rsid w:val="003839DC"/>
    <w:rsid w:val="00383D1A"/>
    <w:rsid w:val="003840D5"/>
    <w:rsid w:val="00384118"/>
    <w:rsid w:val="00384119"/>
    <w:rsid w:val="0038442B"/>
    <w:rsid w:val="00384515"/>
    <w:rsid w:val="0038472D"/>
    <w:rsid w:val="0038499B"/>
    <w:rsid w:val="00385CDF"/>
    <w:rsid w:val="00386569"/>
    <w:rsid w:val="003874A1"/>
    <w:rsid w:val="003879D2"/>
    <w:rsid w:val="0039044A"/>
    <w:rsid w:val="00390B6B"/>
    <w:rsid w:val="00390E37"/>
    <w:rsid w:val="0039102B"/>
    <w:rsid w:val="00392141"/>
    <w:rsid w:val="00392F8B"/>
    <w:rsid w:val="00392FE4"/>
    <w:rsid w:val="003934C0"/>
    <w:rsid w:val="003937A7"/>
    <w:rsid w:val="00393AD0"/>
    <w:rsid w:val="00393E79"/>
    <w:rsid w:val="003947BC"/>
    <w:rsid w:val="00394C79"/>
    <w:rsid w:val="00394E0A"/>
    <w:rsid w:val="00395978"/>
    <w:rsid w:val="00395B49"/>
    <w:rsid w:val="00395B70"/>
    <w:rsid w:val="0039654B"/>
    <w:rsid w:val="00397045"/>
    <w:rsid w:val="0039728C"/>
    <w:rsid w:val="003A031E"/>
    <w:rsid w:val="003A05C4"/>
    <w:rsid w:val="003A0BE4"/>
    <w:rsid w:val="003A1398"/>
    <w:rsid w:val="003A17CF"/>
    <w:rsid w:val="003A1929"/>
    <w:rsid w:val="003A1A18"/>
    <w:rsid w:val="003A1E62"/>
    <w:rsid w:val="003A1F03"/>
    <w:rsid w:val="003A22BA"/>
    <w:rsid w:val="003A2DDF"/>
    <w:rsid w:val="003A2EB4"/>
    <w:rsid w:val="003A3AE5"/>
    <w:rsid w:val="003A4319"/>
    <w:rsid w:val="003A4406"/>
    <w:rsid w:val="003A46D7"/>
    <w:rsid w:val="003A4769"/>
    <w:rsid w:val="003A4947"/>
    <w:rsid w:val="003A4989"/>
    <w:rsid w:val="003A4E65"/>
    <w:rsid w:val="003A4E9F"/>
    <w:rsid w:val="003A5257"/>
    <w:rsid w:val="003A56BB"/>
    <w:rsid w:val="003A6E0F"/>
    <w:rsid w:val="003A7264"/>
    <w:rsid w:val="003A730D"/>
    <w:rsid w:val="003B007B"/>
    <w:rsid w:val="003B0097"/>
    <w:rsid w:val="003B0832"/>
    <w:rsid w:val="003B0B97"/>
    <w:rsid w:val="003B0BEA"/>
    <w:rsid w:val="003B0F50"/>
    <w:rsid w:val="003B1D39"/>
    <w:rsid w:val="003B1EC3"/>
    <w:rsid w:val="003B287C"/>
    <w:rsid w:val="003B2B26"/>
    <w:rsid w:val="003B3D46"/>
    <w:rsid w:val="003B48CF"/>
    <w:rsid w:val="003B52D7"/>
    <w:rsid w:val="003B5B1B"/>
    <w:rsid w:val="003B600F"/>
    <w:rsid w:val="003B636C"/>
    <w:rsid w:val="003B68E3"/>
    <w:rsid w:val="003B7B61"/>
    <w:rsid w:val="003B7C51"/>
    <w:rsid w:val="003B7FE0"/>
    <w:rsid w:val="003C01BF"/>
    <w:rsid w:val="003C058B"/>
    <w:rsid w:val="003C1312"/>
    <w:rsid w:val="003C132E"/>
    <w:rsid w:val="003C19A7"/>
    <w:rsid w:val="003C2A5C"/>
    <w:rsid w:val="003C39CF"/>
    <w:rsid w:val="003C3D56"/>
    <w:rsid w:val="003C422D"/>
    <w:rsid w:val="003C4372"/>
    <w:rsid w:val="003C48F2"/>
    <w:rsid w:val="003C4F70"/>
    <w:rsid w:val="003C54FD"/>
    <w:rsid w:val="003C65DB"/>
    <w:rsid w:val="003C66A1"/>
    <w:rsid w:val="003C6C30"/>
    <w:rsid w:val="003C6EC2"/>
    <w:rsid w:val="003C7437"/>
    <w:rsid w:val="003C7C77"/>
    <w:rsid w:val="003D08DB"/>
    <w:rsid w:val="003D09F4"/>
    <w:rsid w:val="003D1217"/>
    <w:rsid w:val="003D1744"/>
    <w:rsid w:val="003D1A0B"/>
    <w:rsid w:val="003D206E"/>
    <w:rsid w:val="003D25A1"/>
    <w:rsid w:val="003D2785"/>
    <w:rsid w:val="003D3126"/>
    <w:rsid w:val="003D36C6"/>
    <w:rsid w:val="003D3795"/>
    <w:rsid w:val="003D38D3"/>
    <w:rsid w:val="003D424B"/>
    <w:rsid w:val="003D472C"/>
    <w:rsid w:val="003D47AF"/>
    <w:rsid w:val="003D48F3"/>
    <w:rsid w:val="003D4ECD"/>
    <w:rsid w:val="003D6630"/>
    <w:rsid w:val="003D6990"/>
    <w:rsid w:val="003D701D"/>
    <w:rsid w:val="003D70DA"/>
    <w:rsid w:val="003D74CE"/>
    <w:rsid w:val="003D7599"/>
    <w:rsid w:val="003D7DC5"/>
    <w:rsid w:val="003E108B"/>
    <w:rsid w:val="003E1237"/>
    <w:rsid w:val="003E12DB"/>
    <w:rsid w:val="003E151A"/>
    <w:rsid w:val="003E1852"/>
    <w:rsid w:val="003E1D2C"/>
    <w:rsid w:val="003E1FA2"/>
    <w:rsid w:val="003E2703"/>
    <w:rsid w:val="003E339E"/>
    <w:rsid w:val="003E584A"/>
    <w:rsid w:val="003E5852"/>
    <w:rsid w:val="003E5FDC"/>
    <w:rsid w:val="003E5FFA"/>
    <w:rsid w:val="003E6BAF"/>
    <w:rsid w:val="003F0080"/>
    <w:rsid w:val="003F0613"/>
    <w:rsid w:val="003F1037"/>
    <w:rsid w:val="003F1436"/>
    <w:rsid w:val="003F1A5F"/>
    <w:rsid w:val="003F1D86"/>
    <w:rsid w:val="003F22DC"/>
    <w:rsid w:val="003F2D80"/>
    <w:rsid w:val="003F324A"/>
    <w:rsid w:val="003F39DD"/>
    <w:rsid w:val="003F3AAA"/>
    <w:rsid w:val="003F42D3"/>
    <w:rsid w:val="003F460D"/>
    <w:rsid w:val="003F494E"/>
    <w:rsid w:val="003F4996"/>
    <w:rsid w:val="003F605D"/>
    <w:rsid w:val="003F6342"/>
    <w:rsid w:val="003F691C"/>
    <w:rsid w:val="003F6C72"/>
    <w:rsid w:val="003F7118"/>
    <w:rsid w:val="003F7288"/>
    <w:rsid w:val="003F7CCD"/>
    <w:rsid w:val="004008E4"/>
    <w:rsid w:val="00400CE8"/>
    <w:rsid w:val="00400CFB"/>
    <w:rsid w:val="00402360"/>
    <w:rsid w:val="0040246A"/>
    <w:rsid w:val="00402DEA"/>
    <w:rsid w:val="0040398D"/>
    <w:rsid w:val="00403C49"/>
    <w:rsid w:val="004040B0"/>
    <w:rsid w:val="0040428D"/>
    <w:rsid w:val="0040483C"/>
    <w:rsid w:val="00405AB7"/>
    <w:rsid w:val="00405D62"/>
    <w:rsid w:val="00406568"/>
    <w:rsid w:val="00407B97"/>
    <w:rsid w:val="00407C73"/>
    <w:rsid w:val="00410190"/>
    <w:rsid w:val="00410DCD"/>
    <w:rsid w:val="00410E76"/>
    <w:rsid w:val="00410ED9"/>
    <w:rsid w:val="004118B6"/>
    <w:rsid w:val="0041294A"/>
    <w:rsid w:val="00412A8D"/>
    <w:rsid w:val="00412D9B"/>
    <w:rsid w:val="0041305E"/>
    <w:rsid w:val="004134F2"/>
    <w:rsid w:val="00413A2F"/>
    <w:rsid w:val="00414BBF"/>
    <w:rsid w:val="00414E0D"/>
    <w:rsid w:val="004156C6"/>
    <w:rsid w:val="00415F72"/>
    <w:rsid w:val="004163FC"/>
    <w:rsid w:val="004169EC"/>
    <w:rsid w:val="00416E90"/>
    <w:rsid w:val="0041778C"/>
    <w:rsid w:val="00417AB1"/>
    <w:rsid w:val="00417E2D"/>
    <w:rsid w:val="00420084"/>
    <w:rsid w:val="0042090A"/>
    <w:rsid w:val="00420D19"/>
    <w:rsid w:val="004211E3"/>
    <w:rsid w:val="0042148A"/>
    <w:rsid w:val="0042186F"/>
    <w:rsid w:val="00421A97"/>
    <w:rsid w:val="00421AF5"/>
    <w:rsid w:val="004227B5"/>
    <w:rsid w:val="00422C8C"/>
    <w:rsid w:val="00423335"/>
    <w:rsid w:val="0042347B"/>
    <w:rsid w:val="00423A52"/>
    <w:rsid w:val="00423CF1"/>
    <w:rsid w:val="00424241"/>
    <w:rsid w:val="004247C9"/>
    <w:rsid w:val="00424C75"/>
    <w:rsid w:val="004257D7"/>
    <w:rsid w:val="00426435"/>
    <w:rsid w:val="00426CB5"/>
    <w:rsid w:val="00426E16"/>
    <w:rsid w:val="004270FC"/>
    <w:rsid w:val="004274F3"/>
    <w:rsid w:val="0042755E"/>
    <w:rsid w:val="004275D9"/>
    <w:rsid w:val="004278AC"/>
    <w:rsid w:val="00427F78"/>
    <w:rsid w:val="00430D1C"/>
    <w:rsid w:val="00430DCF"/>
    <w:rsid w:val="00431136"/>
    <w:rsid w:val="00431715"/>
    <w:rsid w:val="00431945"/>
    <w:rsid w:val="00432017"/>
    <w:rsid w:val="00432058"/>
    <w:rsid w:val="004320E3"/>
    <w:rsid w:val="00432189"/>
    <w:rsid w:val="00433A84"/>
    <w:rsid w:val="00433C47"/>
    <w:rsid w:val="00434329"/>
    <w:rsid w:val="0043451D"/>
    <w:rsid w:val="00435EF6"/>
    <w:rsid w:val="00436706"/>
    <w:rsid w:val="00436860"/>
    <w:rsid w:val="00436F50"/>
    <w:rsid w:val="0043715B"/>
    <w:rsid w:val="00437465"/>
    <w:rsid w:val="00437FA8"/>
    <w:rsid w:val="00441074"/>
    <w:rsid w:val="00441746"/>
    <w:rsid w:val="004419A6"/>
    <w:rsid w:val="00441AAE"/>
    <w:rsid w:val="00441BD3"/>
    <w:rsid w:val="00441C88"/>
    <w:rsid w:val="00442487"/>
    <w:rsid w:val="00442970"/>
    <w:rsid w:val="00442B01"/>
    <w:rsid w:val="00442D5F"/>
    <w:rsid w:val="00444546"/>
    <w:rsid w:val="004447C8"/>
    <w:rsid w:val="00445473"/>
    <w:rsid w:val="004458E0"/>
    <w:rsid w:val="004458F9"/>
    <w:rsid w:val="004473E5"/>
    <w:rsid w:val="00447423"/>
    <w:rsid w:val="004476D3"/>
    <w:rsid w:val="00447FD1"/>
    <w:rsid w:val="00450273"/>
    <w:rsid w:val="004507E2"/>
    <w:rsid w:val="00450949"/>
    <w:rsid w:val="00450AA6"/>
    <w:rsid w:val="00451343"/>
    <w:rsid w:val="004519BF"/>
    <w:rsid w:val="00451C45"/>
    <w:rsid w:val="00452058"/>
    <w:rsid w:val="00452C8F"/>
    <w:rsid w:val="00453943"/>
    <w:rsid w:val="00454603"/>
    <w:rsid w:val="004552BD"/>
    <w:rsid w:val="00455E20"/>
    <w:rsid w:val="00455F2F"/>
    <w:rsid w:val="00456721"/>
    <w:rsid w:val="0045772E"/>
    <w:rsid w:val="00457737"/>
    <w:rsid w:val="00457A2A"/>
    <w:rsid w:val="00457AB4"/>
    <w:rsid w:val="00457E66"/>
    <w:rsid w:val="00460219"/>
    <w:rsid w:val="00460483"/>
    <w:rsid w:val="00460FDE"/>
    <w:rsid w:val="00461B77"/>
    <w:rsid w:val="00462140"/>
    <w:rsid w:val="00462ED6"/>
    <w:rsid w:val="004630AF"/>
    <w:rsid w:val="00463630"/>
    <w:rsid w:val="00463F58"/>
    <w:rsid w:val="00464226"/>
    <w:rsid w:val="0046431C"/>
    <w:rsid w:val="00464388"/>
    <w:rsid w:val="00464C9D"/>
    <w:rsid w:val="00464ECE"/>
    <w:rsid w:val="004655A7"/>
    <w:rsid w:val="00465AF2"/>
    <w:rsid w:val="004669B9"/>
    <w:rsid w:val="00470537"/>
    <w:rsid w:val="00470ABE"/>
    <w:rsid w:val="00470FB0"/>
    <w:rsid w:val="00471AE9"/>
    <w:rsid w:val="00471D2D"/>
    <w:rsid w:val="00471F55"/>
    <w:rsid w:val="00472286"/>
    <w:rsid w:val="00472847"/>
    <w:rsid w:val="00472A5E"/>
    <w:rsid w:val="00472AF3"/>
    <w:rsid w:val="00472C97"/>
    <w:rsid w:val="00472E4D"/>
    <w:rsid w:val="004730FA"/>
    <w:rsid w:val="0047352F"/>
    <w:rsid w:val="00473701"/>
    <w:rsid w:val="00473C64"/>
    <w:rsid w:val="0047500C"/>
    <w:rsid w:val="0047515D"/>
    <w:rsid w:val="00475939"/>
    <w:rsid w:val="004759A2"/>
    <w:rsid w:val="00476517"/>
    <w:rsid w:val="00476A3D"/>
    <w:rsid w:val="00476CF9"/>
    <w:rsid w:val="0047744E"/>
    <w:rsid w:val="00477F28"/>
    <w:rsid w:val="004809A1"/>
    <w:rsid w:val="00481697"/>
    <w:rsid w:val="004819F1"/>
    <w:rsid w:val="00481E83"/>
    <w:rsid w:val="00481F8D"/>
    <w:rsid w:val="004829A0"/>
    <w:rsid w:val="00482CC3"/>
    <w:rsid w:val="00482E5E"/>
    <w:rsid w:val="00483256"/>
    <w:rsid w:val="00483680"/>
    <w:rsid w:val="004837CD"/>
    <w:rsid w:val="00484379"/>
    <w:rsid w:val="004843FD"/>
    <w:rsid w:val="00484F0F"/>
    <w:rsid w:val="004852A2"/>
    <w:rsid w:val="00485943"/>
    <w:rsid w:val="00485E09"/>
    <w:rsid w:val="00486495"/>
    <w:rsid w:val="0048671A"/>
    <w:rsid w:val="00486BE0"/>
    <w:rsid w:val="004873E1"/>
    <w:rsid w:val="00490504"/>
    <w:rsid w:val="00490556"/>
    <w:rsid w:val="00490B56"/>
    <w:rsid w:val="00491A4A"/>
    <w:rsid w:val="00491F73"/>
    <w:rsid w:val="00492465"/>
    <w:rsid w:val="00492BC5"/>
    <w:rsid w:val="004930A8"/>
    <w:rsid w:val="004930F7"/>
    <w:rsid w:val="0049385D"/>
    <w:rsid w:val="004943F5"/>
    <w:rsid w:val="00494704"/>
    <w:rsid w:val="0049497C"/>
    <w:rsid w:val="00495697"/>
    <w:rsid w:val="00495C47"/>
    <w:rsid w:val="00495CC1"/>
    <w:rsid w:val="004966E2"/>
    <w:rsid w:val="004968C2"/>
    <w:rsid w:val="0049696F"/>
    <w:rsid w:val="00496B11"/>
    <w:rsid w:val="00496CE1"/>
    <w:rsid w:val="00497304"/>
    <w:rsid w:val="004976A0"/>
    <w:rsid w:val="00497768"/>
    <w:rsid w:val="004A033D"/>
    <w:rsid w:val="004A0B6C"/>
    <w:rsid w:val="004A0C47"/>
    <w:rsid w:val="004A1E49"/>
    <w:rsid w:val="004A1E60"/>
    <w:rsid w:val="004A23F5"/>
    <w:rsid w:val="004A2AE8"/>
    <w:rsid w:val="004A3380"/>
    <w:rsid w:val="004A343E"/>
    <w:rsid w:val="004A3B89"/>
    <w:rsid w:val="004A423A"/>
    <w:rsid w:val="004A4A43"/>
    <w:rsid w:val="004A531E"/>
    <w:rsid w:val="004A544E"/>
    <w:rsid w:val="004A5569"/>
    <w:rsid w:val="004A63AF"/>
    <w:rsid w:val="004A67C7"/>
    <w:rsid w:val="004A6C86"/>
    <w:rsid w:val="004A6E26"/>
    <w:rsid w:val="004A6E71"/>
    <w:rsid w:val="004A7097"/>
    <w:rsid w:val="004A73C8"/>
    <w:rsid w:val="004A7B69"/>
    <w:rsid w:val="004A7FA6"/>
    <w:rsid w:val="004B026F"/>
    <w:rsid w:val="004B0901"/>
    <w:rsid w:val="004B0A74"/>
    <w:rsid w:val="004B0CD6"/>
    <w:rsid w:val="004B143B"/>
    <w:rsid w:val="004B18B3"/>
    <w:rsid w:val="004B20B9"/>
    <w:rsid w:val="004B2416"/>
    <w:rsid w:val="004B24C1"/>
    <w:rsid w:val="004B3003"/>
    <w:rsid w:val="004B35C8"/>
    <w:rsid w:val="004B3C2A"/>
    <w:rsid w:val="004B47F4"/>
    <w:rsid w:val="004B4EF0"/>
    <w:rsid w:val="004B4FFD"/>
    <w:rsid w:val="004B5032"/>
    <w:rsid w:val="004B5987"/>
    <w:rsid w:val="004B67CC"/>
    <w:rsid w:val="004B6A1A"/>
    <w:rsid w:val="004C0919"/>
    <w:rsid w:val="004C0A71"/>
    <w:rsid w:val="004C1286"/>
    <w:rsid w:val="004C1A0C"/>
    <w:rsid w:val="004C1B86"/>
    <w:rsid w:val="004C1F0A"/>
    <w:rsid w:val="004C23B9"/>
    <w:rsid w:val="004C274F"/>
    <w:rsid w:val="004C28DF"/>
    <w:rsid w:val="004C2AEB"/>
    <w:rsid w:val="004C2CFD"/>
    <w:rsid w:val="004C2D27"/>
    <w:rsid w:val="004C2FFF"/>
    <w:rsid w:val="004C3158"/>
    <w:rsid w:val="004C355E"/>
    <w:rsid w:val="004C37F0"/>
    <w:rsid w:val="004C3FB2"/>
    <w:rsid w:val="004C4367"/>
    <w:rsid w:val="004C4439"/>
    <w:rsid w:val="004C4667"/>
    <w:rsid w:val="004C46F1"/>
    <w:rsid w:val="004C48AB"/>
    <w:rsid w:val="004C56A0"/>
    <w:rsid w:val="004C5736"/>
    <w:rsid w:val="004C57E9"/>
    <w:rsid w:val="004C5AF3"/>
    <w:rsid w:val="004C5AFE"/>
    <w:rsid w:val="004C6114"/>
    <w:rsid w:val="004C6638"/>
    <w:rsid w:val="004C68C0"/>
    <w:rsid w:val="004C76EB"/>
    <w:rsid w:val="004D00B1"/>
    <w:rsid w:val="004D0520"/>
    <w:rsid w:val="004D0EAF"/>
    <w:rsid w:val="004D1292"/>
    <w:rsid w:val="004D1913"/>
    <w:rsid w:val="004D19BC"/>
    <w:rsid w:val="004D2090"/>
    <w:rsid w:val="004D348F"/>
    <w:rsid w:val="004D3671"/>
    <w:rsid w:val="004D3928"/>
    <w:rsid w:val="004D677B"/>
    <w:rsid w:val="004D6A31"/>
    <w:rsid w:val="004D6B50"/>
    <w:rsid w:val="004D6F6F"/>
    <w:rsid w:val="004E05EA"/>
    <w:rsid w:val="004E0FC6"/>
    <w:rsid w:val="004E16DE"/>
    <w:rsid w:val="004E18D7"/>
    <w:rsid w:val="004E2778"/>
    <w:rsid w:val="004E28A1"/>
    <w:rsid w:val="004E2B44"/>
    <w:rsid w:val="004E2E3E"/>
    <w:rsid w:val="004E36EA"/>
    <w:rsid w:val="004E4258"/>
    <w:rsid w:val="004E42A3"/>
    <w:rsid w:val="004E42A9"/>
    <w:rsid w:val="004E42F0"/>
    <w:rsid w:val="004E4576"/>
    <w:rsid w:val="004E4D02"/>
    <w:rsid w:val="004E4FD0"/>
    <w:rsid w:val="004E57CC"/>
    <w:rsid w:val="004E60C4"/>
    <w:rsid w:val="004E6377"/>
    <w:rsid w:val="004E65EF"/>
    <w:rsid w:val="004E68A6"/>
    <w:rsid w:val="004E6B5F"/>
    <w:rsid w:val="004E6F4E"/>
    <w:rsid w:val="004E729D"/>
    <w:rsid w:val="004E7C97"/>
    <w:rsid w:val="004E7CFD"/>
    <w:rsid w:val="004F021B"/>
    <w:rsid w:val="004F04D1"/>
    <w:rsid w:val="004F15CE"/>
    <w:rsid w:val="004F2056"/>
    <w:rsid w:val="004F2A1A"/>
    <w:rsid w:val="004F3B51"/>
    <w:rsid w:val="004F3F09"/>
    <w:rsid w:val="004F42AF"/>
    <w:rsid w:val="004F447D"/>
    <w:rsid w:val="004F4C08"/>
    <w:rsid w:val="004F4E5E"/>
    <w:rsid w:val="004F558F"/>
    <w:rsid w:val="004F58C7"/>
    <w:rsid w:val="004F6214"/>
    <w:rsid w:val="004F68C7"/>
    <w:rsid w:val="004F6C18"/>
    <w:rsid w:val="004F7F11"/>
    <w:rsid w:val="00501419"/>
    <w:rsid w:val="00501468"/>
    <w:rsid w:val="00501D28"/>
    <w:rsid w:val="0050204E"/>
    <w:rsid w:val="005023FD"/>
    <w:rsid w:val="00502C53"/>
    <w:rsid w:val="005046A1"/>
    <w:rsid w:val="005053E9"/>
    <w:rsid w:val="0050551E"/>
    <w:rsid w:val="005055DE"/>
    <w:rsid w:val="005058E3"/>
    <w:rsid w:val="0050647C"/>
    <w:rsid w:val="0050698A"/>
    <w:rsid w:val="0050748B"/>
    <w:rsid w:val="0050766E"/>
    <w:rsid w:val="00507C26"/>
    <w:rsid w:val="00507E91"/>
    <w:rsid w:val="00507F19"/>
    <w:rsid w:val="005100A7"/>
    <w:rsid w:val="005109F0"/>
    <w:rsid w:val="005115AE"/>
    <w:rsid w:val="00511C26"/>
    <w:rsid w:val="0051269A"/>
    <w:rsid w:val="005147C0"/>
    <w:rsid w:val="00514B4D"/>
    <w:rsid w:val="00515042"/>
    <w:rsid w:val="00516F7C"/>
    <w:rsid w:val="00517061"/>
    <w:rsid w:val="0052045F"/>
    <w:rsid w:val="0052052C"/>
    <w:rsid w:val="00521270"/>
    <w:rsid w:val="00521427"/>
    <w:rsid w:val="00521ECB"/>
    <w:rsid w:val="00522328"/>
    <w:rsid w:val="00522EFA"/>
    <w:rsid w:val="00522F22"/>
    <w:rsid w:val="00523241"/>
    <w:rsid w:val="0052332E"/>
    <w:rsid w:val="00523A7F"/>
    <w:rsid w:val="00523D14"/>
    <w:rsid w:val="00523D62"/>
    <w:rsid w:val="00524BC5"/>
    <w:rsid w:val="00525022"/>
    <w:rsid w:val="00525789"/>
    <w:rsid w:val="00525CE0"/>
    <w:rsid w:val="00525CF9"/>
    <w:rsid w:val="00525E93"/>
    <w:rsid w:val="005262D7"/>
    <w:rsid w:val="005263CE"/>
    <w:rsid w:val="00526DCF"/>
    <w:rsid w:val="005276B0"/>
    <w:rsid w:val="0053030E"/>
    <w:rsid w:val="00530A58"/>
    <w:rsid w:val="00530CA8"/>
    <w:rsid w:val="0053109E"/>
    <w:rsid w:val="00531F9A"/>
    <w:rsid w:val="00532D0A"/>
    <w:rsid w:val="00533038"/>
    <w:rsid w:val="005332C7"/>
    <w:rsid w:val="00533C74"/>
    <w:rsid w:val="00533D31"/>
    <w:rsid w:val="00533F98"/>
    <w:rsid w:val="00535856"/>
    <w:rsid w:val="00535C94"/>
    <w:rsid w:val="0053626E"/>
    <w:rsid w:val="0053696B"/>
    <w:rsid w:val="0053723B"/>
    <w:rsid w:val="00537614"/>
    <w:rsid w:val="00537CC1"/>
    <w:rsid w:val="00540D43"/>
    <w:rsid w:val="00541695"/>
    <w:rsid w:val="00541CA6"/>
    <w:rsid w:val="00541DA8"/>
    <w:rsid w:val="00541F4E"/>
    <w:rsid w:val="0054261F"/>
    <w:rsid w:val="00542731"/>
    <w:rsid w:val="00543076"/>
    <w:rsid w:val="00543166"/>
    <w:rsid w:val="0054327E"/>
    <w:rsid w:val="00543866"/>
    <w:rsid w:val="005456D5"/>
    <w:rsid w:val="00545A4C"/>
    <w:rsid w:val="00546307"/>
    <w:rsid w:val="0054691C"/>
    <w:rsid w:val="00547240"/>
    <w:rsid w:val="005503E6"/>
    <w:rsid w:val="005508D1"/>
    <w:rsid w:val="005520C7"/>
    <w:rsid w:val="005524FD"/>
    <w:rsid w:val="0055292B"/>
    <w:rsid w:val="005529DE"/>
    <w:rsid w:val="00552D55"/>
    <w:rsid w:val="0055359C"/>
    <w:rsid w:val="00554A6F"/>
    <w:rsid w:val="00555B24"/>
    <w:rsid w:val="00556140"/>
    <w:rsid w:val="005567B6"/>
    <w:rsid w:val="005574B3"/>
    <w:rsid w:val="00557600"/>
    <w:rsid w:val="0055775E"/>
    <w:rsid w:val="005579D8"/>
    <w:rsid w:val="00557C29"/>
    <w:rsid w:val="00557FAA"/>
    <w:rsid w:val="00560258"/>
    <w:rsid w:val="00560C35"/>
    <w:rsid w:val="00560EB4"/>
    <w:rsid w:val="00561F69"/>
    <w:rsid w:val="00562304"/>
    <w:rsid w:val="005623C0"/>
    <w:rsid w:val="00562C87"/>
    <w:rsid w:val="0056418C"/>
    <w:rsid w:val="0056512D"/>
    <w:rsid w:val="005652F3"/>
    <w:rsid w:val="005654C8"/>
    <w:rsid w:val="0056561C"/>
    <w:rsid w:val="00565D4E"/>
    <w:rsid w:val="00566534"/>
    <w:rsid w:val="0056686E"/>
    <w:rsid w:val="00566926"/>
    <w:rsid w:val="00566996"/>
    <w:rsid w:val="00566CF9"/>
    <w:rsid w:val="005675B0"/>
    <w:rsid w:val="0056771A"/>
    <w:rsid w:val="00567BCB"/>
    <w:rsid w:val="00570676"/>
    <w:rsid w:val="0057119D"/>
    <w:rsid w:val="00571327"/>
    <w:rsid w:val="00571382"/>
    <w:rsid w:val="00571578"/>
    <w:rsid w:val="0057166E"/>
    <w:rsid w:val="0057223B"/>
    <w:rsid w:val="0057251F"/>
    <w:rsid w:val="0057263B"/>
    <w:rsid w:val="005726E5"/>
    <w:rsid w:val="0057284A"/>
    <w:rsid w:val="00572AA9"/>
    <w:rsid w:val="00572FB0"/>
    <w:rsid w:val="005732A0"/>
    <w:rsid w:val="00573669"/>
    <w:rsid w:val="00573A70"/>
    <w:rsid w:val="00574291"/>
    <w:rsid w:val="00574510"/>
    <w:rsid w:val="00575B94"/>
    <w:rsid w:val="00575EF4"/>
    <w:rsid w:val="0057648F"/>
    <w:rsid w:val="005771D4"/>
    <w:rsid w:val="00577689"/>
    <w:rsid w:val="00577745"/>
    <w:rsid w:val="00580593"/>
    <w:rsid w:val="0058093B"/>
    <w:rsid w:val="00580BB9"/>
    <w:rsid w:val="00581289"/>
    <w:rsid w:val="00581350"/>
    <w:rsid w:val="00581C00"/>
    <w:rsid w:val="005826DF"/>
    <w:rsid w:val="0058295B"/>
    <w:rsid w:val="00582A84"/>
    <w:rsid w:val="00582B72"/>
    <w:rsid w:val="00582D43"/>
    <w:rsid w:val="00582DBC"/>
    <w:rsid w:val="00582F7F"/>
    <w:rsid w:val="005836BB"/>
    <w:rsid w:val="0058450E"/>
    <w:rsid w:val="0058462B"/>
    <w:rsid w:val="00584A24"/>
    <w:rsid w:val="00584A7F"/>
    <w:rsid w:val="005858D0"/>
    <w:rsid w:val="00586570"/>
    <w:rsid w:val="00587688"/>
    <w:rsid w:val="00587689"/>
    <w:rsid w:val="00590F63"/>
    <w:rsid w:val="005913BC"/>
    <w:rsid w:val="00591404"/>
    <w:rsid w:val="00592D1D"/>
    <w:rsid w:val="0059308E"/>
    <w:rsid w:val="00593582"/>
    <w:rsid w:val="005936FF"/>
    <w:rsid w:val="00593AA3"/>
    <w:rsid w:val="00593BB5"/>
    <w:rsid w:val="005943C2"/>
    <w:rsid w:val="00594844"/>
    <w:rsid w:val="00595BF2"/>
    <w:rsid w:val="00595DD1"/>
    <w:rsid w:val="00596A01"/>
    <w:rsid w:val="0059722F"/>
    <w:rsid w:val="0059788D"/>
    <w:rsid w:val="00597A4F"/>
    <w:rsid w:val="00597F02"/>
    <w:rsid w:val="005A03ED"/>
    <w:rsid w:val="005A049A"/>
    <w:rsid w:val="005A09D4"/>
    <w:rsid w:val="005A09DB"/>
    <w:rsid w:val="005A0DF7"/>
    <w:rsid w:val="005A0E88"/>
    <w:rsid w:val="005A11C1"/>
    <w:rsid w:val="005A1AE1"/>
    <w:rsid w:val="005A1FC4"/>
    <w:rsid w:val="005A22FC"/>
    <w:rsid w:val="005A27CB"/>
    <w:rsid w:val="005A4099"/>
    <w:rsid w:val="005A4B59"/>
    <w:rsid w:val="005A5146"/>
    <w:rsid w:val="005A5957"/>
    <w:rsid w:val="005A62FD"/>
    <w:rsid w:val="005A6C00"/>
    <w:rsid w:val="005A79D2"/>
    <w:rsid w:val="005A7CB5"/>
    <w:rsid w:val="005A7DC1"/>
    <w:rsid w:val="005B05A0"/>
    <w:rsid w:val="005B0AC2"/>
    <w:rsid w:val="005B0FBA"/>
    <w:rsid w:val="005B10E3"/>
    <w:rsid w:val="005B23ED"/>
    <w:rsid w:val="005B3B1F"/>
    <w:rsid w:val="005B3BF6"/>
    <w:rsid w:val="005B46EC"/>
    <w:rsid w:val="005B477A"/>
    <w:rsid w:val="005B4971"/>
    <w:rsid w:val="005B4C67"/>
    <w:rsid w:val="005B4CAD"/>
    <w:rsid w:val="005B5AF1"/>
    <w:rsid w:val="005B5F96"/>
    <w:rsid w:val="005B6F7E"/>
    <w:rsid w:val="005B73B4"/>
    <w:rsid w:val="005B770E"/>
    <w:rsid w:val="005B7987"/>
    <w:rsid w:val="005B7E40"/>
    <w:rsid w:val="005C0CF7"/>
    <w:rsid w:val="005C138C"/>
    <w:rsid w:val="005C1647"/>
    <w:rsid w:val="005C281A"/>
    <w:rsid w:val="005C2DA5"/>
    <w:rsid w:val="005C305A"/>
    <w:rsid w:val="005C3881"/>
    <w:rsid w:val="005C45EF"/>
    <w:rsid w:val="005C47B1"/>
    <w:rsid w:val="005C4CD6"/>
    <w:rsid w:val="005C5232"/>
    <w:rsid w:val="005C5389"/>
    <w:rsid w:val="005C56FC"/>
    <w:rsid w:val="005C5D09"/>
    <w:rsid w:val="005C5F53"/>
    <w:rsid w:val="005C6373"/>
    <w:rsid w:val="005C63D4"/>
    <w:rsid w:val="005C7414"/>
    <w:rsid w:val="005C7438"/>
    <w:rsid w:val="005D00F9"/>
    <w:rsid w:val="005D140D"/>
    <w:rsid w:val="005D31AC"/>
    <w:rsid w:val="005D35FD"/>
    <w:rsid w:val="005D386D"/>
    <w:rsid w:val="005D541C"/>
    <w:rsid w:val="005D5774"/>
    <w:rsid w:val="005D57AF"/>
    <w:rsid w:val="005D670E"/>
    <w:rsid w:val="005E0AE8"/>
    <w:rsid w:val="005E0E64"/>
    <w:rsid w:val="005E22CF"/>
    <w:rsid w:val="005E27DC"/>
    <w:rsid w:val="005E2932"/>
    <w:rsid w:val="005E29A5"/>
    <w:rsid w:val="005E3158"/>
    <w:rsid w:val="005E3918"/>
    <w:rsid w:val="005E497E"/>
    <w:rsid w:val="005E4984"/>
    <w:rsid w:val="005E4BFE"/>
    <w:rsid w:val="005E4D44"/>
    <w:rsid w:val="005E511E"/>
    <w:rsid w:val="005E5D84"/>
    <w:rsid w:val="005E630F"/>
    <w:rsid w:val="005E6314"/>
    <w:rsid w:val="005E63B2"/>
    <w:rsid w:val="005E6624"/>
    <w:rsid w:val="005E6BF1"/>
    <w:rsid w:val="005E7A4C"/>
    <w:rsid w:val="005F0444"/>
    <w:rsid w:val="005F0693"/>
    <w:rsid w:val="005F1096"/>
    <w:rsid w:val="005F1143"/>
    <w:rsid w:val="005F1685"/>
    <w:rsid w:val="005F17C4"/>
    <w:rsid w:val="005F1ED4"/>
    <w:rsid w:val="005F2CD0"/>
    <w:rsid w:val="005F34FF"/>
    <w:rsid w:val="005F3609"/>
    <w:rsid w:val="005F3EBB"/>
    <w:rsid w:val="005F4145"/>
    <w:rsid w:val="005F4857"/>
    <w:rsid w:val="005F4FDF"/>
    <w:rsid w:val="005F5953"/>
    <w:rsid w:val="005F5DC8"/>
    <w:rsid w:val="005F6087"/>
    <w:rsid w:val="005F6964"/>
    <w:rsid w:val="005F6B1E"/>
    <w:rsid w:val="005F6CFD"/>
    <w:rsid w:val="005F76EA"/>
    <w:rsid w:val="005F7B9D"/>
    <w:rsid w:val="005F7DA2"/>
    <w:rsid w:val="00600E6E"/>
    <w:rsid w:val="00601220"/>
    <w:rsid w:val="00601A27"/>
    <w:rsid w:val="006022E6"/>
    <w:rsid w:val="0060230C"/>
    <w:rsid w:val="00602796"/>
    <w:rsid w:val="00602A2C"/>
    <w:rsid w:val="00602BB9"/>
    <w:rsid w:val="006036FF"/>
    <w:rsid w:val="00603895"/>
    <w:rsid w:val="006039C9"/>
    <w:rsid w:val="00604655"/>
    <w:rsid w:val="0060515C"/>
    <w:rsid w:val="00605A79"/>
    <w:rsid w:val="00606034"/>
    <w:rsid w:val="0060621C"/>
    <w:rsid w:val="006066EF"/>
    <w:rsid w:val="006067BC"/>
    <w:rsid w:val="00606CD4"/>
    <w:rsid w:val="006071EC"/>
    <w:rsid w:val="00607488"/>
    <w:rsid w:val="006077CF"/>
    <w:rsid w:val="00607A2F"/>
    <w:rsid w:val="00607DCE"/>
    <w:rsid w:val="00607F88"/>
    <w:rsid w:val="0061021A"/>
    <w:rsid w:val="00610753"/>
    <w:rsid w:val="00610E17"/>
    <w:rsid w:val="00610FBC"/>
    <w:rsid w:val="0061174C"/>
    <w:rsid w:val="00611BAC"/>
    <w:rsid w:val="00613172"/>
    <w:rsid w:val="0061328B"/>
    <w:rsid w:val="00613DCF"/>
    <w:rsid w:val="00614093"/>
    <w:rsid w:val="0061434F"/>
    <w:rsid w:val="0061475B"/>
    <w:rsid w:val="00614AC7"/>
    <w:rsid w:val="00614B55"/>
    <w:rsid w:val="00614D7B"/>
    <w:rsid w:val="0061535D"/>
    <w:rsid w:val="0061567A"/>
    <w:rsid w:val="00615742"/>
    <w:rsid w:val="00615D78"/>
    <w:rsid w:val="006169C4"/>
    <w:rsid w:val="00616EFB"/>
    <w:rsid w:val="006172C3"/>
    <w:rsid w:val="0061789F"/>
    <w:rsid w:val="00620736"/>
    <w:rsid w:val="00620F41"/>
    <w:rsid w:val="006213E4"/>
    <w:rsid w:val="006218F9"/>
    <w:rsid w:val="00622831"/>
    <w:rsid w:val="00622B71"/>
    <w:rsid w:val="00622BE7"/>
    <w:rsid w:val="00623DC8"/>
    <w:rsid w:val="006246FE"/>
    <w:rsid w:val="00624997"/>
    <w:rsid w:val="00624B6D"/>
    <w:rsid w:val="00624DC2"/>
    <w:rsid w:val="006255A3"/>
    <w:rsid w:val="006264C3"/>
    <w:rsid w:val="00626690"/>
    <w:rsid w:val="00626FA8"/>
    <w:rsid w:val="006271F7"/>
    <w:rsid w:val="006302E2"/>
    <w:rsid w:val="006307EF"/>
    <w:rsid w:val="006315E9"/>
    <w:rsid w:val="00631A70"/>
    <w:rsid w:val="00631E13"/>
    <w:rsid w:val="006328F5"/>
    <w:rsid w:val="00632D35"/>
    <w:rsid w:val="0063309B"/>
    <w:rsid w:val="006330AD"/>
    <w:rsid w:val="00633C3D"/>
    <w:rsid w:val="00633D76"/>
    <w:rsid w:val="006344D6"/>
    <w:rsid w:val="0063536F"/>
    <w:rsid w:val="00635EF2"/>
    <w:rsid w:val="00636ADC"/>
    <w:rsid w:val="00637497"/>
    <w:rsid w:val="00637573"/>
    <w:rsid w:val="00637ABC"/>
    <w:rsid w:val="006400E4"/>
    <w:rsid w:val="00640260"/>
    <w:rsid w:val="00640866"/>
    <w:rsid w:val="006409E7"/>
    <w:rsid w:val="00640B29"/>
    <w:rsid w:val="00640F22"/>
    <w:rsid w:val="00641792"/>
    <w:rsid w:val="00641F1B"/>
    <w:rsid w:val="0064205B"/>
    <w:rsid w:val="006421CA"/>
    <w:rsid w:val="00642F78"/>
    <w:rsid w:val="00643A3D"/>
    <w:rsid w:val="00643BA0"/>
    <w:rsid w:val="00643E58"/>
    <w:rsid w:val="00644265"/>
    <w:rsid w:val="00644848"/>
    <w:rsid w:val="00644B50"/>
    <w:rsid w:val="00645504"/>
    <w:rsid w:val="00645CA6"/>
    <w:rsid w:val="0064666B"/>
    <w:rsid w:val="00646B60"/>
    <w:rsid w:val="00646FC9"/>
    <w:rsid w:val="00647261"/>
    <w:rsid w:val="00647398"/>
    <w:rsid w:val="006473AC"/>
    <w:rsid w:val="006479E6"/>
    <w:rsid w:val="00647DE3"/>
    <w:rsid w:val="00647E10"/>
    <w:rsid w:val="00650B1D"/>
    <w:rsid w:val="006510CD"/>
    <w:rsid w:val="0065123E"/>
    <w:rsid w:val="006514C5"/>
    <w:rsid w:val="00651608"/>
    <w:rsid w:val="0065188B"/>
    <w:rsid w:val="006521A7"/>
    <w:rsid w:val="00652727"/>
    <w:rsid w:val="00653EB7"/>
    <w:rsid w:val="00654536"/>
    <w:rsid w:val="00654641"/>
    <w:rsid w:val="00654836"/>
    <w:rsid w:val="006548D4"/>
    <w:rsid w:val="00655A6E"/>
    <w:rsid w:val="00655CC2"/>
    <w:rsid w:val="00655F1E"/>
    <w:rsid w:val="006574BC"/>
    <w:rsid w:val="00657716"/>
    <w:rsid w:val="00660031"/>
    <w:rsid w:val="00660332"/>
    <w:rsid w:val="006605A5"/>
    <w:rsid w:val="00660888"/>
    <w:rsid w:val="00660A2B"/>
    <w:rsid w:val="00661DF2"/>
    <w:rsid w:val="00661E2F"/>
    <w:rsid w:val="00662869"/>
    <w:rsid w:val="0066362F"/>
    <w:rsid w:val="00663BF7"/>
    <w:rsid w:val="0066430B"/>
    <w:rsid w:val="006644F3"/>
    <w:rsid w:val="0066481D"/>
    <w:rsid w:val="0066528F"/>
    <w:rsid w:val="00665735"/>
    <w:rsid w:val="006657D4"/>
    <w:rsid w:val="0066651E"/>
    <w:rsid w:val="006669E1"/>
    <w:rsid w:val="00666F25"/>
    <w:rsid w:val="00667160"/>
    <w:rsid w:val="00667FE3"/>
    <w:rsid w:val="00670284"/>
    <w:rsid w:val="00670580"/>
    <w:rsid w:val="006709F0"/>
    <w:rsid w:val="00670AD1"/>
    <w:rsid w:val="00670BE4"/>
    <w:rsid w:val="006712AB"/>
    <w:rsid w:val="00671382"/>
    <w:rsid w:val="006716D7"/>
    <w:rsid w:val="00671F57"/>
    <w:rsid w:val="00672F7E"/>
    <w:rsid w:val="006737E7"/>
    <w:rsid w:val="00674446"/>
    <w:rsid w:val="0067445B"/>
    <w:rsid w:val="00674F5F"/>
    <w:rsid w:val="00675FD4"/>
    <w:rsid w:val="00676E1A"/>
    <w:rsid w:val="0068019F"/>
    <w:rsid w:val="00680355"/>
    <w:rsid w:val="006804B1"/>
    <w:rsid w:val="006809DA"/>
    <w:rsid w:val="00680F58"/>
    <w:rsid w:val="006816C1"/>
    <w:rsid w:val="00681936"/>
    <w:rsid w:val="00681B6A"/>
    <w:rsid w:val="00682010"/>
    <w:rsid w:val="00682752"/>
    <w:rsid w:val="00682C79"/>
    <w:rsid w:val="00683340"/>
    <w:rsid w:val="00683516"/>
    <w:rsid w:val="0068377D"/>
    <w:rsid w:val="00683872"/>
    <w:rsid w:val="0068463D"/>
    <w:rsid w:val="00684788"/>
    <w:rsid w:val="006849E1"/>
    <w:rsid w:val="0068518E"/>
    <w:rsid w:val="00685452"/>
    <w:rsid w:val="006858DB"/>
    <w:rsid w:val="006859B7"/>
    <w:rsid w:val="00686468"/>
    <w:rsid w:val="00687B88"/>
    <w:rsid w:val="00690381"/>
    <w:rsid w:val="00690A17"/>
    <w:rsid w:val="00691364"/>
    <w:rsid w:val="0069147F"/>
    <w:rsid w:val="006924B3"/>
    <w:rsid w:val="00692C22"/>
    <w:rsid w:val="00693768"/>
    <w:rsid w:val="00693964"/>
    <w:rsid w:val="00693AAF"/>
    <w:rsid w:val="00693B17"/>
    <w:rsid w:val="006945F8"/>
    <w:rsid w:val="006947B4"/>
    <w:rsid w:val="00694895"/>
    <w:rsid w:val="0069564D"/>
    <w:rsid w:val="00695D20"/>
    <w:rsid w:val="00695D68"/>
    <w:rsid w:val="00696068"/>
    <w:rsid w:val="00696700"/>
    <w:rsid w:val="00696C5E"/>
    <w:rsid w:val="0069716F"/>
    <w:rsid w:val="00697394"/>
    <w:rsid w:val="00697796"/>
    <w:rsid w:val="00697C88"/>
    <w:rsid w:val="006A04D0"/>
    <w:rsid w:val="006A10B7"/>
    <w:rsid w:val="006A122C"/>
    <w:rsid w:val="006A129E"/>
    <w:rsid w:val="006A1BCA"/>
    <w:rsid w:val="006A269A"/>
    <w:rsid w:val="006A28C1"/>
    <w:rsid w:val="006A3B0F"/>
    <w:rsid w:val="006A4015"/>
    <w:rsid w:val="006A401B"/>
    <w:rsid w:val="006A494E"/>
    <w:rsid w:val="006A49A7"/>
    <w:rsid w:val="006A5221"/>
    <w:rsid w:val="006A588F"/>
    <w:rsid w:val="006A6066"/>
    <w:rsid w:val="006A6CA7"/>
    <w:rsid w:val="006A72D6"/>
    <w:rsid w:val="006A7C32"/>
    <w:rsid w:val="006B0073"/>
    <w:rsid w:val="006B05EF"/>
    <w:rsid w:val="006B0652"/>
    <w:rsid w:val="006B0797"/>
    <w:rsid w:val="006B0FBB"/>
    <w:rsid w:val="006B1E1F"/>
    <w:rsid w:val="006B1EFF"/>
    <w:rsid w:val="006B2114"/>
    <w:rsid w:val="006B22AD"/>
    <w:rsid w:val="006B485C"/>
    <w:rsid w:val="006B49B3"/>
    <w:rsid w:val="006B4ACE"/>
    <w:rsid w:val="006B4F90"/>
    <w:rsid w:val="006B6272"/>
    <w:rsid w:val="006B6DCA"/>
    <w:rsid w:val="006B6E30"/>
    <w:rsid w:val="006B70CE"/>
    <w:rsid w:val="006B70D8"/>
    <w:rsid w:val="006B7182"/>
    <w:rsid w:val="006B7402"/>
    <w:rsid w:val="006C01B3"/>
    <w:rsid w:val="006C06FA"/>
    <w:rsid w:val="006C0793"/>
    <w:rsid w:val="006C0D37"/>
    <w:rsid w:val="006C11DF"/>
    <w:rsid w:val="006C12A8"/>
    <w:rsid w:val="006C1F2B"/>
    <w:rsid w:val="006C1F7D"/>
    <w:rsid w:val="006C2861"/>
    <w:rsid w:val="006C296C"/>
    <w:rsid w:val="006C30ED"/>
    <w:rsid w:val="006C349A"/>
    <w:rsid w:val="006C424D"/>
    <w:rsid w:val="006C430A"/>
    <w:rsid w:val="006C4AE2"/>
    <w:rsid w:val="006C4E53"/>
    <w:rsid w:val="006C51F4"/>
    <w:rsid w:val="006C527D"/>
    <w:rsid w:val="006C5FD6"/>
    <w:rsid w:val="006C6ACA"/>
    <w:rsid w:val="006C6B04"/>
    <w:rsid w:val="006D02FC"/>
    <w:rsid w:val="006D1113"/>
    <w:rsid w:val="006D1261"/>
    <w:rsid w:val="006D1628"/>
    <w:rsid w:val="006D1B44"/>
    <w:rsid w:val="006D1E07"/>
    <w:rsid w:val="006D2486"/>
    <w:rsid w:val="006D2587"/>
    <w:rsid w:val="006D358C"/>
    <w:rsid w:val="006D3B91"/>
    <w:rsid w:val="006D3C6B"/>
    <w:rsid w:val="006D3FD0"/>
    <w:rsid w:val="006D427D"/>
    <w:rsid w:val="006D44D9"/>
    <w:rsid w:val="006D4DCF"/>
    <w:rsid w:val="006D4DF0"/>
    <w:rsid w:val="006D6107"/>
    <w:rsid w:val="006D6E37"/>
    <w:rsid w:val="006D7B8A"/>
    <w:rsid w:val="006D7C12"/>
    <w:rsid w:val="006E2564"/>
    <w:rsid w:val="006E26E3"/>
    <w:rsid w:val="006E2836"/>
    <w:rsid w:val="006E3FB6"/>
    <w:rsid w:val="006E41F0"/>
    <w:rsid w:val="006E461F"/>
    <w:rsid w:val="006E489C"/>
    <w:rsid w:val="006E4A42"/>
    <w:rsid w:val="006E4B3C"/>
    <w:rsid w:val="006E53CF"/>
    <w:rsid w:val="006E56F9"/>
    <w:rsid w:val="006E57D7"/>
    <w:rsid w:val="006E5878"/>
    <w:rsid w:val="006E5E90"/>
    <w:rsid w:val="006E64A5"/>
    <w:rsid w:val="006E6D36"/>
    <w:rsid w:val="006E6FA7"/>
    <w:rsid w:val="006E7CAB"/>
    <w:rsid w:val="006E7F3B"/>
    <w:rsid w:val="006F03B3"/>
    <w:rsid w:val="006F044D"/>
    <w:rsid w:val="006F1175"/>
    <w:rsid w:val="006F125C"/>
    <w:rsid w:val="006F1333"/>
    <w:rsid w:val="006F14F1"/>
    <w:rsid w:val="006F2618"/>
    <w:rsid w:val="006F280B"/>
    <w:rsid w:val="006F2C90"/>
    <w:rsid w:val="006F2F7E"/>
    <w:rsid w:val="006F3506"/>
    <w:rsid w:val="006F35CC"/>
    <w:rsid w:val="006F45ED"/>
    <w:rsid w:val="006F49B9"/>
    <w:rsid w:val="006F49CD"/>
    <w:rsid w:val="006F4ADA"/>
    <w:rsid w:val="006F50B6"/>
    <w:rsid w:val="006F5840"/>
    <w:rsid w:val="006F5862"/>
    <w:rsid w:val="006F64A9"/>
    <w:rsid w:val="006F6887"/>
    <w:rsid w:val="006F6BAD"/>
    <w:rsid w:val="006F6C05"/>
    <w:rsid w:val="006F6CD7"/>
    <w:rsid w:val="006F70F9"/>
    <w:rsid w:val="006F7B80"/>
    <w:rsid w:val="006F7CE2"/>
    <w:rsid w:val="006F7E04"/>
    <w:rsid w:val="006F7F49"/>
    <w:rsid w:val="00700BEF"/>
    <w:rsid w:val="00701161"/>
    <w:rsid w:val="00701CB3"/>
    <w:rsid w:val="00701E8C"/>
    <w:rsid w:val="00701F45"/>
    <w:rsid w:val="007021D8"/>
    <w:rsid w:val="007021E9"/>
    <w:rsid w:val="00703C90"/>
    <w:rsid w:val="00704A88"/>
    <w:rsid w:val="00705051"/>
    <w:rsid w:val="00705F77"/>
    <w:rsid w:val="00706378"/>
    <w:rsid w:val="0070676A"/>
    <w:rsid w:val="007069B8"/>
    <w:rsid w:val="00706ADB"/>
    <w:rsid w:val="00707BB8"/>
    <w:rsid w:val="00710778"/>
    <w:rsid w:val="00710A3B"/>
    <w:rsid w:val="00710A60"/>
    <w:rsid w:val="00710B4C"/>
    <w:rsid w:val="00711003"/>
    <w:rsid w:val="00712261"/>
    <w:rsid w:val="00712AA9"/>
    <w:rsid w:val="007141AE"/>
    <w:rsid w:val="007141D6"/>
    <w:rsid w:val="00714574"/>
    <w:rsid w:val="0071474D"/>
    <w:rsid w:val="0071527B"/>
    <w:rsid w:val="007157C0"/>
    <w:rsid w:val="00715F1F"/>
    <w:rsid w:val="00720503"/>
    <w:rsid w:val="00721CD0"/>
    <w:rsid w:val="00722E09"/>
    <w:rsid w:val="007233B0"/>
    <w:rsid w:val="00723B6B"/>
    <w:rsid w:val="00723BA9"/>
    <w:rsid w:val="00723C89"/>
    <w:rsid w:val="00723DC7"/>
    <w:rsid w:val="00724251"/>
    <w:rsid w:val="00724255"/>
    <w:rsid w:val="00724B1F"/>
    <w:rsid w:val="00725FA0"/>
    <w:rsid w:val="0072638A"/>
    <w:rsid w:val="00726878"/>
    <w:rsid w:val="00726B84"/>
    <w:rsid w:val="00726CE6"/>
    <w:rsid w:val="00726FE1"/>
    <w:rsid w:val="0072712B"/>
    <w:rsid w:val="0072744E"/>
    <w:rsid w:val="00727D45"/>
    <w:rsid w:val="00727E3E"/>
    <w:rsid w:val="00730B54"/>
    <w:rsid w:val="00730F38"/>
    <w:rsid w:val="007313CA"/>
    <w:rsid w:val="007321BD"/>
    <w:rsid w:val="00732596"/>
    <w:rsid w:val="00732BB6"/>
    <w:rsid w:val="00732D1B"/>
    <w:rsid w:val="007331AE"/>
    <w:rsid w:val="007335F2"/>
    <w:rsid w:val="00733A2C"/>
    <w:rsid w:val="00734045"/>
    <w:rsid w:val="00734AD3"/>
    <w:rsid w:val="00735657"/>
    <w:rsid w:val="007357D4"/>
    <w:rsid w:val="00735B59"/>
    <w:rsid w:val="00735FA8"/>
    <w:rsid w:val="0073604A"/>
    <w:rsid w:val="007360AC"/>
    <w:rsid w:val="0073621C"/>
    <w:rsid w:val="007363A4"/>
    <w:rsid w:val="00736628"/>
    <w:rsid w:val="007367C9"/>
    <w:rsid w:val="007369C2"/>
    <w:rsid w:val="0073779B"/>
    <w:rsid w:val="007401EC"/>
    <w:rsid w:val="0074030D"/>
    <w:rsid w:val="007404EC"/>
    <w:rsid w:val="00740706"/>
    <w:rsid w:val="007408C1"/>
    <w:rsid w:val="00740A99"/>
    <w:rsid w:val="00741238"/>
    <w:rsid w:val="00741FBF"/>
    <w:rsid w:val="0074257B"/>
    <w:rsid w:val="007427D2"/>
    <w:rsid w:val="00742FB5"/>
    <w:rsid w:val="00743D1A"/>
    <w:rsid w:val="00744816"/>
    <w:rsid w:val="00744D79"/>
    <w:rsid w:val="007455EC"/>
    <w:rsid w:val="00745FE4"/>
    <w:rsid w:val="00746936"/>
    <w:rsid w:val="00746F7A"/>
    <w:rsid w:val="0074704B"/>
    <w:rsid w:val="00747056"/>
    <w:rsid w:val="00747486"/>
    <w:rsid w:val="00747509"/>
    <w:rsid w:val="00747672"/>
    <w:rsid w:val="0074793D"/>
    <w:rsid w:val="00750341"/>
    <w:rsid w:val="007512E0"/>
    <w:rsid w:val="007518B5"/>
    <w:rsid w:val="0075278A"/>
    <w:rsid w:val="00752D4F"/>
    <w:rsid w:val="007537C7"/>
    <w:rsid w:val="00753AF9"/>
    <w:rsid w:val="00753C7A"/>
    <w:rsid w:val="00753DC0"/>
    <w:rsid w:val="00753FAE"/>
    <w:rsid w:val="007549F5"/>
    <w:rsid w:val="00754AEE"/>
    <w:rsid w:val="00754B17"/>
    <w:rsid w:val="00755063"/>
    <w:rsid w:val="007556DD"/>
    <w:rsid w:val="00755837"/>
    <w:rsid w:val="00756954"/>
    <w:rsid w:val="00756A40"/>
    <w:rsid w:val="00756ABB"/>
    <w:rsid w:val="00757702"/>
    <w:rsid w:val="0075783A"/>
    <w:rsid w:val="00757966"/>
    <w:rsid w:val="00760223"/>
    <w:rsid w:val="007602DD"/>
    <w:rsid w:val="00760726"/>
    <w:rsid w:val="00760825"/>
    <w:rsid w:val="00760F59"/>
    <w:rsid w:val="00761401"/>
    <w:rsid w:val="007616D5"/>
    <w:rsid w:val="00761CD5"/>
    <w:rsid w:val="00761CFC"/>
    <w:rsid w:val="00762F5C"/>
    <w:rsid w:val="00763B0B"/>
    <w:rsid w:val="00765037"/>
    <w:rsid w:val="007653D9"/>
    <w:rsid w:val="00765A3F"/>
    <w:rsid w:val="00765D86"/>
    <w:rsid w:val="00766B28"/>
    <w:rsid w:val="00766C4A"/>
    <w:rsid w:val="00766FA0"/>
    <w:rsid w:val="0077027F"/>
    <w:rsid w:val="00770747"/>
    <w:rsid w:val="00770A39"/>
    <w:rsid w:val="00770B51"/>
    <w:rsid w:val="00770C2F"/>
    <w:rsid w:val="007711B0"/>
    <w:rsid w:val="00771988"/>
    <w:rsid w:val="00771B76"/>
    <w:rsid w:val="00772028"/>
    <w:rsid w:val="0077225E"/>
    <w:rsid w:val="007727AF"/>
    <w:rsid w:val="007729DF"/>
    <w:rsid w:val="00772C4D"/>
    <w:rsid w:val="007736CB"/>
    <w:rsid w:val="00773B7E"/>
    <w:rsid w:val="00773C3A"/>
    <w:rsid w:val="00773E08"/>
    <w:rsid w:val="00774218"/>
    <w:rsid w:val="007752D2"/>
    <w:rsid w:val="007765E3"/>
    <w:rsid w:val="00776B4B"/>
    <w:rsid w:val="00776BAD"/>
    <w:rsid w:val="00777B34"/>
    <w:rsid w:val="0078019E"/>
    <w:rsid w:val="00780486"/>
    <w:rsid w:val="007808DC"/>
    <w:rsid w:val="00780B53"/>
    <w:rsid w:val="00781139"/>
    <w:rsid w:val="007813A3"/>
    <w:rsid w:val="00781509"/>
    <w:rsid w:val="007823F4"/>
    <w:rsid w:val="00782480"/>
    <w:rsid w:val="0078250C"/>
    <w:rsid w:val="00782ABF"/>
    <w:rsid w:val="00783127"/>
    <w:rsid w:val="007846B8"/>
    <w:rsid w:val="00784721"/>
    <w:rsid w:val="00784EF8"/>
    <w:rsid w:val="00785B99"/>
    <w:rsid w:val="00785EBF"/>
    <w:rsid w:val="00786426"/>
    <w:rsid w:val="0078767D"/>
    <w:rsid w:val="007876C0"/>
    <w:rsid w:val="007877D4"/>
    <w:rsid w:val="007879F0"/>
    <w:rsid w:val="00787F87"/>
    <w:rsid w:val="007900EF"/>
    <w:rsid w:val="007907F1"/>
    <w:rsid w:val="00790A53"/>
    <w:rsid w:val="00790A7F"/>
    <w:rsid w:val="00790B23"/>
    <w:rsid w:val="0079109B"/>
    <w:rsid w:val="007912AA"/>
    <w:rsid w:val="007916D7"/>
    <w:rsid w:val="00792128"/>
    <w:rsid w:val="00792A92"/>
    <w:rsid w:val="00793432"/>
    <w:rsid w:val="00793905"/>
    <w:rsid w:val="00794C67"/>
    <w:rsid w:val="0079594D"/>
    <w:rsid w:val="00795E5F"/>
    <w:rsid w:val="00796B08"/>
    <w:rsid w:val="00796B47"/>
    <w:rsid w:val="00796EE8"/>
    <w:rsid w:val="00797DE9"/>
    <w:rsid w:val="007A0592"/>
    <w:rsid w:val="007A075A"/>
    <w:rsid w:val="007A11FF"/>
    <w:rsid w:val="007A1AEE"/>
    <w:rsid w:val="007A220D"/>
    <w:rsid w:val="007A28AF"/>
    <w:rsid w:val="007A318F"/>
    <w:rsid w:val="007A3B30"/>
    <w:rsid w:val="007A3F8D"/>
    <w:rsid w:val="007A44D3"/>
    <w:rsid w:val="007A4C8A"/>
    <w:rsid w:val="007A52CA"/>
    <w:rsid w:val="007A55A9"/>
    <w:rsid w:val="007A5D60"/>
    <w:rsid w:val="007A618E"/>
    <w:rsid w:val="007A64F1"/>
    <w:rsid w:val="007A76B7"/>
    <w:rsid w:val="007B0D19"/>
    <w:rsid w:val="007B1226"/>
    <w:rsid w:val="007B1559"/>
    <w:rsid w:val="007B18F1"/>
    <w:rsid w:val="007B1F5A"/>
    <w:rsid w:val="007B24CA"/>
    <w:rsid w:val="007B2CAE"/>
    <w:rsid w:val="007B3619"/>
    <w:rsid w:val="007B37FB"/>
    <w:rsid w:val="007B47CF"/>
    <w:rsid w:val="007B5A23"/>
    <w:rsid w:val="007B6239"/>
    <w:rsid w:val="007B6A38"/>
    <w:rsid w:val="007C170E"/>
    <w:rsid w:val="007C1D97"/>
    <w:rsid w:val="007C1FB4"/>
    <w:rsid w:val="007C220B"/>
    <w:rsid w:val="007C4AE9"/>
    <w:rsid w:val="007C5158"/>
    <w:rsid w:val="007C51EE"/>
    <w:rsid w:val="007C5202"/>
    <w:rsid w:val="007C57F5"/>
    <w:rsid w:val="007C5AF3"/>
    <w:rsid w:val="007C5DDE"/>
    <w:rsid w:val="007C6A3C"/>
    <w:rsid w:val="007C7335"/>
    <w:rsid w:val="007C7E7D"/>
    <w:rsid w:val="007C7FDC"/>
    <w:rsid w:val="007D008E"/>
    <w:rsid w:val="007D0A44"/>
    <w:rsid w:val="007D1325"/>
    <w:rsid w:val="007D1548"/>
    <w:rsid w:val="007D1887"/>
    <w:rsid w:val="007D18A8"/>
    <w:rsid w:val="007D190F"/>
    <w:rsid w:val="007D1BF1"/>
    <w:rsid w:val="007D22CE"/>
    <w:rsid w:val="007D2336"/>
    <w:rsid w:val="007D2394"/>
    <w:rsid w:val="007D2669"/>
    <w:rsid w:val="007D2A5A"/>
    <w:rsid w:val="007D32EB"/>
    <w:rsid w:val="007D3B89"/>
    <w:rsid w:val="007D411C"/>
    <w:rsid w:val="007D43A9"/>
    <w:rsid w:val="007D4678"/>
    <w:rsid w:val="007D4FBE"/>
    <w:rsid w:val="007D514F"/>
    <w:rsid w:val="007D53E1"/>
    <w:rsid w:val="007D5751"/>
    <w:rsid w:val="007D62DF"/>
    <w:rsid w:val="007D64AD"/>
    <w:rsid w:val="007D65A6"/>
    <w:rsid w:val="007D6C24"/>
    <w:rsid w:val="007E01D6"/>
    <w:rsid w:val="007E0747"/>
    <w:rsid w:val="007E0867"/>
    <w:rsid w:val="007E0873"/>
    <w:rsid w:val="007E0ADF"/>
    <w:rsid w:val="007E0F4E"/>
    <w:rsid w:val="007E1026"/>
    <w:rsid w:val="007E2319"/>
    <w:rsid w:val="007E266A"/>
    <w:rsid w:val="007E27FA"/>
    <w:rsid w:val="007E2C58"/>
    <w:rsid w:val="007E33AE"/>
    <w:rsid w:val="007E3598"/>
    <w:rsid w:val="007E3A57"/>
    <w:rsid w:val="007E4875"/>
    <w:rsid w:val="007E4C64"/>
    <w:rsid w:val="007E50AF"/>
    <w:rsid w:val="007E5135"/>
    <w:rsid w:val="007E51BC"/>
    <w:rsid w:val="007E53BD"/>
    <w:rsid w:val="007E6262"/>
    <w:rsid w:val="007E62F5"/>
    <w:rsid w:val="007E6485"/>
    <w:rsid w:val="007E6DF5"/>
    <w:rsid w:val="007E7206"/>
    <w:rsid w:val="007E7322"/>
    <w:rsid w:val="007E7520"/>
    <w:rsid w:val="007F03A6"/>
    <w:rsid w:val="007F055D"/>
    <w:rsid w:val="007F0B23"/>
    <w:rsid w:val="007F11EE"/>
    <w:rsid w:val="007F2067"/>
    <w:rsid w:val="007F20F2"/>
    <w:rsid w:val="007F2248"/>
    <w:rsid w:val="007F3B40"/>
    <w:rsid w:val="007F3F70"/>
    <w:rsid w:val="007F49F6"/>
    <w:rsid w:val="007F56E3"/>
    <w:rsid w:val="007F59E4"/>
    <w:rsid w:val="007F5D0B"/>
    <w:rsid w:val="007F5E9A"/>
    <w:rsid w:val="007F6193"/>
    <w:rsid w:val="007F635F"/>
    <w:rsid w:val="007F6469"/>
    <w:rsid w:val="007F6839"/>
    <w:rsid w:val="007F6C2E"/>
    <w:rsid w:val="007F797F"/>
    <w:rsid w:val="007F79A4"/>
    <w:rsid w:val="007F7A46"/>
    <w:rsid w:val="007F7BCA"/>
    <w:rsid w:val="008012CB"/>
    <w:rsid w:val="008020D8"/>
    <w:rsid w:val="00802ACC"/>
    <w:rsid w:val="0080358B"/>
    <w:rsid w:val="0080360F"/>
    <w:rsid w:val="0080584F"/>
    <w:rsid w:val="00806086"/>
    <w:rsid w:val="008060A6"/>
    <w:rsid w:val="00806472"/>
    <w:rsid w:val="008070A7"/>
    <w:rsid w:val="008072FC"/>
    <w:rsid w:val="008075D7"/>
    <w:rsid w:val="00807E77"/>
    <w:rsid w:val="00807E91"/>
    <w:rsid w:val="0081069E"/>
    <w:rsid w:val="00810A8F"/>
    <w:rsid w:val="0081130A"/>
    <w:rsid w:val="0081269C"/>
    <w:rsid w:val="00812BE6"/>
    <w:rsid w:val="0081370A"/>
    <w:rsid w:val="00813B8C"/>
    <w:rsid w:val="00813F07"/>
    <w:rsid w:val="00814844"/>
    <w:rsid w:val="00815075"/>
    <w:rsid w:val="008150A7"/>
    <w:rsid w:val="00815401"/>
    <w:rsid w:val="008155C0"/>
    <w:rsid w:val="00815B07"/>
    <w:rsid w:val="00815E6A"/>
    <w:rsid w:val="00815FB8"/>
    <w:rsid w:val="00817268"/>
    <w:rsid w:val="00817302"/>
    <w:rsid w:val="00817450"/>
    <w:rsid w:val="00820015"/>
    <w:rsid w:val="008201A2"/>
    <w:rsid w:val="008201CE"/>
    <w:rsid w:val="008202EA"/>
    <w:rsid w:val="0082035C"/>
    <w:rsid w:val="00820879"/>
    <w:rsid w:val="00820EF1"/>
    <w:rsid w:val="008214AB"/>
    <w:rsid w:val="0082162C"/>
    <w:rsid w:val="00821CF7"/>
    <w:rsid w:val="00821F0D"/>
    <w:rsid w:val="00822273"/>
    <w:rsid w:val="0082287D"/>
    <w:rsid w:val="00822BC8"/>
    <w:rsid w:val="00823534"/>
    <w:rsid w:val="00823709"/>
    <w:rsid w:val="008238E1"/>
    <w:rsid w:val="00824343"/>
    <w:rsid w:val="00825528"/>
    <w:rsid w:val="008256F4"/>
    <w:rsid w:val="008259B5"/>
    <w:rsid w:val="00827E97"/>
    <w:rsid w:val="0083039D"/>
    <w:rsid w:val="008310C2"/>
    <w:rsid w:val="0083124E"/>
    <w:rsid w:val="0083158B"/>
    <w:rsid w:val="00831A89"/>
    <w:rsid w:val="00831C45"/>
    <w:rsid w:val="008327FE"/>
    <w:rsid w:val="00832CC5"/>
    <w:rsid w:val="0083313C"/>
    <w:rsid w:val="008335C7"/>
    <w:rsid w:val="008337CB"/>
    <w:rsid w:val="00833CE1"/>
    <w:rsid w:val="00833F3E"/>
    <w:rsid w:val="008342CC"/>
    <w:rsid w:val="008349BD"/>
    <w:rsid w:val="00834F4C"/>
    <w:rsid w:val="00835491"/>
    <w:rsid w:val="008357B3"/>
    <w:rsid w:val="008359ED"/>
    <w:rsid w:val="00836123"/>
    <w:rsid w:val="008365A2"/>
    <w:rsid w:val="00837914"/>
    <w:rsid w:val="00837F27"/>
    <w:rsid w:val="00841239"/>
    <w:rsid w:val="0084126D"/>
    <w:rsid w:val="00842164"/>
    <w:rsid w:val="00842230"/>
    <w:rsid w:val="0084244F"/>
    <w:rsid w:val="008426C4"/>
    <w:rsid w:val="00842908"/>
    <w:rsid w:val="00842E83"/>
    <w:rsid w:val="00843790"/>
    <w:rsid w:val="00843D83"/>
    <w:rsid w:val="0084462F"/>
    <w:rsid w:val="00844B30"/>
    <w:rsid w:val="00845A0D"/>
    <w:rsid w:val="00845B76"/>
    <w:rsid w:val="00846B80"/>
    <w:rsid w:val="00847ABC"/>
    <w:rsid w:val="00847CA7"/>
    <w:rsid w:val="00847F95"/>
    <w:rsid w:val="008503A8"/>
    <w:rsid w:val="00850FE7"/>
    <w:rsid w:val="00851531"/>
    <w:rsid w:val="00851939"/>
    <w:rsid w:val="00851E76"/>
    <w:rsid w:val="00852A71"/>
    <w:rsid w:val="00852AD1"/>
    <w:rsid w:val="00852E78"/>
    <w:rsid w:val="0085344C"/>
    <w:rsid w:val="00853DBA"/>
    <w:rsid w:val="00854584"/>
    <w:rsid w:val="00854A9F"/>
    <w:rsid w:val="00854FD8"/>
    <w:rsid w:val="008550A3"/>
    <w:rsid w:val="00855288"/>
    <w:rsid w:val="0085646E"/>
    <w:rsid w:val="00856B36"/>
    <w:rsid w:val="00856F9E"/>
    <w:rsid w:val="008574C5"/>
    <w:rsid w:val="0085756F"/>
    <w:rsid w:val="00857754"/>
    <w:rsid w:val="00857B63"/>
    <w:rsid w:val="00860775"/>
    <w:rsid w:val="00861217"/>
    <w:rsid w:val="008616DD"/>
    <w:rsid w:val="00861A31"/>
    <w:rsid w:val="00861AA7"/>
    <w:rsid w:val="008620D2"/>
    <w:rsid w:val="00862550"/>
    <w:rsid w:val="00862DC5"/>
    <w:rsid w:val="0086312F"/>
    <w:rsid w:val="008631CC"/>
    <w:rsid w:val="008632AA"/>
    <w:rsid w:val="00863701"/>
    <w:rsid w:val="00863B65"/>
    <w:rsid w:val="00863BE7"/>
    <w:rsid w:val="00863C4A"/>
    <w:rsid w:val="00864572"/>
    <w:rsid w:val="00864986"/>
    <w:rsid w:val="00865447"/>
    <w:rsid w:val="00865B39"/>
    <w:rsid w:val="00865BAF"/>
    <w:rsid w:val="00865F35"/>
    <w:rsid w:val="00866086"/>
    <w:rsid w:val="00866456"/>
    <w:rsid w:val="008670AB"/>
    <w:rsid w:val="00867EC2"/>
    <w:rsid w:val="0087054E"/>
    <w:rsid w:val="008712A0"/>
    <w:rsid w:val="00872452"/>
    <w:rsid w:val="008732BC"/>
    <w:rsid w:val="00873BA4"/>
    <w:rsid w:val="0087417F"/>
    <w:rsid w:val="008742D4"/>
    <w:rsid w:val="008742DC"/>
    <w:rsid w:val="00874DFD"/>
    <w:rsid w:val="0087544E"/>
    <w:rsid w:val="00875834"/>
    <w:rsid w:val="00875E04"/>
    <w:rsid w:val="008765A2"/>
    <w:rsid w:val="00876C54"/>
    <w:rsid w:val="00876CE8"/>
    <w:rsid w:val="0088059B"/>
    <w:rsid w:val="00881E2D"/>
    <w:rsid w:val="00882763"/>
    <w:rsid w:val="00882979"/>
    <w:rsid w:val="00882C02"/>
    <w:rsid w:val="008830B5"/>
    <w:rsid w:val="008833FA"/>
    <w:rsid w:val="00883589"/>
    <w:rsid w:val="00883627"/>
    <w:rsid w:val="008837EB"/>
    <w:rsid w:val="00883B06"/>
    <w:rsid w:val="00884652"/>
    <w:rsid w:val="008848F7"/>
    <w:rsid w:val="008854E9"/>
    <w:rsid w:val="008869C5"/>
    <w:rsid w:val="00886ECD"/>
    <w:rsid w:val="008874F9"/>
    <w:rsid w:val="0089054F"/>
    <w:rsid w:val="0089057C"/>
    <w:rsid w:val="00890D61"/>
    <w:rsid w:val="008911C2"/>
    <w:rsid w:val="008916F3"/>
    <w:rsid w:val="008919CA"/>
    <w:rsid w:val="00892336"/>
    <w:rsid w:val="008931C0"/>
    <w:rsid w:val="0089355C"/>
    <w:rsid w:val="00893653"/>
    <w:rsid w:val="00893E0F"/>
    <w:rsid w:val="00893F38"/>
    <w:rsid w:val="00894227"/>
    <w:rsid w:val="00894843"/>
    <w:rsid w:val="00894CF3"/>
    <w:rsid w:val="008953D1"/>
    <w:rsid w:val="00896147"/>
    <w:rsid w:val="0089637B"/>
    <w:rsid w:val="00896557"/>
    <w:rsid w:val="00896AF4"/>
    <w:rsid w:val="00896C5D"/>
    <w:rsid w:val="00896CB1"/>
    <w:rsid w:val="00897070"/>
    <w:rsid w:val="0089721A"/>
    <w:rsid w:val="008976C7"/>
    <w:rsid w:val="00897CC5"/>
    <w:rsid w:val="008A0AFB"/>
    <w:rsid w:val="008A0CC7"/>
    <w:rsid w:val="008A11A3"/>
    <w:rsid w:val="008A120C"/>
    <w:rsid w:val="008A1683"/>
    <w:rsid w:val="008A1D16"/>
    <w:rsid w:val="008A2B81"/>
    <w:rsid w:val="008A309F"/>
    <w:rsid w:val="008A42FE"/>
    <w:rsid w:val="008A47A4"/>
    <w:rsid w:val="008A4895"/>
    <w:rsid w:val="008A4B02"/>
    <w:rsid w:val="008A4CA4"/>
    <w:rsid w:val="008A5A35"/>
    <w:rsid w:val="008A645D"/>
    <w:rsid w:val="008A727B"/>
    <w:rsid w:val="008A7544"/>
    <w:rsid w:val="008B105A"/>
    <w:rsid w:val="008B2244"/>
    <w:rsid w:val="008B232F"/>
    <w:rsid w:val="008B27CF"/>
    <w:rsid w:val="008B2E3C"/>
    <w:rsid w:val="008B3030"/>
    <w:rsid w:val="008B31DB"/>
    <w:rsid w:val="008B351D"/>
    <w:rsid w:val="008B3AF0"/>
    <w:rsid w:val="008B3E76"/>
    <w:rsid w:val="008B44AF"/>
    <w:rsid w:val="008B4AC0"/>
    <w:rsid w:val="008B5FCE"/>
    <w:rsid w:val="008B606F"/>
    <w:rsid w:val="008B62EC"/>
    <w:rsid w:val="008B66F0"/>
    <w:rsid w:val="008B688E"/>
    <w:rsid w:val="008B689E"/>
    <w:rsid w:val="008B6945"/>
    <w:rsid w:val="008B76AC"/>
    <w:rsid w:val="008B7749"/>
    <w:rsid w:val="008B77B4"/>
    <w:rsid w:val="008B77E2"/>
    <w:rsid w:val="008C05C5"/>
    <w:rsid w:val="008C06A8"/>
    <w:rsid w:val="008C1199"/>
    <w:rsid w:val="008C1557"/>
    <w:rsid w:val="008C16F3"/>
    <w:rsid w:val="008C217A"/>
    <w:rsid w:val="008C21E4"/>
    <w:rsid w:val="008C252A"/>
    <w:rsid w:val="008C25AE"/>
    <w:rsid w:val="008C2D38"/>
    <w:rsid w:val="008C394E"/>
    <w:rsid w:val="008C3E19"/>
    <w:rsid w:val="008C3FA4"/>
    <w:rsid w:val="008C47FB"/>
    <w:rsid w:val="008C4A6F"/>
    <w:rsid w:val="008C4A99"/>
    <w:rsid w:val="008C501B"/>
    <w:rsid w:val="008C5EDC"/>
    <w:rsid w:val="008C6338"/>
    <w:rsid w:val="008C66F3"/>
    <w:rsid w:val="008C6A9E"/>
    <w:rsid w:val="008C6C8D"/>
    <w:rsid w:val="008C760B"/>
    <w:rsid w:val="008C793A"/>
    <w:rsid w:val="008C7D69"/>
    <w:rsid w:val="008C7E21"/>
    <w:rsid w:val="008D0988"/>
    <w:rsid w:val="008D1302"/>
    <w:rsid w:val="008D1391"/>
    <w:rsid w:val="008D1553"/>
    <w:rsid w:val="008D15D9"/>
    <w:rsid w:val="008D2A62"/>
    <w:rsid w:val="008D3657"/>
    <w:rsid w:val="008D4EDF"/>
    <w:rsid w:val="008D62FF"/>
    <w:rsid w:val="008D647A"/>
    <w:rsid w:val="008D6507"/>
    <w:rsid w:val="008D6F3C"/>
    <w:rsid w:val="008D72AF"/>
    <w:rsid w:val="008D75D7"/>
    <w:rsid w:val="008D7A4A"/>
    <w:rsid w:val="008D7AD9"/>
    <w:rsid w:val="008D7BFB"/>
    <w:rsid w:val="008E00BC"/>
    <w:rsid w:val="008E08D8"/>
    <w:rsid w:val="008E1610"/>
    <w:rsid w:val="008E1C24"/>
    <w:rsid w:val="008E2587"/>
    <w:rsid w:val="008E25F0"/>
    <w:rsid w:val="008E29AC"/>
    <w:rsid w:val="008E2B7D"/>
    <w:rsid w:val="008E3CC9"/>
    <w:rsid w:val="008E46AA"/>
    <w:rsid w:val="008E46B8"/>
    <w:rsid w:val="008E489C"/>
    <w:rsid w:val="008E4A35"/>
    <w:rsid w:val="008E4E07"/>
    <w:rsid w:val="008E4E34"/>
    <w:rsid w:val="008E5255"/>
    <w:rsid w:val="008E5282"/>
    <w:rsid w:val="008E587B"/>
    <w:rsid w:val="008E6769"/>
    <w:rsid w:val="008E6B67"/>
    <w:rsid w:val="008E7ED1"/>
    <w:rsid w:val="008F0623"/>
    <w:rsid w:val="008F06EC"/>
    <w:rsid w:val="008F078F"/>
    <w:rsid w:val="008F08C5"/>
    <w:rsid w:val="008F1891"/>
    <w:rsid w:val="008F18B9"/>
    <w:rsid w:val="008F2CF7"/>
    <w:rsid w:val="008F3401"/>
    <w:rsid w:val="008F35CB"/>
    <w:rsid w:val="008F3D8E"/>
    <w:rsid w:val="008F4643"/>
    <w:rsid w:val="008F4C12"/>
    <w:rsid w:val="008F4DB4"/>
    <w:rsid w:val="008F5330"/>
    <w:rsid w:val="008F589A"/>
    <w:rsid w:val="008F617E"/>
    <w:rsid w:val="008F64C4"/>
    <w:rsid w:val="008F69DD"/>
    <w:rsid w:val="008F6B66"/>
    <w:rsid w:val="008F71E3"/>
    <w:rsid w:val="008F7CC6"/>
    <w:rsid w:val="009000E4"/>
    <w:rsid w:val="00900A37"/>
    <w:rsid w:val="00901448"/>
    <w:rsid w:val="00901952"/>
    <w:rsid w:val="00902380"/>
    <w:rsid w:val="00902662"/>
    <w:rsid w:val="00903796"/>
    <w:rsid w:val="00903B18"/>
    <w:rsid w:val="00903B19"/>
    <w:rsid w:val="00904000"/>
    <w:rsid w:val="00904C75"/>
    <w:rsid w:val="00905364"/>
    <w:rsid w:val="00905638"/>
    <w:rsid w:val="00905A50"/>
    <w:rsid w:val="00905EAF"/>
    <w:rsid w:val="009069FD"/>
    <w:rsid w:val="009070DD"/>
    <w:rsid w:val="00907131"/>
    <w:rsid w:val="00907754"/>
    <w:rsid w:val="00907B0B"/>
    <w:rsid w:val="00910308"/>
    <w:rsid w:val="00910374"/>
    <w:rsid w:val="00910575"/>
    <w:rsid w:val="00910803"/>
    <w:rsid w:val="0091097D"/>
    <w:rsid w:val="00911A6D"/>
    <w:rsid w:val="00911E2C"/>
    <w:rsid w:val="00911E99"/>
    <w:rsid w:val="00912E5D"/>
    <w:rsid w:val="00913048"/>
    <w:rsid w:val="009134B2"/>
    <w:rsid w:val="009134B6"/>
    <w:rsid w:val="00913EA3"/>
    <w:rsid w:val="009168A8"/>
    <w:rsid w:val="009168C6"/>
    <w:rsid w:val="00916924"/>
    <w:rsid w:val="00916CB3"/>
    <w:rsid w:val="00916F4E"/>
    <w:rsid w:val="00916FFF"/>
    <w:rsid w:val="00920687"/>
    <w:rsid w:val="009217C2"/>
    <w:rsid w:val="00921C7F"/>
    <w:rsid w:val="00922247"/>
    <w:rsid w:val="0092282E"/>
    <w:rsid w:val="0092284D"/>
    <w:rsid w:val="00922D0D"/>
    <w:rsid w:val="0092350C"/>
    <w:rsid w:val="00924154"/>
    <w:rsid w:val="00924E24"/>
    <w:rsid w:val="00924FAF"/>
    <w:rsid w:val="00924FF5"/>
    <w:rsid w:val="00925512"/>
    <w:rsid w:val="00925796"/>
    <w:rsid w:val="00925FB7"/>
    <w:rsid w:val="0092650D"/>
    <w:rsid w:val="00926B5C"/>
    <w:rsid w:val="00926C66"/>
    <w:rsid w:val="00926F83"/>
    <w:rsid w:val="009275BE"/>
    <w:rsid w:val="00927D5E"/>
    <w:rsid w:val="0093001C"/>
    <w:rsid w:val="009300CE"/>
    <w:rsid w:val="009305D1"/>
    <w:rsid w:val="00930FC7"/>
    <w:rsid w:val="0093139A"/>
    <w:rsid w:val="00932A48"/>
    <w:rsid w:val="00932B46"/>
    <w:rsid w:val="0093353B"/>
    <w:rsid w:val="009335EA"/>
    <w:rsid w:val="009339C2"/>
    <w:rsid w:val="00933A22"/>
    <w:rsid w:val="00933B43"/>
    <w:rsid w:val="00933BFD"/>
    <w:rsid w:val="00933C2B"/>
    <w:rsid w:val="00933D62"/>
    <w:rsid w:val="009343C6"/>
    <w:rsid w:val="009344A3"/>
    <w:rsid w:val="00934EC8"/>
    <w:rsid w:val="00935030"/>
    <w:rsid w:val="00935256"/>
    <w:rsid w:val="0093527E"/>
    <w:rsid w:val="0093581F"/>
    <w:rsid w:val="00935BFB"/>
    <w:rsid w:val="00940084"/>
    <w:rsid w:val="00940247"/>
    <w:rsid w:val="00940406"/>
    <w:rsid w:val="00940413"/>
    <w:rsid w:val="00941C6D"/>
    <w:rsid w:val="00942694"/>
    <w:rsid w:val="00942958"/>
    <w:rsid w:val="00942E45"/>
    <w:rsid w:val="009431CA"/>
    <w:rsid w:val="009431DC"/>
    <w:rsid w:val="009432D2"/>
    <w:rsid w:val="009433C5"/>
    <w:rsid w:val="009436F9"/>
    <w:rsid w:val="00943876"/>
    <w:rsid w:val="00943CD0"/>
    <w:rsid w:val="00944BEC"/>
    <w:rsid w:val="00944D54"/>
    <w:rsid w:val="0094539B"/>
    <w:rsid w:val="00945AC1"/>
    <w:rsid w:val="00945B0A"/>
    <w:rsid w:val="00945EE3"/>
    <w:rsid w:val="00946284"/>
    <w:rsid w:val="00947035"/>
    <w:rsid w:val="00947961"/>
    <w:rsid w:val="00947AC6"/>
    <w:rsid w:val="00950497"/>
    <w:rsid w:val="0095090D"/>
    <w:rsid w:val="00950A4E"/>
    <w:rsid w:val="00950F26"/>
    <w:rsid w:val="00950F63"/>
    <w:rsid w:val="00951093"/>
    <w:rsid w:val="009522C8"/>
    <w:rsid w:val="009534F6"/>
    <w:rsid w:val="00953665"/>
    <w:rsid w:val="0095402A"/>
    <w:rsid w:val="009541EA"/>
    <w:rsid w:val="0095433A"/>
    <w:rsid w:val="009543FA"/>
    <w:rsid w:val="00954657"/>
    <w:rsid w:val="009554C3"/>
    <w:rsid w:val="00955A78"/>
    <w:rsid w:val="009563E3"/>
    <w:rsid w:val="009568DA"/>
    <w:rsid w:val="00956973"/>
    <w:rsid w:val="0095735E"/>
    <w:rsid w:val="00957C36"/>
    <w:rsid w:val="00957F4A"/>
    <w:rsid w:val="009604BA"/>
    <w:rsid w:val="00960569"/>
    <w:rsid w:val="00960B47"/>
    <w:rsid w:val="00960E95"/>
    <w:rsid w:val="00960FCA"/>
    <w:rsid w:val="009612B9"/>
    <w:rsid w:val="0096135D"/>
    <w:rsid w:val="009619F9"/>
    <w:rsid w:val="00962584"/>
    <w:rsid w:val="00962C59"/>
    <w:rsid w:val="0096487E"/>
    <w:rsid w:val="00964EB1"/>
    <w:rsid w:val="00965274"/>
    <w:rsid w:val="00965565"/>
    <w:rsid w:val="00965799"/>
    <w:rsid w:val="00966306"/>
    <w:rsid w:val="00966829"/>
    <w:rsid w:val="009669AF"/>
    <w:rsid w:val="00966BF4"/>
    <w:rsid w:val="00966E61"/>
    <w:rsid w:val="00966EE4"/>
    <w:rsid w:val="00967A43"/>
    <w:rsid w:val="009705C5"/>
    <w:rsid w:val="009708F6"/>
    <w:rsid w:val="00970A84"/>
    <w:rsid w:val="0097159B"/>
    <w:rsid w:val="00971DF3"/>
    <w:rsid w:val="00971E3C"/>
    <w:rsid w:val="00972B05"/>
    <w:rsid w:val="0097364E"/>
    <w:rsid w:val="00973CA6"/>
    <w:rsid w:val="009744D4"/>
    <w:rsid w:val="0097455A"/>
    <w:rsid w:val="00974598"/>
    <w:rsid w:val="00974632"/>
    <w:rsid w:val="0097463A"/>
    <w:rsid w:val="0097469B"/>
    <w:rsid w:val="00974C43"/>
    <w:rsid w:val="00974DA2"/>
    <w:rsid w:val="009751B4"/>
    <w:rsid w:val="0097528E"/>
    <w:rsid w:val="00975832"/>
    <w:rsid w:val="00975D52"/>
    <w:rsid w:val="0097698A"/>
    <w:rsid w:val="00977E4A"/>
    <w:rsid w:val="00980626"/>
    <w:rsid w:val="009808B3"/>
    <w:rsid w:val="009819B0"/>
    <w:rsid w:val="009837A5"/>
    <w:rsid w:val="009838B8"/>
    <w:rsid w:val="00984472"/>
    <w:rsid w:val="00984D0D"/>
    <w:rsid w:val="00984FA9"/>
    <w:rsid w:val="0098528F"/>
    <w:rsid w:val="00985D95"/>
    <w:rsid w:val="00986446"/>
    <w:rsid w:val="0098653D"/>
    <w:rsid w:val="00986A31"/>
    <w:rsid w:val="0098784F"/>
    <w:rsid w:val="00987C3A"/>
    <w:rsid w:val="009906D6"/>
    <w:rsid w:val="00991549"/>
    <w:rsid w:val="00991839"/>
    <w:rsid w:val="009922D3"/>
    <w:rsid w:val="0099230F"/>
    <w:rsid w:val="00993177"/>
    <w:rsid w:val="00993E34"/>
    <w:rsid w:val="00994028"/>
    <w:rsid w:val="009940E1"/>
    <w:rsid w:val="0099411F"/>
    <w:rsid w:val="009946B5"/>
    <w:rsid w:val="0099514A"/>
    <w:rsid w:val="00995A6B"/>
    <w:rsid w:val="009960C8"/>
    <w:rsid w:val="00996666"/>
    <w:rsid w:val="00997390"/>
    <w:rsid w:val="0099770C"/>
    <w:rsid w:val="00997FCA"/>
    <w:rsid w:val="009A12BB"/>
    <w:rsid w:val="009A17F1"/>
    <w:rsid w:val="009A1BAE"/>
    <w:rsid w:val="009A27F7"/>
    <w:rsid w:val="009A389B"/>
    <w:rsid w:val="009A42D0"/>
    <w:rsid w:val="009A44CC"/>
    <w:rsid w:val="009A4FDF"/>
    <w:rsid w:val="009A5050"/>
    <w:rsid w:val="009A5984"/>
    <w:rsid w:val="009A61BA"/>
    <w:rsid w:val="009A6EC8"/>
    <w:rsid w:val="009A6F9D"/>
    <w:rsid w:val="009A7AE8"/>
    <w:rsid w:val="009B1E4F"/>
    <w:rsid w:val="009B20EA"/>
    <w:rsid w:val="009B2692"/>
    <w:rsid w:val="009B2B23"/>
    <w:rsid w:val="009B2BD4"/>
    <w:rsid w:val="009B2CC2"/>
    <w:rsid w:val="009B2CF8"/>
    <w:rsid w:val="009B2E63"/>
    <w:rsid w:val="009B32F0"/>
    <w:rsid w:val="009B3AA4"/>
    <w:rsid w:val="009B40DA"/>
    <w:rsid w:val="009B414A"/>
    <w:rsid w:val="009B48E7"/>
    <w:rsid w:val="009B4E89"/>
    <w:rsid w:val="009B702E"/>
    <w:rsid w:val="009B70D9"/>
    <w:rsid w:val="009B71E8"/>
    <w:rsid w:val="009B72FB"/>
    <w:rsid w:val="009B7E0D"/>
    <w:rsid w:val="009C09F7"/>
    <w:rsid w:val="009C0FD7"/>
    <w:rsid w:val="009C1069"/>
    <w:rsid w:val="009C1279"/>
    <w:rsid w:val="009C190C"/>
    <w:rsid w:val="009C1E3E"/>
    <w:rsid w:val="009C21AD"/>
    <w:rsid w:val="009C21EB"/>
    <w:rsid w:val="009C2333"/>
    <w:rsid w:val="009C2825"/>
    <w:rsid w:val="009C2C9D"/>
    <w:rsid w:val="009C31E9"/>
    <w:rsid w:val="009C347A"/>
    <w:rsid w:val="009C3A1B"/>
    <w:rsid w:val="009C50A8"/>
    <w:rsid w:val="009C5D3E"/>
    <w:rsid w:val="009C5D77"/>
    <w:rsid w:val="009C6001"/>
    <w:rsid w:val="009C6021"/>
    <w:rsid w:val="009C6036"/>
    <w:rsid w:val="009C6284"/>
    <w:rsid w:val="009C685C"/>
    <w:rsid w:val="009C70CA"/>
    <w:rsid w:val="009C754D"/>
    <w:rsid w:val="009D008B"/>
    <w:rsid w:val="009D084E"/>
    <w:rsid w:val="009D0D70"/>
    <w:rsid w:val="009D0F0B"/>
    <w:rsid w:val="009D0FA7"/>
    <w:rsid w:val="009D194D"/>
    <w:rsid w:val="009D19AE"/>
    <w:rsid w:val="009D1E10"/>
    <w:rsid w:val="009D2866"/>
    <w:rsid w:val="009D3268"/>
    <w:rsid w:val="009D3BE6"/>
    <w:rsid w:val="009D3FBE"/>
    <w:rsid w:val="009D4B36"/>
    <w:rsid w:val="009D59AF"/>
    <w:rsid w:val="009D5C41"/>
    <w:rsid w:val="009D5E46"/>
    <w:rsid w:val="009D63F9"/>
    <w:rsid w:val="009D65D7"/>
    <w:rsid w:val="009D695D"/>
    <w:rsid w:val="009D7487"/>
    <w:rsid w:val="009D7ED9"/>
    <w:rsid w:val="009E027D"/>
    <w:rsid w:val="009E0501"/>
    <w:rsid w:val="009E057F"/>
    <w:rsid w:val="009E0840"/>
    <w:rsid w:val="009E21D5"/>
    <w:rsid w:val="009E3051"/>
    <w:rsid w:val="009E33AF"/>
    <w:rsid w:val="009E35E5"/>
    <w:rsid w:val="009E3DD5"/>
    <w:rsid w:val="009E4004"/>
    <w:rsid w:val="009E4ADA"/>
    <w:rsid w:val="009E6035"/>
    <w:rsid w:val="009E6FF7"/>
    <w:rsid w:val="009E74F1"/>
    <w:rsid w:val="009E7B58"/>
    <w:rsid w:val="009F0842"/>
    <w:rsid w:val="009F0C20"/>
    <w:rsid w:val="009F0C21"/>
    <w:rsid w:val="009F0D19"/>
    <w:rsid w:val="009F1A91"/>
    <w:rsid w:val="009F1B9A"/>
    <w:rsid w:val="009F2BD9"/>
    <w:rsid w:val="009F30F8"/>
    <w:rsid w:val="009F329D"/>
    <w:rsid w:val="009F4602"/>
    <w:rsid w:val="009F4CD7"/>
    <w:rsid w:val="009F52DC"/>
    <w:rsid w:val="009F5369"/>
    <w:rsid w:val="009F568A"/>
    <w:rsid w:val="009F7147"/>
    <w:rsid w:val="009F795F"/>
    <w:rsid w:val="009F79A3"/>
    <w:rsid w:val="00A004D0"/>
    <w:rsid w:val="00A00695"/>
    <w:rsid w:val="00A00D96"/>
    <w:rsid w:val="00A01062"/>
    <w:rsid w:val="00A0109F"/>
    <w:rsid w:val="00A01765"/>
    <w:rsid w:val="00A0185D"/>
    <w:rsid w:val="00A04010"/>
    <w:rsid w:val="00A040E1"/>
    <w:rsid w:val="00A048BB"/>
    <w:rsid w:val="00A05EEA"/>
    <w:rsid w:val="00A0681B"/>
    <w:rsid w:val="00A06919"/>
    <w:rsid w:val="00A06D78"/>
    <w:rsid w:val="00A06E61"/>
    <w:rsid w:val="00A074D3"/>
    <w:rsid w:val="00A07F60"/>
    <w:rsid w:val="00A10F6D"/>
    <w:rsid w:val="00A115B1"/>
    <w:rsid w:val="00A117C0"/>
    <w:rsid w:val="00A11A26"/>
    <w:rsid w:val="00A127BF"/>
    <w:rsid w:val="00A12A22"/>
    <w:rsid w:val="00A12D6C"/>
    <w:rsid w:val="00A132DF"/>
    <w:rsid w:val="00A13364"/>
    <w:rsid w:val="00A139C4"/>
    <w:rsid w:val="00A13CAF"/>
    <w:rsid w:val="00A141A3"/>
    <w:rsid w:val="00A14444"/>
    <w:rsid w:val="00A14C70"/>
    <w:rsid w:val="00A14E90"/>
    <w:rsid w:val="00A15632"/>
    <w:rsid w:val="00A16248"/>
    <w:rsid w:val="00A16727"/>
    <w:rsid w:val="00A1685B"/>
    <w:rsid w:val="00A16E0A"/>
    <w:rsid w:val="00A175C6"/>
    <w:rsid w:val="00A1776C"/>
    <w:rsid w:val="00A17EE8"/>
    <w:rsid w:val="00A21164"/>
    <w:rsid w:val="00A213B9"/>
    <w:rsid w:val="00A21615"/>
    <w:rsid w:val="00A21C24"/>
    <w:rsid w:val="00A2215B"/>
    <w:rsid w:val="00A2238F"/>
    <w:rsid w:val="00A24A00"/>
    <w:rsid w:val="00A24B4D"/>
    <w:rsid w:val="00A25CB0"/>
    <w:rsid w:val="00A25FD8"/>
    <w:rsid w:val="00A2682F"/>
    <w:rsid w:val="00A26B0E"/>
    <w:rsid w:val="00A276D1"/>
    <w:rsid w:val="00A27E80"/>
    <w:rsid w:val="00A30AB8"/>
    <w:rsid w:val="00A30F8D"/>
    <w:rsid w:val="00A3105F"/>
    <w:rsid w:val="00A31381"/>
    <w:rsid w:val="00A313CB"/>
    <w:rsid w:val="00A3210D"/>
    <w:rsid w:val="00A322A2"/>
    <w:rsid w:val="00A325CC"/>
    <w:rsid w:val="00A3265E"/>
    <w:rsid w:val="00A3348C"/>
    <w:rsid w:val="00A339D9"/>
    <w:rsid w:val="00A35AC1"/>
    <w:rsid w:val="00A36393"/>
    <w:rsid w:val="00A36DDF"/>
    <w:rsid w:val="00A37563"/>
    <w:rsid w:val="00A37FC3"/>
    <w:rsid w:val="00A40230"/>
    <w:rsid w:val="00A40465"/>
    <w:rsid w:val="00A409C5"/>
    <w:rsid w:val="00A40A05"/>
    <w:rsid w:val="00A40D00"/>
    <w:rsid w:val="00A41A83"/>
    <w:rsid w:val="00A41AA9"/>
    <w:rsid w:val="00A41D53"/>
    <w:rsid w:val="00A422D4"/>
    <w:rsid w:val="00A42327"/>
    <w:rsid w:val="00A429CA"/>
    <w:rsid w:val="00A4378C"/>
    <w:rsid w:val="00A43871"/>
    <w:rsid w:val="00A44EF1"/>
    <w:rsid w:val="00A450C0"/>
    <w:rsid w:val="00A456DF"/>
    <w:rsid w:val="00A458E3"/>
    <w:rsid w:val="00A45CBF"/>
    <w:rsid w:val="00A4643F"/>
    <w:rsid w:val="00A46756"/>
    <w:rsid w:val="00A4740E"/>
    <w:rsid w:val="00A47540"/>
    <w:rsid w:val="00A513EC"/>
    <w:rsid w:val="00A51D3A"/>
    <w:rsid w:val="00A51DE8"/>
    <w:rsid w:val="00A521DD"/>
    <w:rsid w:val="00A524D2"/>
    <w:rsid w:val="00A527C3"/>
    <w:rsid w:val="00A5286D"/>
    <w:rsid w:val="00A5398E"/>
    <w:rsid w:val="00A541FF"/>
    <w:rsid w:val="00A548F0"/>
    <w:rsid w:val="00A54B63"/>
    <w:rsid w:val="00A55334"/>
    <w:rsid w:val="00A5572D"/>
    <w:rsid w:val="00A55BA8"/>
    <w:rsid w:val="00A55F88"/>
    <w:rsid w:val="00A55FFE"/>
    <w:rsid w:val="00A56196"/>
    <w:rsid w:val="00A56330"/>
    <w:rsid w:val="00A56F1E"/>
    <w:rsid w:val="00A56F78"/>
    <w:rsid w:val="00A572C0"/>
    <w:rsid w:val="00A61609"/>
    <w:rsid w:val="00A61737"/>
    <w:rsid w:val="00A62142"/>
    <w:rsid w:val="00A62165"/>
    <w:rsid w:val="00A6333F"/>
    <w:rsid w:val="00A6360C"/>
    <w:rsid w:val="00A63AC6"/>
    <w:rsid w:val="00A649E8"/>
    <w:rsid w:val="00A64F4F"/>
    <w:rsid w:val="00A64F67"/>
    <w:rsid w:val="00A652C5"/>
    <w:rsid w:val="00A65A20"/>
    <w:rsid w:val="00A65B80"/>
    <w:rsid w:val="00A65E6F"/>
    <w:rsid w:val="00A664B0"/>
    <w:rsid w:val="00A66681"/>
    <w:rsid w:val="00A667E2"/>
    <w:rsid w:val="00A669D3"/>
    <w:rsid w:val="00A67705"/>
    <w:rsid w:val="00A67A85"/>
    <w:rsid w:val="00A70B0A"/>
    <w:rsid w:val="00A70D34"/>
    <w:rsid w:val="00A7140C"/>
    <w:rsid w:val="00A717DA"/>
    <w:rsid w:val="00A721CE"/>
    <w:rsid w:val="00A7266A"/>
    <w:rsid w:val="00A729E4"/>
    <w:rsid w:val="00A72D17"/>
    <w:rsid w:val="00A737BA"/>
    <w:rsid w:val="00A73CAE"/>
    <w:rsid w:val="00A74F2C"/>
    <w:rsid w:val="00A757FE"/>
    <w:rsid w:val="00A759CB"/>
    <w:rsid w:val="00A75C0C"/>
    <w:rsid w:val="00A76BD3"/>
    <w:rsid w:val="00A76ECC"/>
    <w:rsid w:val="00A76F9B"/>
    <w:rsid w:val="00A7714D"/>
    <w:rsid w:val="00A776AA"/>
    <w:rsid w:val="00A77CEA"/>
    <w:rsid w:val="00A77EA1"/>
    <w:rsid w:val="00A77F37"/>
    <w:rsid w:val="00A80923"/>
    <w:rsid w:val="00A80E67"/>
    <w:rsid w:val="00A81273"/>
    <w:rsid w:val="00A8177C"/>
    <w:rsid w:val="00A81ACB"/>
    <w:rsid w:val="00A81CF2"/>
    <w:rsid w:val="00A821F6"/>
    <w:rsid w:val="00A825E5"/>
    <w:rsid w:val="00A83B2F"/>
    <w:rsid w:val="00A84478"/>
    <w:rsid w:val="00A848DC"/>
    <w:rsid w:val="00A85C82"/>
    <w:rsid w:val="00A8670E"/>
    <w:rsid w:val="00A86819"/>
    <w:rsid w:val="00A871FE"/>
    <w:rsid w:val="00A874B9"/>
    <w:rsid w:val="00A8755B"/>
    <w:rsid w:val="00A875D7"/>
    <w:rsid w:val="00A8783A"/>
    <w:rsid w:val="00A901DB"/>
    <w:rsid w:val="00A90A7A"/>
    <w:rsid w:val="00A91BA4"/>
    <w:rsid w:val="00A92527"/>
    <w:rsid w:val="00A9253B"/>
    <w:rsid w:val="00A92E72"/>
    <w:rsid w:val="00A94200"/>
    <w:rsid w:val="00A94434"/>
    <w:rsid w:val="00A94904"/>
    <w:rsid w:val="00A9494F"/>
    <w:rsid w:val="00A9568C"/>
    <w:rsid w:val="00A9643B"/>
    <w:rsid w:val="00A96657"/>
    <w:rsid w:val="00A966A8"/>
    <w:rsid w:val="00A967C0"/>
    <w:rsid w:val="00A97651"/>
    <w:rsid w:val="00A97B5B"/>
    <w:rsid w:val="00A97BE6"/>
    <w:rsid w:val="00A97C73"/>
    <w:rsid w:val="00AA0C25"/>
    <w:rsid w:val="00AA119C"/>
    <w:rsid w:val="00AA11D4"/>
    <w:rsid w:val="00AA13D8"/>
    <w:rsid w:val="00AA2167"/>
    <w:rsid w:val="00AA2ABB"/>
    <w:rsid w:val="00AA2FD9"/>
    <w:rsid w:val="00AA3C88"/>
    <w:rsid w:val="00AA4577"/>
    <w:rsid w:val="00AA45D2"/>
    <w:rsid w:val="00AA493B"/>
    <w:rsid w:val="00AA5793"/>
    <w:rsid w:val="00AA6008"/>
    <w:rsid w:val="00AA625E"/>
    <w:rsid w:val="00AA63E0"/>
    <w:rsid w:val="00AA6513"/>
    <w:rsid w:val="00AA6F7B"/>
    <w:rsid w:val="00AA79A6"/>
    <w:rsid w:val="00AB0931"/>
    <w:rsid w:val="00AB1026"/>
    <w:rsid w:val="00AB10CD"/>
    <w:rsid w:val="00AB12AB"/>
    <w:rsid w:val="00AB233E"/>
    <w:rsid w:val="00AB281B"/>
    <w:rsid w:val="00AB358A"/>
    <w:rsid w:val="00AB3AC6"/>
    <w:rsid w:val="00AB5AF4"/>
    <w:rsid w:val="00AB639E"/>
    <w:rsid w:val="00AB63D1"/>
    <w:rsid w:val="00AB65DD"/>
    <w:rsid w:val="00AB6AB4"/>
    <w:rsid w:val="00AB6B55"/>
    <w:rsid w:val="00AC0277"/>
    <w:rsid w:val="00AC04DC"/>
    <w:rsid w:val="00AC09F0"/>
    <w:rsid w:val="00AC1147"/>
    <w:rsid w:val="00AC21BF"/>
    <w:rsid w:val="00AC292D"/>
    <w:rsid w:val="00AC29CF"/>
    <w:rsid w:val="00AC2C00"/>
    <w:rsid w:val="00AC2E18"/>
    <w:rsid w:val="00AC2F9B"/>
    <w:rsid w:val="00AC34CF"/>
    <w:rsid w:val="00AC4AA3"/>
    <w:rsid w:val="00AC4C1B"/>
    <w:rsid w:val="00AC507A"/>
    <w:rsid w:val="00AC50F0"/>
    <w:rsid w:val="00AC54BB"/>
    <w:rsid w:val="00AC5681"/>
    <w:rsid w:val="00AC5A92"/>
    <w:rsid w:val="00AC5CDB"/>
    <w:rsid w:val="00AC6B79"/>
    <w:rsid w:val="00AC742F"/>
    <w:rsid w:val="00AC76A0"/>
    <w:rsid w:val="00AC7B62"/>
    <w:rsid w:val="00AD002D"/>
    <w:rsid w:val="00AD05FD"/>
    <w:rsid w:val="00AD0947"/>
    <w:rsid w:val="00AD0DE5"/>
    <w:rsid w:val="00AD0F65"/>
    <w:rsid w:val="00AD1326"/>
    <w:rsid w:val="00AD18A9"/>
    <w:rsid w:val="00AD220C"/>
    <w:rsid w:val="00AD2449"/>
    <w:rsid w:val="00AD2AB1"/>
    <w:rsid w:val="00AD38BF"/>
    <w:rsid w:val="00AD3AB4"/>
    <w:rsid w:val="00AD3C3D"/>
    <w:rsid w:val="00AD3C72"/>
    <w:rsid w:val="00AD3E93"/>
    <w:rsid w:val="00AD41A1"/>
    <w:rsid w:val="00AD4299"/>
    <w:rsid w:val="00AD456B"/>
    <w:rsid w:val="00AD4883"/>
    <w:rsid w:val="00AD4B33"/>
    <w:rsid w:val="00AD5923"/>
    <w:rsid w:val="00AD5B3D"/>
    <w:rsid w:val="00AD61C4"/>
    <w:rsid w:val="00AD62DD"/>
    <w:rsid w:val="00AD67E2"/>
    <w:rsid w:val="00AD6811"/>
    <w:rsid w:val="00AD6C3F"/>
    <w:rsid w:val="00AD755A"/>
    <w:rsid w:val="00AD768D"/>
    <w:rsid w:val="00AD7836"/>
    <w:rsid w:val="00AE0D0A"/>
    <w:rsid w:val="00AE0D5E"/>
    <w:rsid w:val="00AE0DD9"/>
    <w:rsid w:val="00AE1942"/>
    <w:rsid w:val="00AE1E5D"/>
    <w:rsid w:val="00AE1E7D"/>
    <w:rsid w:val="00AE2AAF"/>
    <w:rsid w:val="00AE2E28"/>
    <w:rsid w:val="00AE3278"/>
    <w:rsid w:val="00AE3554"/>
    <w:rsid w:val="00AE37BA"/>
    <w:rsid w:val="00AE3E2C"/>
    <w:rsid w:val="00AE46EF"/>
    <w:rsid w:val="00AE48D5"/>
    <w:rsid w:val="00AE4E8E"/>
    <w:rsid w:val="00AE5364"/>
    <w:rsid w:val="00AE5424"/>
    <w:rsid w:val="00AE5B5B"/>
    <w:rsid w:val="00AE5E86"/>
    <w:rsid w:val="00AE5FAD"/>
    <w:rsid w:val="00AE6786"/>
    <w:rsid w:val="00AE67C5"/>
    <w:rsid w:val="00AE6BAB"/>
    <w:rsid w:val="00AE6E8E"/>
    <w:rsid w:val="00AE75E0"/>
    <w:rsid w:val="00AE77D2"/>
    <w:rsid w:val="00AF004D"/>
    <w:rsid w:val="00AF00CD"/>
    <w:rsid w:val="00AF0159"/>
    <w:rsid w:val="00AF0A1E"/>
    <w:rsid w:val="00AF136F"/>
    <w:rsid w:val="00AF1BCF"/>
    <w:rsid w:val="00AF23B3"/>
    <w:rsid w:val="00AF2D35"/>
    <w:rsid w:val="00AF5733"/>
    <w:rsid w:val="00AF5C80"/>
    <w:rsid w:val="00AF66CC"/>
    <w:rsid w:val="00AF6A2A"/>
    <w:rsid w:val="00AF6C62"/>
    <w:rsid w:val="00AF6CF4"/>
    <w:rsid w:val="00AF6EC4"/>
    <w:rsid w:val="00AF74D8"/>
    <w:rsid w:val="00AF7693"/>
    <w:rsid w:val="00AF7C46"/>
    <w:rsid w:val="00B00383"/>
    <w:rsid w:val="00B0074C"/>
    <w:rsid w:val="00B00AA5"/>
    <w:rsid w:val="00B00C6F"/>
    <w:rsid w:val="00B013FE"/>
    <w:rsid w:val="00B015E5"/>
    <w:rsid w:val="00B016CE"/>
    <w:rsid w:val="00B01AA8"/>
    <w:rsid w:val="00B02066"/>
    <w:rsid w:val="00B023AB"/>
    <w:rsid w:val="00B02AC0"/>
    <w:rsid w:val="00B02F93"/>
    <w:rsid w:val="00B03194"/>
    <w:rsid w:val="00B03B60"/>
    <w:rsid w:val="00B0440C"/>
    <w:rsid w:val="00B0484D"/>
    <w:rsid w:val="00B06F31"/>
    <w:rsid w:val="00B07017"/>
    <w:rsid w:val="00B07116"/>
    <w:rsid w:val="00B07340"/>
    <w:rsid w:val="00B07C8C"/>
    <w:rsid w:val="00B101F5"/>
    <w:rsid w:val="00B10368"/>
    <w:rsid w:val="00B106FD"/>
    <w:rsid w:val="00B112BB"/>
    <w:rsid w:val="00B1172B"/>
    <w:rsid w:val="00B11D0A"/>
    <w:rsid w:val="00B11D25"/>
    <w:rsid w:val="00B11D91"/>
    <w:rsid w:val="00B1341B"/>
    <w:rsid w:val="00B13878"/>
    <w:rsid w:val="00B13A62"/>
    <w:rsid w:val="00B13B65"/>
    <w:rsid w:val="00B13D88"/>
    <w:rsid w:val="00B140B2"/>
    <w:rsid w:val="00B1446F"/>
    <w:rsid w:val="00B14E16"/>
    <w:rsid w:val="00B1557B"/>
    <w:rsid w:val="00B155A1"/>
    <w:rsid w:val="00B15C19"/>
    <w:rsid w:val="00B15D28"/>
    <w:rsid w:val="00B166E7"/>
    <w:rsid w:val="00B16FC1"/>
    <w:rsid w:val="00B17963"/>
    <w:rsid w:val="00B17FE3"/>
    <w:rsid w:val="00B20343"/>
    <w:rsid w:val="00B20785"/>
    <w:rsid w:val="00B20A98"/>
    <w:rsid w:val="00B20C04"/>
    <w:rsid w:val="00B20C5B"/>
    <w:rsid w:val="00B20EED"/>
    <w:rsid w:val="00B213CD"/>
    <w:rsid w:val="00B215D7"/>
    <w:rsid w:val="00B219B5"/>
    <w:rsid w:val="00B2347B"/>
    <w:rsid w:val="00B238EE"/>
    <w:rsid w:val="00B23F3B"/>
    <w:rsid w:val="00B25A3A"/>
    <w:rsid w:val="00B25A80"/>
    <w:rsid w:val="00B2640A"/>
    <w:rsid w:val="00B269AC"/>
    <w:rsid w:val="00B26AB7"/>
    <w:rsid w:val="00B26B5C"/>
    <w:rsid w:val="00B26BCC"/>
    <w:rsid w:val="00B26EC6"/>
    <w:rsid w:val="00B276D5"/>
    <w:rsid w:val="00B2788B"/>
    <w:rsid w:val="00B278B9"/>
    <w:rsid w:val="00B27F59"/>
    <w:rsid w:val="00B30CB3"/>
    <w:rsid w:val="00B3131C"/>
    <w:rsid w:val="00B3159C"/>
    <w:rsid w:val="00B3164A"/>
    <w:rsid w:val="00B3169C"/>
    <w:rsid w:val="00B31AF8"/>
    <w:rsid w:val="00B31D88"/>
    <w:rsid w:val="00B31DD8"/>
    <w:rsid w:val="00B31F05"/>
    <w:rsid w:val="00B32BED"/>
    <w:rsid w:val="00B32E5C"/>
    <w:rsid w:val="00B340E6"/>
    <w:rsid w:val="00B342B4"/>
    <w:rsid w:val="00B34894"/>
    <w:rsid w:val="00B34DEE"/>
    <w:rsid w:val="00B351D9"/>
    <w:rsid w:val="00B351ED"/>
    <w:rsid w:val="00B35267"/>
    <w:rsid w:val="00B35586"/>
    <w:rsid w:val="00B35D3F"/>
    <w:rsid w:val="00B36565"/>
    <w:rsid w:val="00B3675D"/>
    <w:rsid w:val="00B369E4"/>
    <w:rsid w:val="00B37178"/>
    <w:rsid w:val="00B3742E"/>
    <w:rsid w:val="00B3782B"/>
    <w:rsid w:val="00B37F14"/>
    <w:rsid w:val="00B37F6C"/>
    <w:rsid w:val="00B40713"/>
    <w:rsid w:val="00B40B7D"/>
    <w:rsid w:val="00B413A1"/>
    <w:rsid w:val="00B42329"/>
    <w:rsid w:val="00B4240A"/>
    <w:rsid w:val="00B42C88"/>
    <w:rsid w:val="00B437FC"/>
    <w:rsid w:val="00B43807"/>
    <w:rsid w:val="00B442BC"/>
    <w:rsid w:val="00B445B7"/>
    <w:rsid w:val="00B44712"/>
    <w:rsid w:val="00B44FF0"/>
    <w:rsid w:val="00B465ED"/>
    <w:rsid w:val="00B469B5"/>
    <w:rsid w:val="00B46A96"/>
    <w:rsid w:val="00B46AB2"/>
    <w:rsid w:val="00B46D9B"/>
    <w:rsid w:val="00B47C4A"/>
    <w:rsid w:val="00B47C87"/>
    <w:rsid w:val="00B51558"/>
    <w:rsid w:val="00B51BCE"/>
    <w:rsid w:val="00B526E0"/>
    <w:rsid w:val="00B52ADD"/>
    <w:rsid w:val="00B52DFB"/>
    <w:rsid w:val="00B53436"/>
    <w:rsid w:val="00B536C7"/>
    <w:rsid w:val="00B5380D"/>
    <w:rsid w:val="00B53D5C"/>
    <w:rsid w:val="00B54010"/>
    <w:rsid w:val="00B5430B"/>
    <w:rsid w:val="00B546FD"/>
    <w:rsid w:val="00B547F8"/>
    <w:rsid w:val="00B5494C"/>
    <w:rsid w:val="00B54986"/>
    <w:rsid w:val="00B54D7C"/>
    <w:rsid w:val="00B55BDF"/>
    <w:rsid w:val="00B55D20"/>
    <w:rsid w:val="00B56019"/>
    <w:rsid w:val="00B5627D"/>
    <w:rsid w:val="00B56763"/>
    <w:rsid w:val="00B56B22"/>
    <w:rsid w:val="00B56B7F"/>
    <w:rsid w:val="00B5704F"/>
    <w:rsid w:val="00B570A6"/>
    <w:rsid w:val="00B57367"/>
    <w:rsid w:val="00B5753E"/>
    <w:rsid w:val="00B577A1"/>
    <w:rsid w:val="00B607B2"/>
    <w:rsid w:val="00B60C55"/>
    <w:rsid w:val="00B60EAA"/>
    <w:rsid w:val="00B61B37"/>
    <w:rsid w:val="00B61EE8"/>
    <w:rsid w:val="00B62655"/>
    <w:rsid w:val="00B62D55"/>
    <w:rsid w:val="00B6306E"/>
    <w:rsid w:val="00B63326"/>
    <w:rsid w:val="00B63564"/>
    <w:rsid w:val="00B63DBF"/>
    <w:rsid w:val="00B63E67"/>
    <w:rsid w:val="00B64473"/>
    <w:rsid w:val="00B644DF"/>
    <w:rsid w:val="00B649EB"/>
    <w:rsid w:val="00B64AD1"/>
    <w:rsid w:val="00B64B10"/>
    <w:rsid w:val="00B64EDF"/>
    <w:rsid w:val="00B652F4"/>
    <w:rsid w:val="00B65A10"/>
    <w:rsid w:val="00B65BC6"/>
    <w:rsid w:val="00B65C48"/>
    <w:rsid w:val="00B6648B"/>
    <w:rsid w:val="00B66B6D"/>
    <w:rsid w:val="00B66D5A"/>
    <w:rsid w:val="00B670CC"/>
    <w:rsid w:val="00B6710B"/>
    <w:rsid w:val="00B675FF"/>
    <w:rsid w:val="00B71FF6"/>
    <w:rsid w:val="00B72460"/>
    <w:rsid w:val="00B73162"/>
    <w:rsid w:val="00B73A53"/>
    <w:rsid w:val="00B73D2A"/>
    <w:rsid w:val="00B7402E"/>
    <w:rsid w:val="00B74069"/>
    <w:rsid w:val="00B740BF"/>
    <w:rsid w:val="00B7420B"/>
    <w:rsid w:val="00B746FF"/>
    <w:rsid w:val="00B74721"/>
    <w:rsid w:val="00B76511"/>
    <w:rsid w:val="00B7688E"/>
    <w:rsid w:val="00B76DA4"/>
    <w:rsid w:val="00B7705A"/>
    <w:rsid w:val="00B77494"/>
    <w:rsid w:val="00B80A2B"/>
    <w:rsid w:val="00B81059"/>
    <w:rsid w:val="00B81BE7"/>
    <w:rsid w:val="00B8209F"/>
    <w:rsid w:val="00B822AF"/>
    <w:rsid w:val="00B82F90"/>
    <w:rsid w:val="00B83A1F"/>
    <w:rsid w:val="00B83F26"/>
    <w:rsid w:val="00B84390"/>
    <w:rsid w:val="00B8477D"/>
    <w:rsid w:val="00B8478F"/>
    <w:rsid w:val="00B8481E"/>
    <w:rsid w:val="00B859B0"/>
    <w:rsid w:val="00B85DC4"/>
    <w:rsid w:val="00B85FEC"/>
    <w:rsid w:val="00B86382"/>
    <w:rsid w:val="00B86FF6"/>
    <w:rsid w:val="00B870F0"/>
    <w:rsid w:val="00B8751A"/>
    <w:rsid w:val="00B87C88"/>
    <w:rsid w:val="00B87CAC"/>
    <w:rsid w:val="00B87D90"/>
    <w:rsid w:val="00B906EE"/>
    <w:rsid w:val="00B9126A"/>
    <w:rsid w:val="00B91952"/>
    <w:rsid w:val="00B91D57"/>
    <w:rsid w:val="00B9286C"/>
    <w:rsid w:val="00B929C6"/>
    <w:rsid w:val="00B92FB1"/>
    <w:rsid w:val="00B934E8"/>
    <w:rsid w:val="00B93BD8"/>
    <w:rsid w:val="00B94660"/>
    <w:rsid w:val="00B960C3"/>
    <w:rsid w:val="00B96696"/>
    <w:rsid w:val="00B968DF"/>
    <w:rsid w:val="00B97750"/>
    <w:rsid w:val="00B97EAD"/>
    <w:rsid w:val="00BA1D3C"/>
    <w:rsid w:val="00BA25E8"/>
    <w:rsid w:val="00BA28D7"/>
    <w:rsid w:val="00BA303C"/>
    <w:rsid w:val="00BA3059"/>
    <w:rsid w:val="00BA34A4"/>
    <w:rsid w:val="00BA3AB8"/>
    <w:rsid w:val="00BA4321"/>
    <w:rsid w:val="00BA4DC5"/>
    <w:rsid w:val="00BA5724"/>
    <w:rsid w:val="00BA5C97"/>
    <w:rsid w:val="00BA6C1E"/>
    <w:rsid w:val="00BA7CF4"/>
    <w:rsid w:val="00BB0A8D"/>
    <w:rsid w:val="00BB14F4"/>
    <w:rsid w:val="00BB1770"/>
    <w:rsid w:val="00BB1A15"/>
    <w:rsid w:val="00BB27B3"/>
    <w:rsid w:val="00BB2B77"/>
    <w:rsid w:val="00BB2E0F"/>
    <w:rsid w:val="00BB3322"/>
    <w:rsid w:val="00BB3642"/>
    <w:rsid w:val="00BB37EA"/>
    <w:rsid w:val="00BB45CE"/>
    <w:rsid w:val="00BB4DE3"/>
    <w:rsid w:val="00BB4E4D"/>
    <w:rsid w:val="00BB549F"/>
    <w:rsid w:val="00BB55AF"/>
    <w:rsid w:val="00BB5D4E"/>
    <w:rsid w:val="00BB6246"/>
    <w:rsid w:val="00BB65ED"/>
    <w:rsid w:val="00BB71C5"/>
    <w:rsid w:val="00BB735D"/>
    <w:rsid w:val="00BB74AB"/>
    <w:rsid w:val="00BB7EF1"/>
    <w:rsid w:val="00BC01B7"/>
    <w:rsid w:val="00BC1ACE"/>
    <w:rsid w:val="00BC1E43"/>
    <w:rsid w:val="00BC3BBF"/>
    <w:rsid w:val="00BC44F7"/>
    <w:rsid w:val="00BC598B"/>
    <w:rsid w:val="00BC5FAA"/>
    <w:rsid w:val="00BC79C3"/>
    <w:rsid w:val="00BC7B36"/>
    <w:rsid w:val="00BD0890"/>
    <w:rsid w:val="00BD0BF9"/>
    <w:rsid w:val="00BD1343"/>
    <w:rsid w:val="00BD1785"/>
    <w:rsid w:val="00BD18DB"/>
    <w:rsid w:val="00BD1C99"/>
    <w:rsid w:val="00BD27B9"/>
    <w:rsid w:val="00BD28D5"/>
    <w:rsid w:val="00BD3937"/>
    <w:rsid w:val="00BD3F6D"/>
    <w:rsid w:val="00BD408B"/>
    <w:rsid w:val="00BD4947"/>
    <w:rsid w:val="00BD498D"/>
    <w:rsid w:val="00BD57CE"/>
    <w:rsid w:val="00BD59AA"/>
    <w:rsid w:val="00BD59EE"/>
    <w:rsid w:val="00BD5BCC"/>
    <w:rsid w:val="00BD652F"/>
    <w:rsid w:val="00BD66EE"/>
    <w:rsid w:val="00BD6A1F"/>
    <w:rsid w:val="00BD7664"/>
    <w:rsid w:val="00BD77C6"/>
    <w:rsid w:val="00BD7BD2"/>
    <w:rsid w:val="00BD7C89"/>
    <w:rsid w:val="00BE03A3"/>
    <w:rsid w:val="00BE03AC"/>
    <w:rsid w:val="00BE0A24"/>
    <w:rsid w:val="00BE0DE4"/>
    <w:rsid w:val="00BE1A39"/>
    <w:rsid w:val="00BE2043"/>
    <w:rsid w:val="00BE22B2"/>
    <w:rsid w:val="00BE231D"/>
    <w:rsid w:val="00BE273B"/>
    <w:rsid w:val="00BE28C0"/>
    <w:rsid w:val="00BE2A91"/>
    <w:rsid w:val="00BE317E"/>
    <w:rsid w:val="00BE31F6"/>
    <w:rsid w:val="00BE3223"/>
    <w:rsid w:val="00BE3405"/>
    <w:rsid w:val="00BE4579"/>
    <w:rsid w:val="00BE49BC"/>
    <w:rsid w:val="00BE4F45"/>
    <w:rsid w:val="00BE573E"/>
    <w:rsid w:val="00BE5751"/>
    <w:rsid w:val="00BE5D22"/>
    <w:rsid w:val="00BE5EBB"/>
    <w:rsid w:val="00BE6734"/>
    <w:rsid w:val="00BE7056"/>
    <w:rsid w:val="00BE7423"/>
    <w:rsid w:val="00BE7C10"/>
    <w:rsid w:val="00BE7CC5"/>
    <w:rsid w:val="00BE7E1F"/>
    <w:rsid w:val="00BF0DD4"/>
    <w:rsid w:val="00BF18BE"/>
    <w:rsid w:val="00BF1D60"/>
    <w:rsid w:val="00BF23ED"/>
    <w:rsid w:val="00BF2C6F"/>
    <w:rsid w:val="00BF31E9"/>
    <w:rsid w:val="00BF3BBF"/>
    <w:rsid w:val="00BF4039"/>
    <w:rsid w:val="00BF45C0"/>
    <w:rsid w:val="00BF497A"/>
    <w:rsid w:val="00BF4A37"/>
    <w:rsid w:val="00BF617C"/>
    <w:rsid w:val="00C0032D"/>
    <w:rsid w:val="00C0125B"/>
    <w:rsid w:val="00C013B3"/>
    <w:rsid w:val="00C0186E"/>
    <w:rsid w:val="00C01C79"/>
    <w:rsid w:val="00C01CB5"/>
    <w:rsid w:val="00C034BC"/>
    <w:rsid w:val="00C03B40"/>
    <w:rsid w:val="00C03BB9"/>
    <w:rsid w:val="00C048A2"/>
    <w:rsid w:val="00C04BD3"/>
    <w:rsid w:val="00C05492"/>
    <w:rsid w:val="00C0553A"/>
    <w:rsid w:val="00C05675"/>
    <w:rsid w:val="00C05975"/>
    <w:rsid w:val="00C05ADF"/>
    <w:rsid w:val="00C05BF1"/>
    <w:rsid w:val="00C05DCE"/>
    <w:rsid w:val="00C06DDC"/>
    <w:rsid w:val="00C0756B"/>
    <w:rsid w:val="00C07636"/>
    <w:rsid w:val="00C0794E"/>
    <w:rsid w:val="00C07FF0"/>
    <w:rsid w:val="00C10DD3"/>
    <w:rsid w:val="00C11BBE"/>
    <w:rsid w:val="00C12012"/>
    <w:rsid w:val="00C12B01"/>
    <w:rsid w:val="00C1316E"/>
    <w:rsid w:val="00C13C0D"/>
    <w:rsid w:val="00C13EDA"/>
    <w:rsid w:val="00C14484"/>
    <w:rsid w:val="00C14758"/>
    <w:rsid w:val="00C1497B"/>
    <w:rsid w:val="00C149E7"/>
    <w:rsid w:val="00C14A37"/>
    <w:rsid w:val="00C14A4C"/>
    <w:rsid w:val="00C15515"/>
    <w:rsid w:val="00C15D4A"/>
    <w:rsid w:val="00C161A0"/>
    <w:rsid w:val="00C1637F"/>
    <w:rsid w:val="00C16623"/>
    <w:rsid w:val="00C1692B"/>
    <w:rsid w:val="00C16B1B"/>
    <w:rsid w:val="00C172EB"/>
    <w:rsid w:val="00C1744D"/>
    <w:rsid w:val="00C17978"/>
    <w:rsid w:val="00C17A18"/>
    <w:rsid w:val="00C20CEA"/>
    <w:rsid w:val="00C20EC3"/>
    <w:rsid w:val="00C21F9A"/>
    <w:rsid w:val="00C22D28"/>
    <w:rsid w:val="00C22FAE"/>
    <w:rsid w:val="00C235EE"/>
    <w:rsid w:val="00C2360E"/>
    <w:rsid w:val="00C2383F"/>
    <w:rsid w:val="00C23AD9"/>
    <w:rsid w:val="00C23AE7"/>
    <w:rsid w:val="00C23D05"/>
    <w:rsid w:val="00C247EC"/>
    <w:rsid w:val="00C248E6"/>
    <w:rsid w:val="00C24C68"/>
    <w:rsid w:val="00C24E0F"/>
    <w:rsid w:val="00C24E64"/>
    <w:rsid w:val="00C24EFB"/>
    <w:rsid w:val="00C24F4F"/>
    <w:rsid w:val="00C24FD7"/>
    <w:rsid w:val="00C254BA"/>
    <w:rsid w:val="00C25568"/>
    <w:rsid w:val="00C262FC"/>
    <w:rsid w:val="00C265DB"/>
    <w:rsid w:val="00C26ADE"/>
    <w:rsid w:val="00C273C5"/>
    <w:rsid w:val="00C2783B"/>
    <w:rsid w:val="00C303C5"/>
    <w:rsid w:val="00C31E43"/>
    <w:rsid w:val="00C32283"/>
    <w:rsid w:val="00C3263D"/>
    <w:rsid w:val="00C32B84"/>
    <w:rsid w:val="00C337C5"/>
    <w:rsid w:val="00C33F62"/>
    <w:rsid w:val="00C3421B"/>
    <w:rsid w:val="00C34296"/>
    <w:rsid w:val="00C34956"/>
    <w:rsid w:val="00C34E53"/>
    <w:rsid w:val="00C351A6"/>
    <w:rsid w:val="00C37419"/>
    <w:rsid w:val="00C374A5"/>
    <w:rsid w:val="00C379C3"/>
    <w:rsid w:val="00C40F6A"/>
    <w:rsid w:val="00C4100E"/>
    <w:rsid w:val="00C41C8C"/>
    <w:rsid w:val="00C42334"/>
    <w:rsid w:val="00C42C61"/>
    <w:rsid w:val="00C43086"/>
    <w:rsid w:val="00C43377"/>
    <w:rsid w:val="00C44147"/>
    <w:rsid w:val="00C444B3"/>
    <w:rsid w:val="00C4496F"/>
    <w:rsid w:val="00C44C51"/>
    <w:rsid w:val="00C45A52"/>
    <w:rsid w:val="00C45AC5"/>
    <w:rsid w:val="00C45E0B"/>
    <w:rsid w:val="00C46147"/>
    <w:rsid w:val="00C46220"/>
    <w:rsid w:val="00C46533"/>
    <w:rsid w:val="00C46C26"/>
    <w:rsid w:val="00C46C55"/>
    <w:rsid w:val="00C504A0"/>
    <w:rsid w:val="00C506D7"/>
    <w:rsid w:val="00C5088A"/>
    <w:rsid w:val="00C50B6E"/>
    <w:rsid w:val="00C51212"/>
    <w:rsid w:val="00C515A0"/>
    <w:rsid w:val="00C5206F"/>
    <w:rsid w:val="00C5272D"/>
    <w:rsid w:val="00C5280F"/>
    <w:rsid w:val="00C52B12"/>
    <w:rsid w:val="00C53605"/>
    <w:rsid w:val="00C539E3"/>
    <w:rsid w:val="00C54DB1"/>
    <w:rsid w:val="00C56592"/>
    <w:rsid w:val="00C56ED7"/>
    <w:rsid w:val="00C56EFF"/>
    <w:rsid w:val="00C5724C"/>
    <w:rsid w:val="00C605BF"/>
    <w:rsid w:val="00C60815"/>
    <w:rsid w:val="00C6084C"/>
    <w:rsid w:val="00C609ED"/>
    <w:rsid w:val="00C6123E"/>
    <w:rsid w:val="00C61D50"/>
    <w:rsid w:val="00C62319"/>
    <w:rsid w:val="00C62D94"/>
    <w:rsid w:val="00C6318D"/>
    <w:rsid w:val="00C63AA6"/>
    <w:rsid w:val="00C64006"/>
    <w:rsid w:val="00C64890"/>
    <w:rsid w:val="00C64DE0"/>
    <w:rsid w:val="00C64EB8"/>
    <w:rsid w:val="00C65E65"/>
    <w:rsid w:val="00C66559"/>
    <w:rsid w:val="00C668F0"/>
    <w:rsid w:val="00C66B0C"/>
    <w:rsid w:val="00C675FE"/>
    <w:rsid w:val="00C70A53"/>
    <w:rsid w:val="00C70BFE"/>
    <w:rsid w:val="00C70E7A"/>
    <w:rsid w:val="00C71A3C"/>
    <w:rsid w:val="00C71BBA"/>
    <w:rsid w:val="00C71F62"/>
    <w:rsid w:val="00C721DE"/>
    <w:rsid w:val="00C7220B"/>
    <w:rsid w:val="00C7270C"/>
    <w:rsid w:val="00C72CA0"/>
    <w:rsid w:val="00C7352B"/>
    <w:rsid w:val="00C735E2"/>
    <w:rsid w:val="00C73870"/>
    <w:rsid w:val="00C74E16"/>
    <w:rsid w:val="00C75116"/>
    <w:rsid w:val="00C75653"/>
    <w:rsid w:val="00C75DF6"/>
    <w:rsid w:val="00C76AC1"/>
    <w:rsid w:val="00C76ECF"/>
    <w:rsid w:val="00C776DA"/>
    <w:rsid w:val="00C777B9"/>
    <w:rsid w:val="00C80225"/>
    <w:rsid w:val="00C809E1"/>
    <w:rsid w:val="00C80AB6"/>
    <w:rsid w:val="00C81001"/>
    <w:rsid w:val="00C81FB1"/>
    <w:rsid w:val="00C8250E"/>
    <w:rsid w:val="00C82C47"/>
    <w:rsid w:val="00C82DF7"/>
    <w:rsid w:val="00C82F1F"/>
    <w:rsid w:val="00C83B02"/>
    <w:rsid w:val="00C84296"/>
    <w:rsid w:val="00C844BD"/>
    <w:rsid w:val="00C847DA"/>
    <w:rsid w:val="00C848DC"/>
    <w:rsid w:val="00C850D2"/>
    <w:rsid w:val="00C8570D"/>
    <w:rsid w:val="00C8587B"/>
    <w:rsid w:val="00C85A49"/>
    <w:rsid w:val="00C85F1C"/>
    <w:rsid w:val="00C86871"/>
    <w:rsid w:val="00C86B6F"/>
    <w:rsid w:val="00C872FA"/>
    <w:rsid w:val="00C875C3"/>
    <w:rsid w:val="00C877F2"/>
    <w:rsid w:val="00C902F8"/>
    <w:rsid w:val="00C90821"/>
    <w:rsid w:val="00C913EF"/>
    <w:rsid w:val="00C921BD"/>
    <w:rsid w:val="00C921FF"/>
    <w:rsid w:val="00C92545"/>
    <w:rsid w:val="00C928D0"/>
    <w:rsid w:val="00C93243"/>
    <w:rsid w:val="00C93919"/>
    <w:rsid w:val="00C93D2B"/>
    <w:rsid w:val="00C93F44"/>
    <w:rsid w:val="00C941C1"/>
    <w:rsid w:val="00C9472F"/>
    <w:rsid w:val="00C9494D"/>
    <w:rsid w:val="00C94E2B"/>
    <w:rsid w:val="00C94FA3"/>
    <w:rsid w:val="00C96000"/>
    <w:rsid w:val="00C96085"/>
    <w:rsid w:val="00C965EC"/>
    <w:rsid w:val="00C97220"/>
    <w:rsid w:val="00C9728A"/>
    <w:rsid w:val="00C9769C"/>
    <w:rsid w:val="00C977A2"/>
    <w:rsid w:val="00C97A0D"/>
    <w:rsid w:val="00C97CAA"/>
    <w:rsid w:val="00C97CF6"/>
    <w:rsid w:val="00C97D24"/>
    <w:rsid w:val="00CA01E2"/>
    <w:rsid w:val="00CA0584"/>
    <w:rsid w:val="00CA096B"/>
    <w:rsid w:val="00CA0D30"/>
    <w:rsid w:val="00CA0FC0"/>
    <w:rsid w:val="00CA1711"/>
    <w:rsid w:val="00CA1944"/>
    <w:rsid w:val="00CA1EA5"/>
    <w:rsid w:val="00CA2BE7"/>
    <w:rsid w:val="00CA32AC"/>
    <w:rsid w:val="00CA38AB"/>
    <w:rsid w:val="00CA4BDC"/>
    <w:rsid w:val="00CA55CF"/>
    <w:rsid w:val="00CA582A"/>
    <w:rsid w:val="00CA66C9"/>
    <w:rsid w:val="00CA7912"/>
    <w:rsid w:val="00CB0293"/>
    <w:rsid w:val="00CB04F2"/>
    <w:rsid w:val="00CB0812"/>
    <w:rsid w:val="00CB13EE"/>
    <w:rsid w:val="00CB20A9"/>
    <w:rsid w:val="00CB2CE9"/>
    <w:rsid w:val="00CB3450"/>
    <w:rsid w:val="00CB40D6"/>
    <w:rsid w:val="00CB49EE"/>
    <w:rsid w:val="00CB5852"/>
    <w:rsid w:val="00CB5D36"/>
    <w:rsid w:val="00CB5ED7"/>
    <w:rsid w:val="00CC08EE"/>
    <w:rsid w:val="00CC0A7F"/>
    <w:rsid w:val="00CC15CE"/>
    <w:rsid w:val="00CC15ED"/>
    <w:rsid w:val="00CC1750"/>
    <w:rsid w:val="00CC1ACC"/>
    <w:rsid w:val="00CC1CF3"/>
    <w:rsid w:val="00CC231F"/>
    <w:rsid w:val="00CC233A"/>
    <w:rsid w:val="00CC2540"/>
    <w:rsid w:val="00CC2874"/>
    <w:rsid w:val="00CC2EEF"/>
    <w:rsid w:val="00CC3802"/>
    <w:rsid w:val="00CC431B"/>
    <w:rsid w:val="00CC465F"/>
    <w:rsid w:val="00CC4811"/>
    <w:rsid w:val="00CC4F6F"/>
    <w:rsid w:val="00CC555A"/>
    <w:rsid w:val="00CC6039"/>
    <w:rsid w:val="00CC65C3"/>
    <w:rsid w:val="00CC6814"/>
    <w:rsid w:val="00CC6BD3"/>
    <w:rsid w:val="00CC7E6E"/>
    <w:rsid w:val="00CD003A"/>
    <w:rsid w:val="00CD0114"/>
    <w:rsid w:val="00CD0284"/>
    <w:rsid w:val="00CD04DC"/>
    <w:rsid w:val="00CD06E0"/>
    <w:rsid w:val="00CD0D58"/>
    <w:rsid w:val="00CD12EF"/>
    <w:rsid w:val="00CD1620"/>
    <w:rsid w:val="00CD1648"/>
    <w:rsid w:val="00CD1C01"/>
    <w:rsid w:val="00CD25C7"/>
    <w:rsid w:val="00CD2633"/>
    <w:rsid w:val="00CD2B07"/>
    <w:rsid w:val="00CD3095"/>
    <w:rsid w:val="00CD34B2"/>
    <w:rsid w:val="00CD38FF"/>
    <w:rsid w:val="00CD440B"/>
    <w:rsid w:val="00CD44BA"/>
    <w:rsid w:val="00CD4617"/>
    <w:rsid w:val="00CD4EED"/>
    <w:rsid w:val="00CD5C03"/>
    <w:rsid w:val="00CD5DE5"/>
    <w:rsid w:val="00CD5F91"/>
    <w:rsid w:val="00CD613B"/>
    <w:rsid w:val="00CD646A"/>
    <w:rsid w:val="00CD6895"/>
    <w:rsid w:val="00CD692C"/>
    <w:rsid w:val="00CD69FC"/>
    <w:rsid w:val="00CD7081"/>
    <w:rsid w:val="00CD7654"/>
    <w:rsid w:val="00CD7D33"/>
    <w:rsid w:val="00CD7E26"/>
    <w:rsid w:val="00CE00BE"/>
    <w:rsid w:val="00CE2C9A"/>
    <w:rsid w:val="00CE2D51"/>
    <w:rsid w:val="00CE3213"/>
    <w:rsid w:val="00CE3413"/>
    <w:rsid w:val="00CE41CE"/>
    <w:rsid w:val="00CE43C8"/>
    <w:rsid w:val="00CE4AEF"/>
    <w:rsid w:val="00CE4BBA"/>
    <w:rsid w:val="00CE50AC"/>
    <w:rsid w:val="00CE5EA2"/>
    <w:rsid w:val="00CE6A7E"/>
    <w:rsid w:val="00CE74BA"/>
    <w:rsid w:val="00CE74DD"/>
    <w:rsid w:val="00CF0490"/>
    <w:rsid w:val="00CF0916"/>
    <w:rsid w:val="00CF0C7B"/>
    <w:rsid w:val="00CF10B7"/>
    <w:rsid w:val="00CF1306"/>
    <w:rsid w:val="00CF1EF4"/>
    <w:rsid w:val="00CF415B"/>
    <w:rsid w:val="00CF459B"/>
    <w:rsid w:val="00CF46D9"/>
    <w:rsid w:val="00CF4803"/>
    <w:rsid w:val="00CF4EE4"/>
    <w:rsid w:val="00CF5070"/>
    <w:rsid w:val="00CF5782"/>
    <w:rsid w:val="00CF5ADE"/>
    <w:rsid w:val="00CF5F42"/>
    <w:rsid w:val="00CF6A60"/>
    <w:rsid w:val="00CF6B64"/>
    <w:rsid w:val="00CF75F4"/>
    <w:rsid w:val="00CF79E2"/>
    <w:rsid w:val="00CF7F9D"/>
    <w:rsid w:val="00D00388"/>
    <w:rsid w:val="00D010B3"/>
    <w:rsid w:val="00D01BEF"/>
    <w:rsid w:val="00D0265B"/>
    <w:rsid w:val="00D02D72"/>
    <w:rsid w:val="00D0509A"/>
    <w:rsid w:val="00D05207"/>
    <w:rsid w:val="00D0529A"/>
    <w:rsid w:val="00D05332"/>
    <w:rsid w:val="00D06168"/>
    <w:rsid w:val="00D070AB"/>
    <w:rsid w:val="00D07239"/>
    <w:rsid w:val="00D10F6E"/>
    <w:rsid w:val="00D1104D"/>
    <w:rsid w:val="00D114CD"/>
    <w:rsid w:val="00D119FE"/>
    <w:rsid w:val="00D1200D"/>
    <w:rsid w:val="00D1228F"/>
    <w:rsid w:val="00D124F0"/>
    <w:rsid w:val="00D125CD"/>
    <w:rsid w:val="00D145EC"/>
    <w:rsid w:val="00D14E62"/>
    <w:rsid w:val="00D161E4"/>
    <w:rsid w:val="00D1643C"/>
    <w:rsid w:val="00D164A0"/>
    <w:rsid w:val="00D16572"/>
    <w:rsid w:val="00D17B29"/>
    <w:rsid w:val="00D17F2F"/>
    <w:rsid w:val="00D207D2"/>
    <w:rsid w:val="00D20870"/>
    <w:rsid w:val="00D208A6"/>
    <w:rsid w:val="00D21727"/>
    <w:rsid w:val="00D219DC"/>
    <w:rsid w:val="00D2225C"/>
    <w:rsid w:val="00D22833"/>
    <w:rsid w:val="00D23A08"/>
    <w:rsid w:val="00D23F07"/>
    <w:rsid w:val="00D2423A"/>
    <w:rsid w:val="00D24527"/>
    <w:rsid w:val="00D246AA"/>
    <w:rsid w:val="00D24E1F"/>
    <w:rsid w:val="00D255DF"/>
    <w:rsid w:val="00D258F8"/>
    <w:rsid w:val="00D25DE9"/>
    <w:rsid w:val="00D265A0"/>
    <w:rsid w:val="00D265CB"/>
    <w:rsid w:val="00D27159"/>
    <w:rsid w:val="00D27B11"/>
    <w:rsid w:val="00D27F32"/>
    <w:rsid w:val="00D300A2"/>
    <w:rsid w:val="00D31571"/>
    <w:rsid w:val="00D3183B"/>
    <w:rsid w:val="00D31B08"/>
    <w:rsid w:val="00D321A5"/>
    <w:rsid w:val="00D32993"/>
    <w:rsid w:val="00D330A1"/>
    <w:rsid w:val="00D33A36"/>
    <w:rsid w:val="00D33EDD"/>
    <w:rsid w:val="00D341B1"/>
    <w:rsid w:val="00D34C27"/>
    <w:rsid w:val="00D34E63"/>
    <w:rsid w:val="00D350BA"/>
    <w:rsid w:val="00D354F6"/>
    <w:rsid w:val="00D35DC7"/>
    <w:rsid w:val="00D35E3E"/>
    <w:rsid w:val="00D36C7B"/>
    <w:rsid w:val="00D36EDA"/>
    <w:rsid w:val="00D36F52"/>
    <w:rsid w:val="00D36F9D"/>
    <w:rsid w:val="00D3757E"/>
    <w:rsid w:val="00D37B5A"/>
    <w:rsid w:val="00D40309"/>
    <w:rsid w:val="00D40384"/>
    <w:rsid w:val="00D4041D"/>
    <w:rsid w:val="00D40D46"/>
    <w:rsid w:val="00D40DF8"/>
    <w:rsid w:val="00D416F1"/>
    <w:rsid w:val="00D417BF"/>
    <w:rsid w:val="00D41866"/>
    <w:rsid w:val="00D41B71"/>
    <w:rsid w:val="00D41B8F"/>
    <w:rsid w:val="00D41E19"/>
    <w:rsid w:val="00D41F68"/>
    <w:rsid w:val="00D42279"/>
    <w:rsid w:val="00D425BB"/>
    <w:rsid w:val="00D42680"/>
    <w:rsid w:val="00D428C8"/>
    <w:rsid w:val="00D4295F"/>
    <w:rsid w:val="00D43C72"/>
    <w:rsid w:val="00D44234"/>
    <w:rsid w:val="00D449D7"/>
    <w:rsid w:val="00D44E76"/>
    <w:rsid w:val="00D458E3"/>
    <w:rsid w:val="00D45EFC"/>
    <w:rsid w:val="00D468C4"/>
    <w:rsid w:val="00D46A6B"/>
    <w:rsid w:val="00D46A8F"/>
    <w:rsid w:val="00D46DD5"/>
    <w:rsid w:val="00D46FD9"/>
    <w:rsid w:val="00D471EA"/>
    <w:rsid w:val="00D4735B"/>
    <w:rsid w:val="00D4791A"/>
    <w:rsid w:val="00D5064C"/>
    <w:rsid w:val="00D51401"/>
    <w:rsid w:val="00D51532"/>
    <w:rsid w:val="00D51608"/>
    <w:rsid w:val="00D51A8D"/>
    <w:rsid w:val="00D51C77"/>
    <w:rsid w:val="00D535E2"/>
    <w:rsid w:val="00D5376A"/>
    <w:rsid w:val="00D537CF"/>
    <w:rsid w:val="00D53F07"/>
    <w:rsid w:val="00D5569D"/>
    <w:rsid w:val="00D55EE7"/>
    <w:rsid w:val="00D5643B"/>
    <w:rsid w:val="00D57184"/>
    <w:rsid w:val="00D571EC"/>
    <w:rsid w:val="00D60031"/>
    <w:rsid w:val="00D61194"/>
    <w:rsid w:val="00D6172B"/>
    <w:rsid w:val="00D61751"/>
    <w:rsid w:val="00D617FB"/>
    <w:rsid w:val="00D62CAE"/>
    <w:rsid w:val="00D62E70"/>
    <w:rsid w:val="00D6332D"/>
    <w:rsid w:val="00D635C9"/>
    <w:rsid w:val="00D6366E"/>
    <w:rsid w:val="00D647A7"/>
    <w:rsid w:val="00D64861"/>
    <w:rsid w:val="00D64CB1"/>
    <w:rsid w:val="00D64E07"/>
    <w:rsid w:val="00D64EE3"/>
    <w:rsid w:val="00D64FEB"/>
    <w:rsid w:val="00D6502D"/>
    <w:rsid w:val="00D65415"/>
    <w:rsid w:val="00D655A7"/>
    <w:rsid w:val="00D664DC"/>
    <w:rsid w:val="00D66522"/>
    <w:rsid w:val="00D66DE8"/>
    <w:rsid w:val="00D672A9"/>
    <w:rsid w:val="00D6749C"/>
    <w:rsid w:val="00D674D4"/>
    <w:rsid w:val="00D70481"/>
    <w:rsid w:val="00D70A21"/>
    <w:rsid w:val="00D70FF1"/>
    <w:rsid w:val="00D7184A"/>
    <w:rsid w:val="00D722E6"/>
    <w:rsid w:val="00D7332C"/>
    <w:rsid w:val="00D74931"/>
    <w:rsid w:val="00D752B8"/>
    <w:rsid w:val="00D75392"/>
    <w:rsid w:val="00D753E0"/>
    <w:rsid w:val="00D7632F"/>
    <w:rsid w:val="00D76424"/>
    <w:rsid w:val="00D76AC5"/>
    <w:rsid w:val="00D776B5"/>
    <w:rsid w:val="00D77DE2"/>
    <w:rsid w:val="00D8112A"/>
    <w:rsid w:val="00D81305"/>
    <w:rsid w:val="00D8177B"/>
    <w:rsid w:val="00D827E0"/>
    <w:rsid w:val="00D82B45"/>
    <w:rsid w:val="00D830F9"/>
    <w:rsid w:val="00D83C28"/>
    <w:rsid w:val="00D8422A"/>
    <w:rsid w:val="00D844B1"/>
    <w:rsid w:val="00D844BC"/>
    <w:rsid w:val="00D84C04"/>
    <w:rsid w:val="00D84C89"/>
    <w:rsid w:val="00D8500F"/>
    <w:rsid w:val="00D85F3D"/>
    <w:rsid w:val="00D86967"/>
    <w:rsid w:val="00D86BC0"/>
    <w:rsid w:val="00D86BE6"/>
    <w:rsid w:val="00D87110"/>
    <w:rsid w:val="00D87B95"/>
    <w:rsid w:val="00D87DF9"/>
    <w:rsid w:val="00D87E0E"/>
    <w:rsid w:val="00D90A23"/>
    <w:rsid w:val="00D913FA"/>
    <w:rsid w:val="00D91AAE"/>
    <w:rsid w:val="00D91FFA"/>
    <w:rsid w:val="00D92609"/>
    <w:rsid w:val="00D92E3B"/>
    <w:rsid w:val="00D934B7"/>
    <w:rsid w:val="00D93D5F"/>
    <w:rsid w:val="00D94AF0"/>
    <w:rsid w:val="00D94CD4"/>
    <w:rsid w:val="00D95528"/>
    <w:rsid w:val="00D965CA"/>
    <w:rsid w:val="00D96867"/>
    <w:rsid w:val="00D96B7E"/>
    <w:rsid w:val="00D96C1A"/>
    <w:rsid w:val="00D974FA"/>
    <w:rsid w:val="00D97D4A"/>
    <w:rsid w:val="00DA14C8"/>
    <w:rsid w:val="00DA1CDD"/>
    <w:rsid w:val="00DA246E"/>
    <w:rsid w:val="00DA2EFE"/>
    <w:rsid w:val="00DA33C0"/>
    <w:rsid w:val="00DA3CA4"/>
    <w:rsid w:val="00DA436D"/>
    <w:rsid w:val="00DA4DAA"/>
    <w:rsid w:val="00DA4E52"/>
    <w:rsid w:val="00DA551C"/>
    <w:rsid w:val="00DA5580"/>
    <w:rsid w:val="00DA5596"/>
    <w:rsid w:val="00DA5E47"/>
    <w:rsid w:val="00DA5FB2"/>
    <w:rsid w:val="00DA6A00"/>
    <w:rsid w:val="00DA6EE8"/>
    <w:rsid w:val="00DA75F6"/>
    <w:rsid w:val="00DB1D9C"/>
    <w:rsid w:val="00DB2CDF"/>
    <w:rsid w:val="00DB3767"/>
    <w:rsid w:val="00DB37A9"/>
    <w:rsid w:val="00DB49DB"/>
    <w:rsid w:val="00DB4CDA"/>
    <w:rsid w:val="00DB4D77"/>
    <w:rsid w:val="00DB5428"/>
    <w:rsid w:val="00DB5644"/>
    <w:rsid w:val="00DB57C0"/>
    <w:rsid w:val="00DB59C6"/>
    <w:rsid w:val="00DB5EB5"/>
    <w:rsid w:val="00DB67AA"/>
    <w:rsid w:val="00DB6881"/>
    <w:rsid w:val="00DB7A4D"/>
    <w:rsid w:val="00DB7B0B"/>
    <w:rsid w:val="00DC0AAE"/>
    <w:rsid w:val="00DC1180"/>
    <w:rsid w:val="00DC200E"/>
    <w:rsid w:val="00DC29C1"/>
    <w:rsid w:val="00DC2C03"/>
    <w:rsid w:val="00DC308E"/>
    <w:rsid w:val="00DC315F"/>
    <w:rsid w:val="00DC31FC"/>
    <w:rsid w:val="00DC37F5"/>
    <w:rsid w:val="00DC3DB5"/>
    <w:rsid w:val="00DC3F13"/>
    <w:rsid w:val="00DC413D"/>
    <w:rsid w:val="00DC467F"/>
    <w:rsid w:val="00DC4737"/>
    <w:rsid w:val="00DC49FA"/>
    <w:rsid w:val="00DC4B4C"/>
    <w:rsid w:val="00DC583D"/>
    <w:rsid w:val="00DC607E"/>
    <w:rsid w:val="00DC6C4A"/>
    <w:rsid w:val="00DC6CA2"/>
    <w:rsid w:val="00DC7EE7"/>
    <w:rsid w:val="00DC7F28"/>
    <w:rsid w:val="00DD0CEC"/>
    <w:rsid w:val="00DD1144"/>
    <w:rsid w:val="00DD1D30"/>
    <w:rsid w:val="00DD2625"/>
    <w:rsid w:val="00DD28C4"/>
    <w:rsid w:val="00DD29F3"/>
    <w:rsid w:val="00DD2ACF"/>
    <w:rsid w:val="00DD2E1C"/>
    <w:rsid w:val="00DD3A6A"/>
    <w:rsid w:val="00DD3C93"/>
    <w:rsid w:val="00DD4E95"/>
    <w:rsid w:val="00DD60A6"/>
    <w:rsid w:val="00DD60A8"/>
    <w:rsid w:val="00DD6765"/>
    <w:rsid w:val="00DD68FB"/>
    <w:rsid w:val="00DE01FD"/>
    <w:rsid w:val="00DE030C"/>
    <w:rsid w:val="00DE06B6"/>
    <w:rsid w:val="00DE0B3F"/>
    <w:rsid w:val="00DE0BB6"/>
    <w:rsid w:val="00DE0E08"/>
    <w:rsid w:val="00DE0EBB"/>
    <w:rsid w:val="00DE12D3"/>
    <w:rsid w:val="00DE18F4"/>
    <w:rsid w:val="00DE1DEC"/>
    <w:rsid w:val="00DE1F8F"/>
    <w:rsid w:val="00DE218F"/>
    <w:rsid w:val="00DE252F"/>
    <w:rsid w:val="00DE25BE"/>
    <w:rsid w:val="00DE2A67"/>
    <w:rsid w:val="00DE2A6D"/>
    <w:rsid w:val="00DE3D85"/>
    <w:rsid w:val="00DE3ED9"/>
    <w:rsid w:val="00DE47BC"/>
    <w:rsid w:val="00DE47E6"/>
    <w:rsid w:val="00DE4806"/>
    <w:rsid w:val="00DE4BF5"/>
    <w:rsid w:val="00DE4EB8"/>
    <w:rsid w:val="00DE50F2"/>
    <w:rsid w:val="00DE58CE"/>
    <w:rsid w:val="00DE58D2"/>
    <w:rsid w:val="00DE5BC3"/>
    <w:rsid w:val="00DE691A"/>
    <w:rsid w:val="00DE7247"/>
    <w:rsid w:val="00DE7AD3"/>
    <w:rsid w:val="00DE7BE5"/>
    <w:rsid w:val="00DF0119"/>
    <w:rsid w:val="00DF07D2"/>
    <w:rsid w:val="00DF1310"/>
    <w:rsid w:val="00DF1462"/>
    <w:rsid w:val="00DF1892"/>
    <w:rsid w:val="00DF1BF4"/>
    <w:rsid w:val="00DF1F0D"/>
    <w:rsid w:val="00DF20D2"/>
    <w:rsid w:val="00DF217B"/>
    <w:rsid w:val="00DF2279"/>
    <w:rsid w:val="00DF22A0"/>
    <w:rsid w:val="00DF2D4B"/>
    <w:rsid w:val="00DF30C0"/>
    <w:rsid w:val="00DF3850"/>
    <w:rsid w:val="00DF395C"/>
    <w:rsid w:val="00DF3F1F"/>
    <w:rsid w:val="00DF4184"/>
    <w:rsid w:val="00DF46E7"/>
    <w:rsid w:val="00DF490B"/>
    <w:rsid w:val="00DF4D50"/>
    <w:rsid w:val="00DF4F79"/>
    <w:rsid w:val="00DF50F5"/>
    <w:rsid w:val="00DF6467"/>
    <w:rsid w:val="00DF6926"/>
    <w:rsid w:val="00DF6E12"/>
    <w:rsid w:val="00DF7017"/>
    <w:rsid w:val="00DF70AF"/>
    <w:rsid w:val="00DF70EF"/>
    <w:rsid w:val="00E00170"/>
    <w:rsid w:val="00E002AC"/>
    <w:rsid w:val="00E00879"/>
    <w:rsid w:val="00E00EDB"/>
    <w:rsid w:val="00E014F8"/>
    <w:rsid w:val="00E015AF"/>
    <w:rsid w:val="00E036D2"/>
    <w:rsid w:val="00E03A46"/>
    <w:rsid w:val="00E04369"/>
    <w:rsid w:val="00E045AA"/>
    <w:rsid w:val="00E04BFD"/>
    <w:rsid w:val="00E06853"/>
    <w:rsid w:val="00E0742A"/>
    <w:rsid w:val="00E0792A"/>
    <w:rsid w:val="00E10210"/>
    <w:rsid w:val="00E10F25"/>
    <w:rsid w:val="00E11AED"/>
    <w:rsid w:val="00E13015"/>
    <w:rsid w:val="00E1324D"/>
    <w:rsid w:val="00E1366E"/>
    <w:rsid w:val="00E14836"/>
    <w:rsid w:val="00E14C05"/>
    <w:rsid w:val="00E15207"/>
    <w:rsid w:val="00E158E5"/>
    <w:rsid w:val="00E16AFF"/>
    <w:rsid w:val="00E16DFD"/>
    <w:rsid w:val="00E21267"/>
    <w:rsid w:val="00E21877"/>
    <w:rsid w:val="00E21BB0"/>
    <w:rsid w:val="00E225C7"/>
    <w:rsid w:val="00E23055"/>
    <w:rsid w:val="00E23AFA"/>
    <w:rsid w:val="00E23F79"/>
    <w:rsid w:val="00E2416E"/>
    <w:rsid w:val="00E2425D"/>
    <w:rsid w:val="00E242CE"/>
    <w:rsid w:val="00E246B2"/>
    <w:rsid w:val="00E24D18"/>
    <w:rsid w:val="00E25683"/>
    <w:rsid w:val="00E2595E"/>
    <w:rsid w:val="00E25E6F"/>
    <w:rsid w:val="00E262A2"/>
    <w:rsid w:val="00E26DEF"/>
    <w:rsid w:val="00E30003"/>
    <w:rsid w:val="00E3005F"/>
    <w:rsid w:val="00E301B5"/>
    <w:rsid w:val="00E31775"/>
    <w:rsid w:val="00E31A3F"/>
    <w:rsid w:val="00E31A44"/>
    <w:rsid w:val="00E31D23"/>
    <w:rsid w:val="00E31FD1"/>
    <w:rsid w:val="00E32144"/>
    <w:rsid w:val="00E32859"/>
    <w:rsid w:val="00E32E85"/>
    <w:rsid w:val="00E337B8"/>
    <w:rsid w:val="00E338BB"/>
    <w:rsid w:val="00E35113"/>
    <w:rsid w:val="00E358AB"/>
    <w:rsid w:val="00E35B06"/>
    <w:rsid w:val="00E35E56"/>
    <w:rsid w:val="00E36706"/>
    <w:rsid w:val="00E36928"/>
    <w:rsid w:val="00E36F67"/>
    <w:rsid w:val="00E374A4"/>
    <w:rsid w:val="00E3776E"/>
    <w:rsid w:val="00E37BA7"/>
    <w:rsid w:val="00E404D3"/>
    <w:rsid w:val="00E40955"/>
    <w:rsid w:val="00E40D3E"/>
    <w:rsid w:val="00E40EF8"/>
    <w:rsid w:val="00E410DE"/>
    <w:rsid w:val="00E421C0"/>
    <w:rsid w:val="00E42428"/>
    <w:rsid w:val="00E42491"/>
    <w:rsid w:val="00E425C2"/>
    <w:rsid w:val="00E4295F"/>
    <w:rsid w:val="00E43C0F"/>
    <w:rsid w:val="00E43C14"/>
    <w:rsid w:val="00E43CCA"/>
    <w:rsid w:val="00E43E9C"/>
    <w:rsid w:val="00E447B9"/>
    <w:rsid w:val="00E44FB8"/>
    <w:rsid w:val="00E4530B"/>
    <w:rsid w:val="00E4537F"/>
    <w:rsid w:val="00E46287"/>
    <w:rsid w:val="00E5068F"/>
    <w:rsid w:val="00E50897"/>
    <w:rsid w:val="00E513F7"/>
    <w:rsid w:val="00E514FE"/>
    <w:rsid w:val="00E51C9F"/>
    <w:rsid w:val="00E5224B"/>
    <w:rsid w:val="00E52519"/>
    <w:rsid w:val="00E52C0B"/>
    <w:rsid w:val="00E52EFD"/>
    <w:rsid w:val="00E52F5E"/>
    <w:rsid w:val="00E52F7E"/>
    <w:rsid w:val="00E530EB"/>
    <w:rsid w:val="00E53599"/>
    <w:rsid w:val="00E535A6"/>
    <w:rsid w:val="00E53A48"/>
    <w:rsid w:val="00E53CCB"/>
    <w:rsid w:val="00E54677"/>
    <w:rsid w:val="00E54BCA"/>
    <w:rsid w:val="00E54E28"/>
    <w:rsid w:val="00E5554C"/>
    <w:rsid w:val="00E556C8"/>
    <w:rsid w:val="00E558FD"/>
    <w:rsid w:val="00E55C47"/>
    <w:rsid w:val="00E56B99"/>
    <w:rsid w:val="00E57167"/>
    <w:rsid w:val="00E602EE"/>
    <w:rsid w:val="00E60306"/>
    <w:rsid w:val="00E60792"/>
    <w:rsid w:val="00E60D99"/>
    <w:rsid w:val="00E61117"/>
    <w:rsid w:val="00E6151E"/>
    <w:rsid w:val="00E6198C"/>
    <w:rsid w:val="00E61B19"/>
    <w:rsid w:val="00E61B2C"/>
    <w:rsid w:val="00E61B6A"/>
    <w:rsid w:val="00E61F23"/>
    <w:rsid w:val="00E62E90"/>
    <w:rsid w:val="00E635B4"/>
    <w:rsid w:val="00E63C54"/>
    <w:rsid w:val="00E64384"/>
    <w:rsid w:val="00E6535F"/>
    <w:rsid w:val="00E65617"/>
    <w:rsid w:val="00E6570D"/>
    <w:rsid w:val="00E65DAB"/>
    <w:rsid w:val="00E65EF6"/>
    <w:rsid w:val="00E66187"/>
    <w:rsid w:val="00E67181"/>
    <w:rsid w:val="00E67535"/>
    <w:rsid w:val="00E67B8C"/>
    <w:rsid w:val="00E70644"/>
    <w:rsid w:val="00E70A6D"/>
    <w:rsid w:val="00E70CFC"/>
    <w:rsid w:val="00E718E1"/>
    <w:rsid w:val="00E71ACB"/>
    <w:rsid w:val="00E723E4"/>
    <w:rsid w:val="00E748E8"/>
    <w:rsid w:val="00E75445"/>
    <w:rsid w:val="00E756BB"/>
    <w:rsid w:val="00E75ADF"/>
    <w:rsid w:val="00E76215"/>
    <w:rsid w:val="00E768C0"/>
    <w:rsid w:val="00E76B62"/>
    <w:rsid w:val="00E77AF7"/>
    <w:rsid w:val="00E77F05"/>
    <w:rsid w:val="00E8042F"/>
    <w:rsid w:val="00E80561"/>
    <w:rsid w:val="00E80979"/>
    <w:rsid w:val="00E809AA"/>
    <w:rsid w:val="00E80D25"/>
    <w:rsid w:val="00E80DE5"/>
    <w:rsid w:val="00E8151A"/>
    <w:rsid w:val="00E8174A"/>
    <w:rsid w:val="00E81792"/>
    <w:rsid w:val="00E82632"/>
    <w:rsid w:val="00E843D5"/>
    <w:rsid w:val="00E84754"/>
    <w:rsid w:val="00E84C22"/>
    <w:rsid w:val="00E85572"/>
    <w:rsid w:val="00E85DF8"/>
    <w:rsid w:val="00E86008"/>
    <w:rsid w:val="00E86200"/>
    <w:rsid w:val="00E86CA6"/>
    <w:rsid w:val="00E86F0C"/>
    <w:rsid w:val="00E878A5"/>
    <w:rsid w:val="00E9087C"/>
    <w:rsid w:val="00E90927"/>
    <w:rsid w:val="00E90B45"/>
    <w:rsid w:val="00E90EB2"/>
    <w:rsid w:val="00E91397"/>
    <w:rsid w:val="00E9170B"/>
    <w:rsid w:val="00E91EAE"/>
    <w:rsid w:val="00E9255A"/>
    <w:rsid w:val="00E92B71"/>
    <w:rsid w:val="00E93544"/>
    <w:rsid w:val="00E93BCE"/>
    <w:rsid w:val="00E9486A"/>
    <w:rsid w:val="00E949DF"/>
    <w:rsid w:val="00E949F5"/>
    <w:rsid w:val="00E95557"/>
    <w:rsid w:val="00E9599D"/>
    <w:rsid w:val="00E95FD7"/>
    <w:rsid w:val="00E96121"/>
    <w:rsid w:val="00E968CB"/>
    <w:rsid w:val="00E96DAF"/>
    <w:rsid w:val="00E97398"/>
    <w:rsid w:val="00E97559"/>
    <w:rsid w:val="00EA02BA"/>
    <w:rsid w:val="00EA0394"/>
    <w:rsid w:val="00EA071F"/>
    <w:rsid w:val="00EA11C4"/>
    <w:rsid w:val="00EA2AF2"/>
    <w:rsid w:val="00EA3425"/>
    <w:rsid w:val="00EA34D5"/>
    <w:rsid w:val="00EA39FA"/>
    <w:rsid w:val="00EA3B00"/>
    <w:rsid w:val="00EA4DE8"/>
    <w:rsid w:val="00EA53E6"/>
    <w:rsid w:val="00EA5EF1"/>
    <w:rsid w:val="00EA6163"/>
    <w:rsid w:val="00EA6CCB"/>
    <w:rsid w:val="00EA70D6"/>
    <w:rsid w:val="00EB023C"/>
    <w:rsid w:val="00EB034A"/>
    <w:rsid w:val="00EB0444"/>
    <w:rsid w:val="00EB056E"/>
    <w:rsid w:val="00EB07A5"/>
    <w:rsid w:val="00EB0CF2"/>
    <w:rsid w:val="00EB0EB5"/>
    <w:rsid w:val="00EB112A"/>
    <w:rsid w:val="00EB16A4"/>
    <w:rsid w:val="00EB185D"/>
    <w:rsid w:val="00EB1FCD"/>
    <w:rsid w:val="00EB2B19"/>
    <w:rsid w:val="00EB2FBC"/>
    <w:rsid w:val="00EB33DB"/>
    <w:rsid w:val="00EB36AB"/>
    <w:rsid w:val="00EB3725"/>
    <w:rsid w:val="00EB37F9"/>
    <w:rsid w:val="00EB4470"/>
    <w:rsid w:val="00EB4EB0"/>
    <w:rsid w:val="00EB5241"/>
    <w:rsid w:val="00EB5354"/>
    <w:rsid w:val="00EB53A1"/>
    <w:rsid w:val="00EB56AC"/>
    <w:rsid w:val="00EB57CC"/>
    <w:rsid w:val="00EB588E"/>
    <w:rsid w:val="00EB5B7E"/>
    <w:rsid w:val="00EB624D"/>
    <w:rsid w:val="00EB62A1"/>
    <w:rsid w:val="00EB6369"/>
    <w:rsid w:val="00EB6B31"/>
    <w:rsid w:val="00EC05B1"/>
    <w:rsid w:val="00EC0A16"/>
    <w:rsid w:val="00EC0E79"/>
    <w:rsid w:val="00EC1AA7"/>
    <w:rsid w:val="00EC2260"/>
    <w:rsid w:val="00EC3193"/>
    <w:rsid w:val="00EC346A"/>
    <w:rsid w:val="00EC3AE3"/>
    <w:rsid w:val="00EC3B38"/>
    <w:rsid w:val="00EC3DCD"/>
    <w:rsid w:val="00EC4528"/>
    <w:rsid w:val="00EC7968"/>
    <w:rsid w:val="00ED06AC"/>
    <w:rsid w:val="00ED07F5"/>
    <w:rsid w:val="00ED0B01"/>
    <w:rsid w:val="00ED0BD4"/>
    <w:rsid w:val="00ED0C7A"/>
    <w:rsid w:val="00ED1EE4"/>
    <w:rsid w:val="00ED272C"/>
    <w:rsid w:val="00ED3102"/>
    <w:rsid w:val="00ED38D0"/>
    <w:rsid w:val="00ED39F8"/>
    <w:rsid w:val="00ED3E90"/>
    <w:rsid w:val="00ED3F8D"/>
    <w:rsid w:val="00ED4143"/>
    <w:rsid w:val="00ED4AFB"/>
    <w:rsid w:val="00ED4D6C"/>
    <w:rsid w:val="00ED5525"/>
    <w:rsid w:val="00ED576E"/>
    <w:rsid w:val="00ED58C2"/>
    <w:rsid w:val="00ED6618"/>
    <w:rsid w:val="00ED6B25"/>
    <w:rsid w:val="00ED6F61"/>
    <w:rsid w:val="00ED7FB4"/>
    <w:rsid w:val="00EE00E3"/>
    <w:rsid w:val="00EE0364"/>
    <w:rsid w:val="00EE042D"/>
    <w:rsid w:val="00EE0B0C"/>
    <w:rsid w:val="00EE0BF4"/>
    <w:rsid w:val="00EE0FA6"/>
    <w:rsid w:val="00EE1280"/>
    <w:rsid w:val="00EE12AF"/>
    <w:rsid w:val="00EE2B5C"/>
    <w:rsid w:val="00EE2DA6"/>
    <w:rsid w:val="00EE2DFA"/>
    <w:rsid w:val="00EE2EAC"/>
    <w:rsid w:val="00EE3082"/>
    <w:rsid w:val="00EE42D2"/>
    <w:rsid w:val="00EE474D"/>
    <w:rsid w:val="00EE4BE6"/>
    <w:rsid w:val="00EE56E6"/>
    <w:rsid w:val="00EE5BFD"/>
    <w:rsid w:val="00EE67A7"/>
    <w:rsid w:val="00EE6CD4"/>
    <w:rsid w:val="00EE6F3C"/>
    <w:rsid w:val="00EE753E"/>
    <w:rsid w:val="00EE7C1C"/>
    <w:rsid w:val="00EF0096"/>
    <w:rsid w:val="00EF01DB"/>
    <w:rsid w:val="00EF0408"/>
    <w:rsid w:val="00EF068D"/>
    <w:rsid w:val="00EF185E"/>
    <w:rsid w:val="00EF20A1"/>
    <w:rsid w:val="00EF2298"/>
    <w:rsid w:val="00EF27DB"/>
    <w:rsid w:val="00EF31E1"/>
    <w:rsid w:val="00EF35DC"/>
    <w:rsid w:val="00EF3AC6"/>
    <w:rsid w:val="00EF43F4"/>
    <w:rsid w:val="00EF526D"/>
    <w:rsid w:val="00EF543C"/>
    <w:rsid w:val="00EF5465"/>
    <w:rsid w:val="00EF5599"/>
    <w:rsid w:val="00EF5CE2"/>
    <w:rsid w:val="00EF5F2D"/>
    <w:rsid w:val="00EF6193"/>
    <w:rsid w:val="00EF6A74"/>
    <w:rsid w:val="00EF6B2D"/>
    <w:rsid w:val="00EF6C86"/>
    <w:rsid w:val="00EF6C92"/>
    <w:rsid w:val="00EF78AA"/>
    <w:rsid w:val="00F00053"/>
    <w:rsid w:val="00F00B8F"/>
    <w:rsid w:val="00F01FDA"/>
    <w:rsid w:val="00F02368"/>
    <w:rsid w:val="00F0294A"/>
    <w:rsid w:val="00F0338A"/>
    <w:rsid w:val="00F043A0"/>
    <w:rsid w:val="00F0442B"/>
    <w:rsid w:val="00F0482C"/>
    <w:rsid w:val="00F04871"/>
    <w:rsid w:val="00F04893"/>
    <w:rsid w:val="00F05BF2"/>
    <w:rsid w:val="00F0642A"/>
    <w:rsid w:val="00F0643D"/>
    <w:rsid w:val="00F066BA"/>
    <w:rsid w:val="00F06C76"/>
    <w:rsid w:val="00F06DA9"/>
    <w:rsid w:val="00F06FF2"/>
    <w:rsid w:val="00F0788C"/>
    <w:rsid w:val="00F07F18"/>
    <w:rsid w:val="00F10654"/>
    <w:rsid w:val="00F112F6"/>
    <w:rsid w:val="00F12027"/>
    <w:rsid w:val="00F12330"/>
    <w:rsid w:val="00F12C0E"/>
    <w:rsid w:val="00F12C4B"/>
    <w:rsid w:val="00F13785"/>
    <w:rsid w:val="00F13FCC"/>
    <w:rsid w:val="00F14056"/>
    <w:rsid w:val="00F143FA"/>
    <w:rsid w:val="00F1463B"/>
    <w:rsid w:val="00F146AD"/>
    <w:rsid w:val="00F14AF5"/>
    <w:rsid w:val="00F14BFA"/>
    <w:rsid w:val="00F1531F"/>
    <w:rsid w:val="00F1577C"/>
    <w:rsid w:val="00F1619E"/>
    <w:rsid w:val="00F16415"/>
    <w:rsid w:val="00F1649D"/>
    <w:rsid w:val="00F16865"/>
    <w:rsid w:val="00F16C90"/>
    <w:rsid w:val="00F1784D"/>
    <w:rsid w:val="00F17F4C"/>
    <w:rsid w:val="00F218B4"/>
    <w:rsid w:val="00F21CB6"/>
    <w:rsid w:val="00F2248F"/>
    <w:rsid w:val="00F22861"/>
    <w:rsid w:val="00F22EA0"/>
    <w:rsid w:val="00F22EC8"/>
    <w:rsid w:val="00F2406A"/>
    <w:rsid w:val="00F25A6C"/>
    <w:rsid w:val="00F25A9D"/>
    <w:rsid w:val="00F26018"/>
    <w:rsid w:val="00F2676F"/>
    <w:rsid w:val="00F273F5"/>
    <w:rsid w:val="00F27636"/>
    <w:rsid w:val="00F30143"/>
    <w:rsid w:val="00F301D0"/>
    <w:rsid w:val="00F30F8E"/>
    <w:rsid w:val="00F310CD"/>
    <w:rsid w:val="00F31513"/>
    <w:rsid w:val="00F315D9"/>
    <w:rsid w:val="00F31A7B"/>
    <w:rsid w:val="00F323D9"/>
    <w:rsid w:val="00F329D6"/>
    <w:rsid w:val="00F335C7"/>
    <w:rsid w:val="00F3439D"/>
    <w:rsid w:val="00F35321"/>
    <w:rsid w:val="00F35C2B"/>
    <w:rsid w:val="00F35CC7"/>
    <w:rsid w:val="00F35F1C"/>
    <w:rsid w:val="00F35FCB"/>
    <w:rsid w:val="00F36672"/>
    <w:rsid w:val="00F368D3"/>
    <w:rsid w:val="00F36B44"/>
    <w:rsid w:val="00F37281"/>
    <w:rsid w:val="00F37653"/>
    <w:rsid w:val="00F37A02"/>
    <w:rsid w:val="00F37BAD"/>
    <w:rsid w:val="00F37C6F"/>
    <w:rsid w:val="00F4111B"/>
    <w:rsid w:val="00F417D3"/>
    <w:rsid w:val="00F427B4"/>
    <w:rsid w:val="00F42B95"/>
    <w:rsid w:val="00F433F7"/>
    <w:rsid w:val="00F43AF4"/>
    <w:rsid w:val="00F450E5"/>
    <w:rsid w:val="00F45595"/>
    <w:rsid w:val="00F458EF"/>
    <w:rsid w:val="00F45A21"/>
    <w:rsid w:val="00F46413"/>
    <w:rsid w:val="00F50AF5"/>
    <w:rsid w:val="00F50AFC"/>
    <w:rsid w:val="00F50B87"/>
    <w:rsid w:val="00F51C7D"/>
    <w:rsid w:val="00F52110"/>
    <w:rsid w:val="00F52F2C"/>
    <w:rsid w:val="00F531D9"/>
    <w:rsid w:val="00F53584"/>
    <w:rsid w:val="00F53B86"/>
    <w:rsid w:val="00F551D0"/>
    <w:rsid w:val="00F5549B"/>
    <w:rsid w:val="00F5644F"/>
    <w:rsid w:val="00F56F72"/>
    <w:rsid w:val="00F5709A"/>
    <w:rsid w:val="00F57308"/>
    <w:rsid w:val="00F5736C"/>
    <w:rsid w:val="00F57452"/>
    <w:rsid w:val="00F57725"/>
    <w:rsid w:val="00F60038"/>
    <w:rsid w:val="00F6049A"/>
    <w:rsid w:val="00F606BC"/>
    <w:rsid w:val="00F61B6E"/>
    <w:rsid w:val="00F61B77"/>
    <w:rsid w:val="00F62292"/>
    <w:rsid w:val="00F62705"/>
    <w:rsid w:val="00F62D11"/>
    <w:rsid w:val="00F6327E"/>
    <w:rsid w:val="00F653E1"/>
    <w:rsid w:val="00F6659D"/>
    <w:rsid w:val="00F66DFA"/>
    <w:rsid w:val="00F66E14"/>
    <w:rsid w:val="00F66F6E"/>
    <w:rsid w:val="00F67C67"/>
    <w:rsid w:val="00F67E4E"/>
    <w:rsid w:val="00F70020"/>
    <w:rsid w:val="00F7019A"/>
    <w:rsid w:val="00F70D74"/>
    <w:rsid w:val="00F71A50"/>
    <w:rsid w:val="00F71A8A"/>
    <w:rsid w:val="00F71BF5"/>
    <w:rsid w:val="00F72DA7"/>
    <w:rsid w:val="00F74FC3"/>
    <w:rsid w:val="00F751BF"/>
    <w:rsid w:val="00F756C8"/>
    <w:rsid w:val="00F75AE3"/>
    <w:rsid w:val="00F75D1E"/>
    <w:rsid w:val="00F77248"/>
    <w:rsid w:val="00F7748A"/>
    <w:rsid w:val="00F774DA"/>
    <w:rsid w:val="00F802B4"/>
    <w:rsid w:val="00F80CBF"/>
    <w:rsid w:val="00F81C34"/>
    <w:rsid w:val="00F81C3C"/>
    <w:rsid w:val="00F82923"/>
    <w:rsid w:val="00F83355"/>
    <w:rsid w:val="00F83CB6"/>
    <w:rsid w:val="00F8422D"/>
    <w:rsid w:val="00F842E0"/>
    <w:rsid w:val="00F844CC"/>
    <w:rsid w:val="00F84691"/>
    <w:rsid w:val="00F8494A"/>
    <w:rsid w:val="00F849D0"/>
    <w:rsid w:val="00F84D33"/>
    <w:rsid w:val="00F84EB7"/>
    <w:rsid w:val="00F85181"/>
    <w:rsid w:val="00F851B9"/>
    <w:rsid w:val="00F8524B"/>
    <w:rsid w:val="00F85CEA"/>
    <w:rsid w:val="00F85DDA"/>
    <w:rsid w:val="00F860D7"/>
    <w:rsid w:val="00F86172"/>
    <w:rsid w:val="00F86762"/>
    <w:rsid w:val="00F86BD2"/>
    <w:rsid w:val="00F86E37"/>
    <w:rsid w:val="00F87552"/>
    <w:rsid w:val="00F87E5F"/>
    <w:rsid w:val="00F90436"/>
    <w:rsid w:val="00F90527"/>
    <w:rsid w:val="00F9058C"/>
    <w:rsid w:val="00F91219"/>
    <w:rsid w:val="00F917DF"/>
    <w:rsid w:val="00F92864"/>
    <w:rsid w:val="00F931F5"/>
    <w:rsid w:val="00F93335"/>
    <w:rsid w:val="00F933C5"/>
    <w:rsid w:val="00F940A5"/>
    <w:rsid w:val="00F941DC"/>
    <w:rsid w:val="00F94B95"/>
    <w:rsid w:val="00F96266"/>
    <w:rsid w:val="00F96293"/>
    <w:rsid w:val="00F96C98"/>
    <w:rsid w:val="00F97070"/>
    <w:rsid w:val="00F97551"/>
    <w:rsid w:val="00F9761D"/>
    <w:rsid w:val="00F97B12"/>
    <w:rsid w:val="00F97B48"/>
    <w:rsid w:val="00F97E43"/>
    <w:rsid w:val="00FA01EA"/>
    <w:rsid w:val="00FA0602"/>
    <w:rsid w:val="00FA0EE3"/>
    <w:rsid w:val="00FA1046"/>
    <w:rsid w:val="00FA1F69"/>
    <w:rsid w:val="00FA22D0"/>
    <w:rsid w:val="00FA2382"/>
    <w:rsid w:val="00FA23F1"/>
    <w:rsid w:val="00FA2F93"/>
    <w:rsid w:val="00FA3964"/>
    <w:rsid w:val="00FA4AE5"/>
    <w:rsid w:val="00FA5976"/>
    <w:rsid w:val="00FA5B7D"/>
    <w:rsid w:val="00FA5D36"/>
    <w:rsid w:val="00FA6843"/>
    <w:rsid w:val="00FA690A"/>
    <w:rsid w:val="00FA6A3C"/>
    <w:rsid w:val="00FA7064"/>
    <w:rsid w:val="00FA7431"/>
    <w:rsid w:val="00FA79DA"/>
    <w:rsid w:val="00FB082B"/>
    <w:rsid w:val="00FB17B1"/>
    <w:rsid w:val="00FB1859"/>
    <w:rsid w:val="00FB1B24"/>
    <w:rsid w:val="00FB2212"/>
    <w:rsid w:val="00FB2288"/>
    <w:rsid w:val="00FB2C02"/>
    <w:rsid w:val="00FB2F04"/>
    <w:rsid w:val="00FB4519"/>
    <w:rsid w:val="00FB4868"/>
    <w:rsid w:val="00FB49F4"/>
    <w:rsid w:val="00FB533A"/>
    <w:rsid w:val="00FB5BA0"/>
    <w:rsid w:val="00FB6172"/>
    <w:rsid w:val="00FB6C0C"/>
    <w:rsid w:val="00FB7053"/>
    <w:rsid w:val="00FB7B35"/>
    <w:rsid w:val="00FB7B86"/>
    <w:rsid w:val="00FC0649"/>
    <w:rsid w:val="00FC0E57"/>
    <w:rsid w:val="00FC1FC9"/>
    <w:rsid w:val="00FC2689"/>
    <w:rsid w:val="00FC2858"/>
    <w:rsid w:val="00FC41B7"/>
    <w:rsid w:val="00FC43A9"/>
    <w:rsid w:val="00FC473F"/>
    <w:rsid w:val="00FC4ED9"/>
    <w:rsid w:val="00FC56C3"/>
    <w:rsid w:val="00FC5F7D"/>
    <w:rsid w:val="00FC619C"/>
    <w:rsid w:val="00FC714B"/>
    <w:rsid w:val="00FC7FCC"/>
    <w:rsid w:val="00FD0833"/>
    <w:rsid w:val="00FD08D5"/>
    <w:rsid w:val="00FD0B74"/>
    <w:rsid w:val="00FD10BA"/>
    <w:rsid w:val="00FD1306"/>
    <w:rsid w:val="00FD1DED"/>
    <w:rsid w:val="00FD231B"/>
    <w:rsid w:val="00FD2A2E"/>
    <w:rsid w:val="00FD35DB"/>
    <w:rsid w:val="00FD3F57"/>
    <w:rsid w:val="00FD4F13"/>
    <w:rsid w:val="00FD5AE7"/>
    <w:rsid w:val="00FD5CE9"/>
    <w:rsid w:val="00FD66DC"/>
    <w:rsid w:val="00FD6B6B"/>
    <w:rsid w:val="00FD6D66"/>
    <w:rsid w:val="00FD769C"/>
    <w:rsid w:val="00FD7F77"/>
    <w:rsid w:val="00FD7FA7"/>
    <w:rsid w:val="00FE034B"/>
    <w:rsid w:val="00FE07E4"/>
    <w:rsid w:val="00FE0F36"/>
    <w:rsid w:val="00FE132C"/>
    <w:rsid w:val="00FE17C3"/>
    <w:rsid w:val="00FE2A1C"/>
    <w:rsid w:val="00FE326E"/>
    <w:rsid w:val="00FE3425"/>
    <w:rsid w:val="00FE4038"/>
    <w:rsid w:val="00FE4402"/>
    <w:rsid w:val="00FE46AF"/>
    <w:rsid w:val="00FE54BF"/>
    <w:rsid w:val="00FE5CA5"/>
    <w:rsid w:val="00FE64D4"/>
    <w:rsid w:val="00FE6B66"/>
    <w:rsid w:val="00FE7535"/>
    <w:rsid w:val="00FE7909"/>
    <w:rsid w:val="00FF05D9"/>
    <w:rsid w:val="00FF07C3"/>
    <w:rsid w:val="00FF142B"/>
    <w:rsid w:val="00FF195D"/>
    <w:rsid w:val="00FF1B2F"/>
    <w:rsid w:val="00FF21F1"/>
    <w:rsid w:val="00FF3797"/>
    <w:rsid w:val="00FF3C9E"/>
    <w:rsid w:val="00FF45F0"/>
    <w:rsid w:val="00FF5205"/>
    <w:rsid w:val="00FF5F17"/>
    <w:rsid w:val="00FF6780"/>
    <w:rsid w:val="00FF6B91"/>
    <w:rsid w:val="00FF73A9"/>
    <w:rsid w:val="00FF7605"/>
    <w:rsid w:val="00FF775B"/>
    <w:rsid w:val="00FF79DE"/>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2"/>
    <o:shapelayout v:ext="edit">
      <o:idmap v:ext="edit" data="1"/>
    </o:shapelayout>
  </w:shapeDefaults>
  <w:decimalSymbol w:val=","/>
  <w:listSeparator w:val=";"/>
  <w14:defaultImageDpi w14:val="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2"/>
        <w:szCs w:val="22"/>
        <w:lang w:val="cs-CZ" w:eastAsia="cs-CZ" w:bidi="ar-SA"/>
      </w:rPr>
    </w:rPrDefault>
    <w:pPrDefault>
      <w:pPr>
        <w:spacing w:after="160" w:line="259" w:lineRule="auto"/>
      </w:pPr>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semiHidden="0" w:uiPriority="39" w:unhideWhenUsed="0" w:qFormat="1"/>
  </w:latentStyles>
  <w:style w:type="paragraph" w:default="1" w:styleId="Normln">
    <w:name w:val="Normal"/>
    <w:qFormat/>
    <w:rsid w:val="00FE7909"/>
    <w:pPr>
      <w:spacing w:after="120" w:line="240" w:lineRule="auto"/>
      <w:jc w:val="both"/>
    </w:pPr>
    <w:rPr>
      <w:rFonts w:ascii="Arial" w:hAnsi="Arial" w:cs="Arial"/>
      <w:sz w:val="19"/>
      <w:szCs w:val="19"/>
      <w:lang w:val="en-GB" w:eastAsia="en-GB"/>
    </w:rPr>
  </w:style>
  <w:style w:type="paragraph" w:styleId="Nadpis1">
    <w:name w:val="heading 1"/>
    <w:aliases w:val="Deloitte Heading 1,Heading 1 Char1 Char,Heading 1 Char Char Char,h1 Char Char Char,H1 Char Char Char,1 Char1 Char Char,Naglówek 1 Char Char Char,Naglówek 11 Char Char Char,Heading 1 Char1 Char Char Char,Heading 1 Char Char Char Char Char,1 gh"/>
    <w:basedOn w:val="Normln"/>
    <w:next w:val="Nadpis2"/>
    <w:link w:val="Nadpis1Char"/>
    <w:uiPriority w:val="99"/>
    <w:qFormat/>
    <w:rsid w:val="009C0FD7"/>
    <w:pPr>
      <w:keepNext/>
      <w:pageBreakBefore/>
      <w:numPr>
        <w:numId w:val="2"/>
      </w:numPr>
      <w:spacing w:after="800"/>
      <w:jc w:val="left"/>
      <w:outlineLvl w:val="0"/>
    </w:pPr>
    <w:rPr>
      <w:rFonts w:ascii="Times New Roman Bold" w:hAnsi="Times New Roman Bold" w:cs="Times New Roman Bold"/>
      <w:color w:val="002776"/>
      <w:kern w:val="32"/>
      <w:sz w:val="60"/>
      <w:szCs w:val="60"/>
    </w:rPr>
  </w:style>
  <w:style w:type="paragraph" w:styleId="Nadpis2">
    <w:name w:val="heading 2"/>
    <w:aliases w:val="h2,Normal Heading 2,LetHead2,- 1,2,3,H2,Heading_eng 2,Main header,Outline2 Char,HAA-Section Char,Sub Heading Char,ignorer2 Char,Nadpis_2 Char,adpis 2 Char,Nadpis 2 úroveň Char,Outline2,HAA-Section,Sub Heading,ignorer2,Nadpis_2,2m,Nadpis 2 Cha"/>
    <w:basedOn w:val="Nadpis1"/>
    <w:next w:val="Nadpis3"/>
    <w:link w:val="Nadpis2Char"/>
    <w:uiPriority w:val="99"/>
    <w:qFormat/>
    <w:rsid w:val="00E421C0"/>
    <w:pPr>
      <w:pageBreakBefore w:val="0"/>
      <w:numPr>
        <w:ilvl w:val="1"/>
      </w:numPr>
      <w:spacing w:before="240" w:after="240"/>
      <w:outlineLvl w:val="1"/>
    </w:pPr>
    <w:rPr>
      <w:rFonts w:ascii="Arial" w:hAnsi="Arial" w:cs="Arial"/>
      <w:b/>
      <w:bCs/>
      <w:color w:val="92D400"/>
      <w:sz w:val="24"/>
      <w:szCs w:val="24"/>
    </w:rPr>
  </w:style>
  <w:style w:type="paragraph" w:styleId="Nadpis3">
    <w:name w:val="heading 3"/>
    <w:aliases w:val="h3,- 1),2),3),- 1.,2.,3.,H3,Heading,List 1,Nadpis_3_úroveň,Záhlaví 3,V_Head3,V_Head31,V_Head32,Podkapitola2,ASAPHeading 3,Sub Paragraph,Podkapitola21,Podkapitola podkapitoly základní kapitoly,PA Minor Section,Nadpis_3_úroveo,TRM 12 3,TRM 12 I"/>
    <w:basedOn w:val="Nadpis2"/>
    <w:next w:val="Normln"/>
    <w:link w:val="Nadpis3Char"/>
    <w:uiPriority w:val="99"/>
    <w:qFormat/>
    <w:rsid w:val="00E421C0"/>
    <w:pPr>
      <w:numPr>
        <w:ilvl w:val="2"/>
      </w:numPr>
      <w:outlineLvl w:val="2"/>
    </w:pPr>
    <w:rPr>
      <w:color w:val="3C8A2E"/>
    </w:rPr>
  </w:style>
  <w:style w:type="paragraph" w:styleId="Nadpis4">
    <w:name w:val="heading 4"/>
    <w:aliases w:val="h4,H4,Ad.1),Ad 2),1),ASAPHeading 4,Sub Sub Paragraph,Podkapitola3,Podkapitola31,Odstavec 1,Odstavec 11,Odstavec 12,Odstavec 13,Odstavec 14,Odstavec 111,Odstavec 121,Odstavec 131,Odstavec 15,Odstavec 141,Odstavec 16,Odstavec 112,Odstavec 122,4"/>
    <w:basedOn w:val="Normln"/>
    <w:next w:val="Normln"/>
    <w:link w:val="Nadpis4Char"/>
    <w:uiPriority w:val="99"/>
    <w:qFormat/>
    <w:rsid w:val="0008794A"/>
    <w:pPr>
      <w:keepNext/>
      <w:keepLines/>
      <w:numPr>
        <w:ilvl w:val="3"/>
        <w:numId w:val="2"/>
      </w:numPr>
      <w:spacing w:before="240" w:after="240"/>
      <w:outlineLvl w:val="3"/>
    </w:pPr>
    <w:rPr>
      <w:b/>
      <w:bCs/>
      <w:sz w:val="24"/>
      <w:szCs w:val="24"/>
    </w:rPr>
  </w:style>
  <w:style w:type="paragraph" w:styleId="Nadpis5">
    <w:name w:val="heading 5"/>
    <w:aliases w:val="ASAPHeading 5,Heading 5   Appendix A to X,Appendix A to X,Heading 5   Appendix A to X1,Appendix A to X1,Heading 5   Appendix A to X2,Appendix A to X2,Heading 5   Appendix A to X11,Appendix A to X11,MUS5,Block Label,H5,5,Level 3 - i,h5,dash,ds"/>
    <w:basedOn w:val="Normln"/>
    <w:next w:val="Normln"/>
    <w:link w:val="Nadpis5Char"/>
    <w:uiPriority w:val="99"/>
    <w:qFormat/>
    <w:rsid w:val="0008794A"/>
    <w:pPr>
      <w:keepNext/>
      <w:keepLines/>
      <w:numPr>
        <w:ilvl w:val="4"/>
        <w:numId w:val="2"/>
      </w:numPr>
      <w:spacing w:before="240" w:after="240"/>
      <w:outlineLvl w:val="4"/>
    </w:pPr>
    <w:rPr>
      <w:b/>
      <w:bCs/>
      <w:i/>
      <w:iCs/>
      <w:color w:val="00133A"/>
      <w:sz w:val="24"/>
      <w:szCs w:val="24"/>
    </w:rPr>
  </w:style>
  <w:style w:type="paragraph" w:styleId="Nadpis6">
    <w:name w:val="heading 6"/>
    <w:aliases w:val="ASAPHeading 6,Heading 6  Appendix Y &amp; Z,Heading 6  Appendix Y &amp; Z1,Heading 6  Appendix Y &amp; Z2,Heading 6  Appendix Y &amp; Z11,MUS6,H6,ASAPHeading 61,ASAPHeading 62,ASAPHeading 63,ASAPHeading 64,ASAPHeading 65,ASAPHeading 66,ASAPHeading 611,h6,l"/>
    <w:basedOn w:val="Normln"/>
    <w:next w:val="Normln"/>
    <w:link w:val="Nadpis6Char"/>
    <w:uiPriority w:val="99"/>
    <w:qFormat/>
    <w:rsid w:val="0008794A"/>
    <w:pPr>
      <w:keepNext/>
      <w:keepLines/>
      <w:numPr>
        <w:ilvl w:val="5"/>
        <w:numId w:val="2"/>
      </w:numPr>
      <w:spacing w:before="240" w:after="240"/>
      <w:ind w:left="1418" w:hanging="1418"/>
      <w:outlineLvl w:val="5"/>
    </w:pPr>
    <w:rPr>
      <w:i/>
      <w:iCs/>
      <w:color w:val="00133A"/>
      <w:sz w:val="24"/>
      <w:szCs w:val="24"/>
    </w:rPr>
  </w:style>
  <w:style w:type="paragraph" w:styleId="Nadpis7">
    <w:name w:val="heading 7"/>
    <w:aliases w:val="ASAPHeading 7,MUS7,ASAPHeading 71,ASAPHeading 72,ASAPHeading 73,ASAPHeading 74,H7,letter list,lettered list,letter list1,lettered list1,letter list2,lettered list2,letter list11,lettered list11,letter list3,lettered list3,letter list12"/>
    <w:basedOn w:val="Normln"/>
    <w:next w:val="Normln"/>
    <w:link w:val="Nadpis7Char"/>
    <w:uiPriority w:val="99"/>
    <w:qFormat/>
    <w:rsid w:val="00E421C0"/>
    <w:pPr>
      <w:keepNext/>
      <w:keepLines/>
      <w:numPr>
        <w:ilvl w:val="6"/>
        <w:numId w:val="2"/>
      </w:numPr>
      <w:spacing w:before="240" w:after="240"/>
      <w:ind w:left="1576" w:hanging="1576"/>
      <w:outlineLvl w:val="6"/>
    </w:pPr>
    <w:rPr>
      <w:i/>
      <w:iCs/>
      <w:color w:val="404040"/>
      <w:sz w:val="22"/>
      <w:szCs w:val="22"/>
    </w:rPr>
  </w:style>
  <w:style w:type="paragraph" w:styleId="Nadpis8">
    <w:name w:val="heading 8"/>
    <w:aliases w:val="ASAPHeading 8,MUS8,H8,(Appendici),action,action1,action2,action11,action3,action4,action5,action6,action7,action12,action21,action111,action31,action8,action13,action22,action112,action32,action9,action14,action23,action113,action33"/>
    <w:basedOn w:val="Normln"/>
    <w:next w:val="Normln"/>
    <w:link w:val="Nadpis8Char"/>
    <w:uiPriority w:val="99"/>
    <w:qFormat/>
    <w:rsid w:val="00E421C0"/>
    <w:pPr>
      <w:keepNext/>
      <w:keepLines/>
      <w:numPr>
        <w:ilvl w:val="7"/>
        <w:numId w:val="2"/>
      </w:numPr>
      <w:spacing w:before="240" w:after="240"/>
      <w:ind w:left="1701" w:hanging="1701"/>
      <w:outlineLvl w:val="7"/>
    </w:pPr>
    <w:rPr>
      <w:i/>
      <w:iCs/>
      <w:color w:val="404040"/>
      <w:sz w:val="20"/>
      <w:szCs w:val="20"/>
    </w:rPr>
  </w:style>
  <w:style w:type="paragraph" w:styleId="Nadpis9">
    <w:name w:val="heading 9"/>
    <w:aliases w:val="h9,heading9,ASAPHeading 9,App Heading,MUS9,H9,(Bibliografia),progress,progress1,progress2,progress11,progress3,progress4,progress5,progress6,progress7,progress12,progress21,progress111,progress31,progress8,progress13,progress22,progress112"/>
    <w:basedOn w:val="Normln"/>
    <w:next w:val="Normln"/>
    <w:link w:val="Nadpis9Char"/>
    <w:uiPriority w:val="99"/>
    <w:qFormat/>
    <w:rsid w:val="00E421C0"/>
    <w:pPr>
      <w:keepNext/>
      <w:keepLines/>
      <w:numPr>
        <w:ilvl w:val="8"/>
        <w:numId w:val="2"/>
      </w:numPr>
      <w:spacing w:before="240" w:after="240"/>
      <w:ind w:left="1985" w:hanging="1985"/>
      <w:outlineLvl w:val="8"/>
    </w:pPr>
    <w:rPr>
      <w:i/>
      <w:iCs/>
      <w:color w:val="404040"/>
      <w:sz w:val="18"/>
      <w:szCs w:val="1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aliases w:val="Deloitte Heading 1 Char,Heading 1 Char1 Char Char,Heading 1 Char Char Char Char,h1 Char Char Char Char,H1 Char Char Char Char,1 Char1 Char Char Char,Naglówek 1 Char Char Char Char,Naglówek 11 Char Char Char Char,1 gh Char"/>
    <w:basedOn w:val="Standardnpsmoodstavce"/>
    <w:link w:val="Nadpis1"/>
    <w:uiPriority w:val="99"/>
    <w:locked/>
    <w:rsid w:val="00F043A0"/>
    <w:rPr>
      <w:rFonts w:ascii="Times New Roman Bold" w:hAnsi="Times New Roman Bold" w:cs="Times New Roman Bold"/>
      <w:color w:val="002776"/>
      <w:kern w:val="32"/>
      <w:sz w:val="60"/>
      <w:szCs w:val="60"/>
      <w:lang w:val="en-GB" w:eastAsia="en-GB"/>
    </w:rPr>
  </w:style>
  <w:style w:type="character" w:customStyle="1" w:styleId="Nadpis2Char">
    <w:name w:val="Nadpis 2 Char"/>
    <w:aliases w:val="h2 Char,Normal Heading 2 Char,LetHead2 Char,- 1 Char,2 Char,3 Char,H2 Char,Heading_eng 2 Char,Main header Char,Outline2 Char Char,HAA-Section Char Char,Sub Heading Char Char,ignorer2 Char Char,Nadpis_2 Char Char,adpis 2 Char Char,2m Char"/>
    <w:basedOn w:val="Standardnpsmoodstavce"/>
    <w:link w:val="Nadpis2"/>
    <w:uiPriority w:val="99"/>
    <w:locked/>
    <w:rsid w:val="00E16AFF"/>
    <w:rPr>
      <w:rFonts w:ascii="Arial" w:hAnsi="Arial" w:cs="Arial"/>
      <w:b/>
      <w:bCs/>
      <w:color w:val="92D400"/>
      <w:kern w:val="32"/>
      <w:sz w:val="24"/>
      <w:szCs w:val="24"/>
      <w:lang w:val="en-GB" w:eastAsia="en-GB"/>
    </w:rPr>
  </w:style>
  <w:style w:type="character" w:customStyle="1" w:styleId="BodyodsazeneChar">
    <w:name w:val="Body odsazene Char"/>
    <w:link w:val="Bodyodsazene"/>
    <w:uiPriority w:val="99"/>
    <w:locked/>
    <w:rsid w:val="00167A57"/>
    <w:rPr>
      <w:rFonts w:ascii="Arial" w:hAnsi="Arial" w:cs="Arial"/>
      <w:color w:val="000000"/>
      <w:sz w:val="48"/>
      <w:szCs w:val="48"/>
      <w:lang w:val="en-GB" w:eastAsia="x-none"/>
    </w:rPr>
  </w:style>
  <w:style w:type="character" w:customStyle="1" w:styleId="Nadpis4Char">
    <w:name w:val="Nadpis 4 Char"/>
    <w:aliases w:val="h4 Char,H4 Char,Ad.1) Char,Ad 2) Char,1) Char,ASAPHeading 4 Char,Sub Sub Paragraph Char,Podkapitola3 Char,Podkapitola31 Char,Odstavec 1 Char,Odstavec 11 Char,Odstavec 12 Char,Odstavec 13 Char,Odstavec 14 Char,Odstavec 111 Char,4 Char"/>
    <w:basedOn w:val="Standardnpsmoodstavce"/>
    <w:link w:val="Nadpis4"/>
    <w:uiPriority w:val="99"/>
    <w:locked/>
    <w:rsid w:val="0008794A"/>
    <w:rPr>
      <w:rFonts w:ascii="Arial" w:hAnsi="Arial" w:cs="Arial"/>
      <w:b/>
      <w:bCs/>
      <w:sz w:val="24"/>
      <w:szCs w:val="24"/>
      <w:lang w:val="en-GB" w:eastAsia="en-GB"/>
    </w:rPr>
  </w:style>
  <w:style w:type="character" w:customStyle="1" w:styleId="Nadpis5Char">
    <w:name w:val="Nadpis 5 Char"/>
    <w:aliases w:val="ASAPHeading 5 Char,Heading 5   Appendix A to X Char,Appendix A to X Char,Heading 5   Appendix A to X1 Char,Appendix A to X1 Char,Heading 5   Appendix A to X2 Char,Appendix A to X2 Char,Heading 5   Appendix A to X11 Char,MUS5 Char,H5 Char"/>
    <w:basedOn w:val="Standardnpsmoodstavce"/>
    <w:link w:val="Nadpis5"/>
    <w:uiPriority w:val="99"/>
    <w:locked/>
    <w:rsid w:val="0008794A"/>
    <w:rPr>
      <w:rFonts w:ascii="Arial" w:hAnsi="Arial" w:cs="Arial"/>
      <w:b/>
      <w:bCs/>
      <w:i/>
      <w:iCs/>
      <w:color w:val="00133A"/>
      <w:sz w:val="24"/>
      <w:szCs w:val="24"/>
      <w:lang w:val="en-GB" w:eastAsia="en-GB"/>
    </w:rPr>
  </w:style>
  <w:style w:type="character" w:styleId="Znakapoznpodarou">
    <w:name w:val="footnote reference"/>
    <w:aliases w:val="Überschrift 4 Zchn1,Título 4 Car Zchn,Heading 4 Char1 Car Zchn,no vale 2 Zchn,no vale 2 Car Zchn,PGI Fußnote Ziffer,BVI fnr,Footnote symbol,Footnote Reference Superscript,Appel note de bas de p,Appel note de bas de page,Légende"/>
    <w:basedOn w:val="Standardnpsmoodstavce"/>
    <w:uiPriority w:val="99"/>
    <w:semiHidden/>
    <w:rsid w:val="00E421C0"/>
    <w:rPr>
      <w:rFonts w:ascii="Arial" w:hAnsi="Arial" w:cs="Arial"/>
      <w:sz w:val="16"/>
      <w:szCs w:val="16"/>
      <w:vertAlign w:val="superscript"/>
    </w:rPr>
  </w:style>
  <w:style w:type="character" w:customStyle="1" w:styleId="Nadpis7Char">
    <w:name w:val="Nadpis 7 Char"/>
    <w:aliases w:val="ASAPHeading 7 Char,MUS7 Char,ASAPHeading 71 Char,ASAPHeading 72 Char,ASAPHeading 73 Char,ASAPHeading 74 Char,H7 Char,letter list Char,lettered list Char,letter list1 Char,lettered list1 Char,letter list2 Char,lettered list2 Char"/>
    <w:basedOn w:val="Standardnpsmoodstavce"/>
    <w:link w:val="Nadpis7"/>
    <w:uiPriority w:val="99"/>
    <w:locked/>
    <w:rsid w:val="00E421C0"/>
    <w:rPr>
      <w:rFonts w:ascii="Arial" w:hAnsi="Arial" w:cs="Arial"/>
      <w:i/>
      <w:iCs/>
      <w:color w:val="404040"/>
      <w:lang w:val="en-GB" w:eastAsia="en-GB"/>
    </w:rPr>
  </w:style>
  <w:style w:type="character" w:customStyle="1" w:styleId="Nadpis8Char">
    <w:name w:val="Nadpis 8 Char"/>
    <w:aliases w:val="ASAPHeading 8 Char,MUS8 Char,H8 Char,(Appendici) Char,action Char,action1 Char,action2 Char,action11 Char,action3 Char,action4 Char,action5 Char,action6 Char,action7 Char,action12 Char,action21 Char,action111 Char,action31 Char"/>
    <w:basedOn w:val="Standardnpsmoodstavce"/>
    <w:link w:val="Nadpis8"/>
    <w:uiPriority w:val="99"/>
    <w:locked/>
    <w:rsid w:val="00E421C0"/>
    <w:rPr>
      <w:rFonts w:ascii="Arial" w:hAnsi="Arial" w:cs="Arial"/>
      <w:i/>
      <w:iCs/>
      <w:color w:val="404040"/>
      <w:sz w:val="20"/>
      <w:szCs w:val="20"/>
      <w:lang w:val="en-GB" w:eastAsia="en-GB"/>
    </w:rPr>
  </w:style>
  <w:style w:type="character" w:customStyle="1" w:styleId="Nadpis9Char">
    <w:name w:val="Nadpis 9 Char"/>
    <w:aliases w:val="h9 Char,heading9 Char,ASAPHeading 9 Char,App Heading Char,MUS9 Char,H9 Char,(Bibliografia) Char,progress Char,progress1 Char,progress2 Char,progress11 Char,progress3 Char,progress4 Char,progress5 Char,progress6 Char,progress7 Char"/>
    <w:basedOn w:val="Standardnpsmoodstavce"/>
    <w:link w:val="Nadpis9"/>
    <w:uiPriority w:val="99"/>
    <w:locked/>
    <w:rsid w:val="00E421C0"/>
    <w:rPr>
      <w:rFonts w:ascii="Arial" w:hAnsi="Arial" w:cs="Arial"/>
      <w:i/>
      <w:iCs/>
      <w:color w:val="404040"/>
      <w:sz w:val="18"/>
      <w:szCs w:val="18"/>
      <w:lang w:val="en-GB" w:eastAsia="en-GB"/>
    </w:rPr>
  </w:style>
  <w:style w:type="paragraph" w:styleId="Seznamobrzk">
    <w:name w:val="table of figures"/>
    <w:basedOn w:val="Normln"/>
    <w:next w:val="Normln"/>
    <w:uiPriority w:val="99"/>
    <w:rsid w:val="00837914"/>
  </w:style>
  <w:style w:type="table" w:styleId="Svtlseznamzvraznn2">
    <w:name w:val="Light List Accent 2"/>
    <w:basedOn w:val="Normlntabulka"/>
    <w:uiPriority w:val="99"/>
    <w:rsid w:val="00276CD5"/>
    <w:pPr>
      <w:spacing w:after="0" w:line="240" w:lineRule="auto"/>
    </w:pPr>
    <w:rPr>
      <w:rFonts w:ascii="Arial" w:hAnsi="Arial" w:cs="Arial"/>
      <w:sz w:val="20"/>
      <w:szCs w:val="20"/>
    </w:rPr>
    <w:tblPr>
      <w:tblStyleRowBandSize w:val="1"/>
      <w:tblStyleColBandSize w:val="1"/>
      <w:tblInd w:w="0" w:type="nil"/>
      <w:tblBorders>
        <w:top w:val="single" w:sz="8" w:space="0" w:color="92D400"/>
        <w:left w:val="single" w:sz="8" w:space="0" w:color="92D400"/>
        <w:bottom w:val="single" w:sz="8" w:space="0" w:color="92D400"/>
        <w:right w:val="single" w:sz="8" w:space="0" w:color="92D400"/>
      </w:tblBorders>
    </w:tblPr>
    <w:tblStylePr w:type="firstRow">
      <w:pPr>
        <w:spacing w:before="0" w:after="0"/>
      </w:pPr>
      <w:rPr>
        <w:b/>
        <w:bCs/>
        <w:color w:val="FFFFFF"/>
      </w:rPr>
      <w:tblPr/>
      <w:tcPr>
        <w:shd w:val="clear" w:color="auto" w:fill="92D400"/>
      </w:tcPr>
    </w:tblStylePr>
    <w:tblStylePr w:type="lastRow">
      <w:pPr>
        <w:spacing w:before="0" w:after="0"/>
      </w:pPr>
      <w:rPr>
        <w:b/>
        <w:bCs/>
      </w:rPr>
      <w:tblPr/>
      <w:tcPr>
        <w:tcBorders>
          <w:top w:val="double" w:sz="6" w:space="0" w:color="92D400"/>
          <w:left w:val="single" w:sz="8" w:space="0" w:color="92D400"/>
          <w:bottom w:val="single" w:sz="8" w:space="0" w:color="92D400"/>
          <w:right w:val="single" w:sz="8" w:space="0" w:color="92D400"/>
        </w:tcBorders>
      </w:tcPr>
    </w:tblStylePr>
    <w:tblStylePr w:type="firstCol">
      <w:rPr>
        <w:b/>
        <w:bCs/>
      </w:rPr>
    </w:tblStylePr>
    <w:tblStylePr w:type="lastCol">
      <w:rPr>
        <w:b/>
        <w:bCs/>
      </w:rPr>
    </w:tblStylePr>
    <w:tblStylePr w:type="band1Vert">
      <w:tblPr/>
      <w:tcPr>
        <w:tcBorders>
          <w:top w:val="single" w:sz="8" w:space="0" w:color="92D400"/>
          <w:left w:val="single" w:sz="8" w:space="0" w:color="92D400"/>
          <w:bottom w:val="single" w:sz="8" w:space="0" w:color="92D400"/>
          <w:right w:val="single" w:sz="8" w:space="0" w:color="92D400"/>
        </w:tcBorders>
      </w:tcPr>
    </w:tblStylePr>
    <w:tblStylePr w:type="band1Horz">
      <w:tblPr/>
      <w:tcPr>
        <w:tcBorders>
          <w:top w:val="single" w:sz="8" w:space="0" w:color="92D400"/>
          <w:left w:val="single" w:sz="8" w:space="0" w:color="92D400"/>
          <w:bottom w:val="single" w:sz="8" w:space="0" w:color="92D400"/>
          <w:right w:val="single" w:sz="8" w:space="0" w:color="92D400"/>
        </w:tcBorders>
      </w:tcPr>
    </w:tblStylePr>
  </w:style>
  <w:style w:type="paragraph" w:customStyle="1" w:styleId="Bodyodsazene">
    <w:name w:val="Body odsazene"/>
    <w:basedOn w:val="BodyText1"/>
    <w:link w:val="BodyodsazeneChar"/>
    <w:uiPriority w:val="99"/>
    <w:rsid w:val="00167A57"/>
    <w:pPr>
      <w:spacing w:before="120" w:after="120"/>
    </w:pPr>
  </w:style>
  <w:style w:type="paragraph" w:styleId="Obsah5">
    <w:name w:val="toc 5"/>
    <w:basedOn w:val="Normln"/>
    <w:next w:val="Normln"/>
    <w:autoRedefine/>
    <w:uiPriority w:val="99"/>
    <w:semiHidden/>
    <w:rsid w:val="00210E5E"/>
    <w:pPr>
      <w:spacing w:after="100"/>
      <w:ind w:left="960"/>
    </w:pPr>
  </w:style>
  <w:style w:type="table" w:styleId="Mkatabulky">
    <w:name w:val="Table Grid"/>
    <w:aliases w:val="Deloitte table 3"/>
    <w:basedOn w:val="Normlntabulka"/>
    <w:uiPriority w:val="99"/>
    <w:rsid w:val="00A40230"/>
    <w:pPr>
      <w:spacing w:after="0" w:line="240" w:lineRule="auto"/>
    </w:pPr>
    <w:rPr>
      <w:rFonts w:ascii="Arial" w:hAnsi="Arial" w:cs="Arial"/>
      <w:sz w:val="19"/>
      <w:szCs w:val="19"/>
    </w:rPr>
    <w:tblPr>
      <w:tblInd w:w="0" w:type="nil"/>
      <w:tblBorders>
        <w:bottom w:val="single" w:sz="4" w:space="0" w:color="72C7E7"/>
        <w:insideH w:val="single" w:sz="4" w:space="0" w:color="72C7E7"/>
      </w:tblBorders>
      <w:tblCellMar>
        <w:top w:w="28" w:type="dxa"/>
        <w:left w:w="28" w:type="dxa"/>
        <w:bottom w:w="28" w:type="dxa"/>
        <w:right w:w="28" w:type="dxa"/>
      </w:tblCellMar>
    </w:tblPr>
    <w:tcPr>
      <w:shd w:val="clear" w:color="auto" w:fill="FFFFFF"/>
    </w:tcPr>
    <w:tblStylePr w:type="firstRow">
      <w:rPr>
        <w:rFonts w:ascii="Arial" w:hAnsi="Arial" w:cs="Arial"/>
        <w:b/>
        <w:bCs/>
        <w:color w:val="FFFFFF"/>
        <w:sz w:val="19"/>
        <w:szCs w:val="19"/>
      </w:rPr>
      <w:tblPr/>
      <w:tcPr>
        <w:shd w:val="clear" w:color="auto" w:fill="72C7E7"/>
      </w:tcPr>
    </w:tblStylePr>
    <w:tblStylePr w:type="firstCol">
      <w:rPr>
        <w:rFonts w:ascii="Arial" w:hAnsi="Arial" w:cs="Arial"/>
        <w:sz w:val="19"/>
        <w:szCs w:val="19"/>
      </w:rPr>
    </w:tblStylePr>
  </w:style>
  <w:style w:type="paragraph" w:styleId="Zhlav">
    <w:name w:val="header"/>
    <w:basedOn w:val="Normln"/>
    <w:link w:val="ZhlavChar"/>
    <w:uiPriority w:val="99"/>
    <w:rsid w:val="00E421C0"/>
    <w:pPr>
      <w:tabs>
        <w:tab w:val="center" w:pos="4703"/>
        <w:tab w:val="right" w:pos="9406"/>
      </w:tabs>
    </w:pPr>
    <w:rPr>
      <w:sz w:val="16"/>
      <w:szCs w:val="16"/>
    </w:rPr>
  </w:style>
  <w:style w:type="character" w:customStyle="1" w:styleId="ZhlavChar">
    <w:name w:val="Záhlaví Char"/>
    <w:basedOn w:val="Standardnpsmoodstavce"/>
    <w:link w:val="Zhlav"/>
    <w:uiPriority w:val="99"/>
    <w:locked/>
    <w:rsid w:val="00E421C0"/>
    <w:rPr>
      <w:rFonts w:ascii="Arial" w:hAnsi="Arial" w:cs="Arial"/>
      <w:sz w:val="24"/>
      <w:szCs w:val="24"/>
    </w:rPr>
  </w:style>
  <w:style w:type="paragraph" w:styleId="Zpat">
    <w:name w:val="footer"/>
    <w:basedOn w:val="Normln"/>
    <w:link w:val="ZpatChar"/>
    <w:uiPriority w:val="99"/>
    <w:rsid w:val="008C3FA4"/>
    <w:pPr>
      <w:tabs>
        <w:tab w:val="center" w:pos="4703"/>
        <w:tab w:val="right" w:pos="9406"/>
      </w:tabs>
    </w:pPr>
  </w:style>
  <w:style w:type="character" w:customStyle="1" w:styleId="ZpatChar">
    <w:name w:val="Zápatí Char"/>
    <w:basedOn w:val="Standardnpsmoodstavce"/>
    <w:link w:val="Zpat"/>
    <w:uiPriority w:val="99"/>
    <w:locked/>
    <w:rsid w:val="004A531E"/>
    <w:rPr>
      <w:sz w:val="24"/>
      <w:szCs w:val="24"/>
    </w:rPr>
  </w:style>
  <w:style w:type="character" w:styleId="slostrnky">
    <w:name w:val="page number"/>
    <w:basedOn w:val="Standardnpsmoodstavce"/>
    <w:uiPriority w:val="99"/>
    <w:rsid w:val="00E421C0"/>
    <w:rPr>
      <w:rFonts w:ascii="Arial" w:hAnsi="Arial" w:cs="Arial"/>
      <w:sz w:val="16"/>
      <w:szCs w:val="16"/>
    </w:rPr>
  </w:style>
  <w:style w:type="paragraph" w:styleId="Obsah1">
    <w:name w:val="toc 1"/>
    <w:basedOn w:val="Normln"/>
    <w:next w:val="Normln"/>
    <w:autoRedefine/>
    <w:uiPriority w:val="39"/>
    <w:rsid w:val="00D34C27"/>
    <w:pPr>
      <w:spacing w:after="240"/>
      <w:ind w:left="720" w:hanging="720"/>
    </w:pPr>
    <w:rPr>
      <w:sz w:val="24"/>
      <w:szCs w:val="24"/>
    </w:rPr>
  </w:style>
  <w:style w:type="paragraph" w:styleId="Obsah2">
    <w:name w:val="toc 2"/>
    <w:basedOn w:val="Normln"/>
    <w:next w:val="Normln"/>
    <w:autoRedefine/>
    <w:uiPriority w:val="39"/>
    <w:rsid w:val="00D34C27"/>
    <w:pPr>
      <w:spacing w:after="240"/>
      <w:ind w:left="958" w:hanging="720"/>
    </w:pPr>
    <w:rPr>
      <w:sz w:val="24"/>
      <w:szCs w:val="24"/>
    </w:rPr>
  </w:style>
  <w:style w:type="paragraph" w:styleId="Obsah3">
    <w:name w:val="toc 3"/>
    <w:basedOn w:val="Normln"/>
    <w:next w:val="Normln"/>
    <w:autoRedefine/>
    <w:uiPriority w:val="39"/>
    <w:rsid w:val="00D34C27"/>
    <w:pPr>
      <w:spacing w:after="240"/>
      <w:ind w:left="1202" w:hanging="720"/>
    </w:pPr>
    <w:rPr>
      <w:sz w:val="24"/>
      <w:szCs w:val="24"/>
    </w:rPr>
  </w:style>
  <w:style w:type="character" w:styleId="Hypertextovodkaz">
    <w:name w:val="Hyperlink"/>
    <w:basedOn w:val="Standardnpsmoodstavce"/>
    <w:uiPriority w:val="99"/>
    <w:rsid w:val="00481E83"/>
    <w:rPr>
      <w:rFonts w:ascii="Arial" w:hAnsi="Arial" w:cs="Arial"/>
      <w:color w:val="00A1DE"/>
      <w:sz w:val="19"/>
      <w:szCs w:val="19"/>
      <w:u w:val="single"/>
    </w:rPr>
  </w:style>
  <w:style w:type="paragraph" w:styleId="Textbubliny">
    <w:name w:val="Balloon Text"/>
    <w:basedOn w:val="Normln"/>
    <w:link w:val="TextbublinyChar"/>
    <w:uiPriority w:val="99"/>
    <w:semiHidden/>
    <w:rsid w:val="00392FE4"/>
    <w:rPr>
      <w:rFonts w:ascii="Tahoma" w:hAnsi="Tahoma" w:cs="Tahoma"/>
      <w:sz w:val="16"/>
      <w:szCs w:val="16"/>
    </w:rPr>
  </w:style>
  <w:style w:type="character" w:customStyle="1" w:styleId="TextbublinyChar">
    <w:name w:val="Text bubliny Char"/>
    <w:basedOn w:val="Standardnpsmoodstavce"/>
    <w:link w:val="Textbubliny"/>
    <w:uiPriority w:val="99"/>
    <w:semiHidden/>
    <w:locked/>
    <w:rsid w:val="00283E62"/>
    <w:rPr>
      <w:rFonts w:ascii="Tahoma" w:hAnsi="Tahoma" w:cs="Tahoma"/>
      <w:sz w:val="16"/>
      <w:szCs w:val="16"/>
      <w:lang w:val="en-GB" w:eastAsia="x-none"/>
    </w:rPr>
  </w:style>
  <w:style w:type="paragraph" w:customStyle="1" w:styleId="BodyText1">
    <w:name w:val="Body Text1"/>
    <w:link w:val="BodytextChar"/>
    <w:uiPriority w:val="99"/>
    <w:rsid w:val="00E42491"/>
    <w:pPr>
      <w:spacing w:after="0" w:line="240" w:lineRule="auto"/>
    </w:pPr>
    <w:rPr>
      <w:rFonts w:ascii="Arial" w:hAnsi="Arial" w:cs="Arial"/>
      <w:color w:val="000000"/>
      <w:sz w:val="19"/>
      <w:szCs w:val="19"/>
      <w:lang w:val="en-GB" w:eastAsia="en-GB"/>
    </w:rPr>
  </w:style>
  <w:style w:type="paragraph" w:customStyle="1" w:styleId="Legalentity">
    <w:name w:val="Legal entity"/>
    <w:basedOn w:val="Normln"/>
    <w:uiPriority w:val="99"/>
    <w:rsid w:val="00075C1E"/>
    <w:pPr>
      <w:widowControl w:val="0"/>
      <w:suppressAutoHyphens/>
      <w:autoSpaceDE w:val="0"/>
      <w:autoSpaceDN w:val="0"/>
      <w:adjustRightInd w:val="0"/>
      <w:spacing w:after="90" w:line="180" w:lineRule="atLeast"/>
      <w:textAlignment w:val="center"/>
    </w:pPr>
    <w:rPr>
      <w:color w:val="000000"/>
      <w:sz w:val="15"/>
      <w:szCs w:val="15"/>
    </w:rPr>
  </w:style>
  <w:style w:type="paragraph" w:customStyle="1" w:styleId="smlouvaheading1">
    <w:name w:val="smlouva heading 1"/>
    <w:next w:val="BodyText1"/>
    <w:uiPriority w:val="99"/>
    <w:rsid w:val="00D74931"/>
    <w:pPr>
      <w:numPr>
        <w:numId w:val="4"/>
      </w:numPr>
      <w:tabs>
        <w:tab w:val="left" w:pos="357"/>
      </w:tabs>
      <w:spacing w:before="120" w:after="120" w:line="240" w:lineRule="auto"/>
      <w:ind w:left="357" w:hanging="357"/>
    </w:pPr>
    <w:rPr>
      <w:rFonts w:ascii="Arial" w:hAnsi="Arial" w:cs="Arial"/>
      <w:b/>
      <w:bCs/>
      <w:noProof/>
      <w:color w:val="000000"/>
      <w:sz w:val="19"/>
      <w:szCs w:val="19"/>
      <w:lang w:val="en-GB" w:eastAsia="en-GB"/>
    </w:rPr>
  </w:style>
  <w:style w:type="paragraph" w:customStyle="1" w:styleId="CaptionIntroductionparagraph">
    <w:name w:val="Caption Introduction paragraph"/>
    <w:uiPriority w:val="99"/>
    <w:rsid w:val="00E0742A"/>
    <w:pPr>
      <w:spacing w:after="120" w:line="240" w:lineRule="auto"/>
    </w:pPr>
    <w:rPr>
      <w:rFonts w:ascii="Arial" w:hAnsi="Arial" w:cs="Arial"/>
      <w:b/>
      <w:bCs/>
      <w:color w:val="00A1DE"/>
      <w:sz w:val="24"/>
      <w:szCs w:val="24"/>
      <w:lang w:val="en-GB" w:eastAsia="en-GB"/>
    </w:rPr>
  </w:style>
  <w:style w:type="paragraph" w:customStyle="1" w:styleId="smlouvaheading2">
    <w:name w:val="smlouva heading 2"/>
    <w:basedOn w:val="CaptionIntroductionparagraph"/>
    <w:next w:val="BodyText1"/>
    <w:uiPriority w:val="99"/>
    <w:rsid w:val="00D74931"/>
    <w:pPr>
      <w:numPr>
        <w:ilvl w:val="1"/>
        <w:numId w:val="4"/>
      </w:numPr>
      <w:tabs>
        <w:tab w:val="left" w:pos="567"/>
      </w:tabs>
      <w:ind w:left="567" w:hanging="567"/>
    </w:pPr>
    <w:rPr>
      <w:b w:val="0"/>
      <w:bCs w:val="0"/>
      <w:color w:val="000000"/>
      <w:sz w:val="19"/>
      <w:szCs w:val="19"/>
    </w:rPr>
  </w:style>
  <w:style w:type="paragraph" w:customStyle="1" w:styleId="smlouvaheading3">
    <w:name w:val="smlouva heading 3"/>
    <w:basedOn w:val="smlouvaheading2"/>
    <w:next w:val="BodyText1"/>
    <w:uiPriority w:val="99"/>
    <w:rsid w:val="00D74931"/>
    <w:pPr>
      <w:numPr>
        <w:ilvl w:val="2"/>
      </w:numPr>
      <w:tabs>
        <w:tab w:val="clear" w:pos="567"/>
        <w:tab w:val="left" w:pos="794"/>
      </w:tabs>
      <w:ind w:left="794" w:hanging="794"/>
    </w:pPr>
  </w:style>
  <w:style w:type="paragraph" w:customStyle="1" w:styleId="smlouvaheading4">
    <w:name w:val="smlouva heading 4"/>
    <w:basedOn w:val="smlouvaheading3"/>
    <w:next w:val="BodyText1"/>
    <w:uiPriority w:val="99"/>
    <w:rsid w:val="00D74931"/>
    <w:pPr>
      <w:numPr>
        <w:ilvl w:val="3"/>
      </w:numPr>
      <w:tabs>
        <w:tab w:val="clear" w:pos="794"/>
        <w:tab w:val="left" w:pos="1021"/>
      </w:tabs>
      <w:ind w:left="1021" w:hanging="1021"/>
    </w:pPr>
    <w:rPr>
      <w:color w:val="auto"/>
    </w:rPr>
  </w:style>
  <w:style w:type="paragraph" w:customStyle="1" w:styleId="smlouvabodytextbold">
    <w:name w:val="smlouva body text bold"/>
    <w:basedOn w:val="smlouvaheading4"/>
    <w:next w:val="BodyText1"/>
    <w:uiPriority w:val="99"/>
    <w:rsid w:val="00F433F7"/>
    <w:pPr>
      <w:numPr>
        <w:ilvl w:val="0"/>
        <w:numId w:val="0"/>
      </w:numPr>
    </w:pPr>
    <w:rPr>
      <w:b/>
      <w:bCs/>
    </w:rPr>
  </w:style>
  <w:style w:type="paragraph" w:customStyle="1" w:styleId="Bodytextbold">
    <w:name w:val="Body text bold"/>
    <w:basedOn w:val="smlouvabodytextbold"/>
    <w:next w:val="BodyText1"/>
    <w:uiPriority w:val="99"/>
    <w:rsid w:val="00075C1E"/>
    <w:pPr>
      <w:tabs>
        <w:tab w:val="clear" w:pos="1021"/>
        <w:tab w:val="left" w:pos="1134"/>
      </w:tabs>
    </w:pPr>
    <w:rPr>
      <w:color w:val="000000"/>
    </w:rPr>
  </w:style>
  <w:style w:type="character" w:customStyle="1" w:styleId="CaptionbodyChar">
    <w:name w:val="Caption body Char"/>
    <w:link w:val="Captionbody"/>
    <w:uiPriority w:val="99"/>
    <w:locked/>
    <w:rsid w:val="005B4CAD"/>
    <w:rPr>
      <w:rFonts w:ascii="Arial" w:hAnsi="Arial" w:cs="Arial"/>
      <w:color w:val="000000"/>
      <w:sz w:val="18"/>
      <w:szCs w:val="18"/>
    </w:rPr>
  </w:style>
  <w:style w:type="paragraph" w:customStyle="1" w:styleId="Captionbody">
    <w:name w:val="Caption body"/>
    <w:link w:val="CaptionbodyChar"/>
    <w:uiPriority w:val="99"/>
    <w:rsid w:val="005B4CAD"/>
    <w:pPr>
      <w:spacing w:after="0" w:line="240" w:lineRule="auto"/>
    </w:pPr>
    <w:rPr>
      <w:rFonts w:ascii="Arial" w:hAnsi="Arial" w:cs="Arial"/>
      <w:color w:val="000000"/>
      <w:sz w:val="18"/>
      <w:szCs w:val="18"/>
      <w:lang w:val="en-GB" w:eastAsia="en-GB"/>
    </w:rPr>
  </w:style>
  <w:style w:type="paragraph" w:customStyle="1" w:styleId="Captionheading">
    <w:name w:val="Caption heading"/>
    <w:basedOn w:val="Captionbody"/>
    <w:uiPriority w:val="99"/>
    <w:rsid w:val="005B4CAD"/>
    <w:rPr>
      <w:b/>
      <w:bCs/>
    </w:rPr>
  </w:style>
  <w:style w:type="paragraph" w:customStyle="1" w:styleId="smlouvabodytext">
    <w:name w:val="smlouva body text"/>
    <w:basedOn w:val="Normln"/>
    <w:uiPriority w:val="99"/>
    <w:rsid w:val="00F433F7"/>
    <w:rPr>
      <w:noProof/>
    </w:rPr>
  </w:style>
  <w:style w:type="paragraph" w:customStyle="1" w:styleId="Bulletslevel1">
    <w:name w:val="Bullets level 1"/>
    <w:basedOn w:val="Normln"/>
    <w:link w:val="Bulletslevel1Char"/>
    <w:uiPriority w:val="99"/>
    <w:rsid w:val="00075C1E"/>
    <w:pPr>
      <w:numPr>
        <w:numId w:val="1"/>
      </w:numPr>
      <w:spacing w:before="120"/>
      <w:ind w:left="360"/>
    </w:pPr>
    <w:rPr>
      <w:color w:val="000000"/>
    </w:rPr>
  </w:style>
  <w:style w:type="character" w:customStyle="1" w:styleId="Bulletslevel1Char">
    <w:name w:val="Bullets level 1 Char"/>
    <w:link w:val="Bulletslevel1"/>
    <w:uiPriority w:val="99"/>
    <w:locked/>
    <w:rsid w:val="001C2EF4"/>
    <w:rPr>
      <w:rFonts w:ascii="Arial" w:hAnsi="Arial" w:cs="Arial"/>
      <w:color w:val="000000"/>
      <w:sz w:val="19"/>
      <w:szCs w:val="19"/>
      <w:lang w:val="en-GB" w:eastAsia="en-GB"/>
    </w:rPr>
  </w:style>
  <w:style w:type="paragraph" w:customStyle="1" w:styleId="Bulletslevel2">
    <w:name w:val="Bullets level 2"/>
    <w:basedOn w:val="Normln"/>
    <w:link w:val="Bulletslevel2Char"/>
    <w:uiPriority w:val="99"/>
    <w:rsid w:val="00DC6C4A"/>
    <w:pPr>
      <w:numPr>
        <w:numId w:val="3"/>
      </w:numPr>
      <w:tabs>
        <w:tab w:val="left" w:pos="567"/>
      </w:tabs>
      <w:spacing w:before="120"/>
    </w:pPr>
    <w:rPr>
      <w:color w:val="000000"/>
    </w:rPr>
  </w:style>
  <w:style w:type="character" w:customStyle="1" w:styleId="Bulletslevel2Char">
    <w:name w:val="Bullets level 2 Char"/>
    <w:link w:val="Bulletslevel2"/>
    <w:uiPriority w:val="99"/>
    <w:locked/>
    <w:rsid w:val="00DC6C4A"/>
    <w:rPr>
      <w:rFonts w:ascii="Arial" w:hAnsi="Arial" w:cs="Arial"/>
      <w:color w:val="000000"/>
      <w:sz w:val="19"/>
      <w:szCs w:val="19"/>
      <w:lang w:val="en-GB" w:eastAsia="en-GB"/>
    </w:rPr>
  </w:style>
  <w:style w:type="paragraph" w:customStyle="1" w:styleId="PulloutQuote">
    <w:name w:val="Pullout Quote"/>
    <w:uiPriority w:val="99"/>
    <w:rsid w:val="00095956"/>
    <w:pPr>
      <w:pBdr>
        <w:top w:val="single" w:sz="4" w:space="4" w:color="00A1DE"/>
      </w:pBdr>
      <w:suppressAutoHyphens/>
      <w:spacing w:after="0" w:line="320" w:lineRule="exact"/>
    </w:pPr>
    <w:rPr>
      <w:rFonts w:ascii="Arial" w:hAnsi="Arial" w:cs="Arial"/>
      <w:color w:val="00A1DE"/>
      <w:sz w:val="32"/>
      <w:szCs w:val="32"/>
      <w:lang w:val="en-GB" w:eastAsia="en-GB"/>
    </w:rPr>
  </w:style>
  <w:style w:type="paragraph" w:customStyle="1" w:styleId="Highlight1">
    <w:name w:val="Highlight 1"/>
    <w:basedOn w:val="Obsah1"/>
    <w:uiPriority w:val="99"/>
    <w:rsid w:val="001D663A"/>
    <w:pPr>
      <w:tabs>
        <w:tab w:val="left" w:pos="482"/>
        <w:tab w:val="right" w:leader="dot" w:pos="9061"/>
      </w:tabs>
      <w:spacing w:before="120" w:after="120"/>
    </w:pPr>
    <w:rPr>
      <w:b/>
      <w:bCs/>
      <w:color w:val="3C8A2E"/>
      <w:sz w:val="20"/>
      <w:szCs w:val="20"/>
    </w:rPr>
  </w:style>
  <w:style w:type="paragraph" w:customStyle="1" w:styleId="Highlight2">
    <w:name w:val="Highlight 2"/>
    <w:basedOn w:val="Normln"/>
    <w:uiPriority w:val="99"/>
    <w:rsid w:val="00D34C27"/>
    <w:rPr>
      <w:b/>
      <w:bCs/>
      <w:color w:val="92D400"/>
      <w:sz w:val="20"/>
      <w:szCs w:val="20"/>
    </w:rPr>
  </w:style>
  <w:style w:type="table" w:customStyle="1" w:styleId="Deloittetable1">
    <w:name w:val="Deloitte table 1"/>
    <w:uiPriority w:val="99"/>
    <w:rsid w:val="00A40230"/>
    <w:pPr>
      <w:spacing w:after="0" w:line="240" w:lineRule="auto"/>
    </w:pPr>
    <w:rPr>
      <w:rFonts w:ascii="Arial" w:hAnsi="Arial" w:cs="Arial"/>
      <w:sz w:val="19"/>
      <w:szCs w:val="19"/>
    </w:rPr>
    <w:tblPr>
      <w:tblBorders>
        <w:bottom w:val="single" w:sz="4" w:space="0" w:color="92D400"/>
        <w:insideH w:val="single" w:sz="4" w:space="0" w:color="92D400"/>
      </w:tblBorders>
      <w:tblCellMar>
        <w:top w:w="28" w:type="dxa"/>
        <w:left w:w="28" w:type="dxa"/>
        <w:bottom w:w="28" w:type="dxa"/>
        <w:right w:w="28" w:type="dxa"/>
      </w:tblCellMar>
    </w:tblPr>
    <w:tcPr>
      <w:shd w:val="clear" w:color="auto" w:fill="FFFFFF"/>
    </w:tcPr>
  </w:style>
  <w:style w:type="paragraph" w:styleId="Obsah4">
    <w:name w:val="toc 4"/>
    <w:basedOn w:val="Normln"/>
    <w:next w:val="Normln"/>
    <w:autoRedefine/>
    <w:uiPriority w:val="99"/>
    <w:semiHidden/>
    <w:rsid w:val="00CB0293"/>
    <w:pPr>
      <w:spacing w:after="240"/>
      <w:ind w:left="720"/>
    </w:pPr>
  </w:style>
  <w:style w:type="table" w:customStyle="1" w:styleId="Deloittetable2">
    <w:name w:val="Deloitte table 2"/>
    <w:uiPriority w:val="99"/>
    <w:rsid w:val="00A40230"/>
    <w:pPr>
      <w:spacing w:after="0" w:line="240" w:lineRule="auto"/>
    </w:pPr>
    <w:rPr>
      <w:rFonts w:ascii="Arial" w:hAnsi="Arial" w:cs="Arial"/>
      <w:sz w:val="19"/>
      <w:szCs w:val="19"/>
    </w:rPr>
    <w:tblPr>
      <w:tblBorders>
        <w:bottom w:val="single" w:sz="4" w:space="0" w:color="00A1DE"/>
        <w:insideH w:val="single" w:sz="4" w:space="0" w:color="00A1DE"/>
      </w:tblBorders>
      <w:tblCellMar>
        <w:top w:w="28" w:type="dxa"/>
        <w:left w:w="28" w:type="dxa"/>
        <w:bottom w:w="28" w:type="dxa"/>
        <w:right w:w="28" w:type="dxa"/>
      </w:tblCellMar>
    </w:tblPr>
    <w:tcPr>
      <w:shd w:val="clear" w:color="auto" w:fill="FFFFFF"/>
    </w:tcPr>
  </w:style>
  <w:style w:type="table" w:styleId="Tabulkasprostorovmiefekty1">
    <w:name w:val="Table 3D effects 1"/>
    <w:basedOn w:val="Normlntabulka"/>
    <w:uiPriority w:val="99"/>
    <w:rsid w:val="00CE00BE"/>
    <w:pPr>
      <w:spacing w:after="0" w:line="240" w:lineRule="auto"/>
    </w:pPr>
    <w:rPr>
      <w:rFonts w:ascii="Arial" w:hAnsi="Arial" w:cs="Arial"/>
      <w:sz w:val="20"/>
      <w:szCs w:val="20"/>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Deloittetable4">
    <w:name w:val="Deloitte table 4"/>
    <w:uiPriority w:val="99"/>
    <w:rsid w:val="00A40230"/>
    <w:pPr>
      <w:spacing w:after="0" w:line="240" w:lineRule="auto"/>
    </w:pPr>
    <w:rPr>
      <w:rFonts w:ascii="Arial" w:hAnsi="Arial" w:cs="Arial"/>
      <w:sz w:val="19"/>
      <w:szCs w:val="19"/>
    </w:rPr>
    <w:tblPr>
      <w:tblBorders>
        <w:bottom w:val="single" w:sz="4" w:space="0" w:color="3C8A2E"/>
        <w:insideH w:val="single" w:sz="4" w:space="0" w:color="3C8A2E"/>
      </w:tblBorders>
      <w:tblCellMar>
        <w:top w:w="28" w:type="dxa"/>
        <w:left w:w="28" w:type="dxa"/>
        <w:bottom w:w="28" w:type="dxa"/>
        <w:right w:w="28" w:type="dxa"/>
      </w:tblCellMar>
    </w:tblPr>
  </w:style>
  <w:style w:type="table" w:customStyle="1" w:styleId="Deloittetable5">
    <w:name w:val="Deloitte table 5"/>
    <w:uiPriority w:val="99"/>
    <w:rsid w:val="00A40230"/>
    <w:pPr>
      <w:spacing w:after="0" w:line="240" w:lineRule="auto"/>
    </w:pPr>
    <w:rPr>
      <w:rFonts w:ascii="Arial" w:hAnsi="Arial" w:cs="Arial"/>
      <w:sz w:val="19"/>
      <w:szCs w:val="19"/>
    </w:rPr>
    <w:tblPr>
      <w:tblBorders>
        <w:bottom w:val="single" w:sz="4" w:space="0" w:color="C9DD03"/>
        <w:insideH w:val="single" w:sz="4" w:space="0" w:color="C9DD03"/>
      </w:tblBorders>
      <w:tblCellMar>
        <w:top w:w="28" w:type="dxa"/>
        <w:left w:w="28" w:type="dxa"/>
        <w:bottom w:w="28" w:type="dxa"/>
        <w:right w:w="28" w:type="dxa"/>
      </w:tblCellMar>
    </w:tblPr>
    <w:tcPr>
      <w:shd w:val="clear" w:color="auto" w:fill="FFFFFF"/>
    </w:tcPr>
  </w:style>
  <w:style w:type="table" w:customStyle="1" w:styleId="Style1">
    <w:name w:val="Style1"/>
    <w:uiPriority w:val="99"/>
    <w:rsid w:val="00CE00BE"/>
    <w:pPr>
      <w:spacing w:after="0" w:line="240" w:lineRule="auto"/>
    </w:pPr>
    <w:rPr>
      <w:rFonts w:ascii="Arial" w:hAnsi="Arial" w:cs="Arial"/>
      <w:sz w:val="19"/>
      <w:szCs w:val="19"/>
    </w:rPr>
    <w:tblPr>
      <w:tblCellMar>
        <w:top w:w="0" w:type="dxa"/>
        <w:left w:w="108" w:type="dxa"/>
        <w:bottom w:w="0" w:type="dxa"/>
        <w:right w:w="108" w:type="dxa"/>
      </w:tblCellMar>
    </w:tblPr>
  </w:style>
  <w:style w:type="table" w:customStyle="1" w:styleId="Deloittetable6">
    <w:name w:val="Deloitte table 6"/>
    <w:uiPriority w:val="99"/>
    <w:rsid w:val="00A40230"/>
    <w:pPr>
      <w:spacing w:after="0" w:line="240" w:lineRule="auto"/>
    </w:pPr>
    <w:rPr>
      <w:rFonts w:ascii="Arial" w:hAnsi="Arial" w:cs="Arial"/>
      <w:sz w:val="19"/>
      <w:szCs w:val="19"/>
    </w:rPr>
    <w:tblPr>
      <w:tblBorders>
        <w:bottom w:val="single" w:sz="4" w:space="0" w:color="52D0FF"/>
        <w:insideH w:val="single" w:sz="4" w:space="0" w:color="52D0FF"/>
      </w:tblBorders>
      <w:tblCellMar>
        <w:top w:w="28" w:type="dxa"/>
        <w:left w:w="28" w:type="dxa"/>
        <w:bottom w:w="28" w:type="dxa"/>
        <w:right w:w="28" w:type="dxa"/>
      </w:tblCellMar>
    </w:tblPr>
    <w:tcPr>
      <w:shd w:val="clear" w:color="auto" w:fill="FFFFFF"/>
    </w:tcPr>
  </w:style>
  <w:style w:type="table" w:customStyle="1" w:styleId="Deloittetable7">
    <w:name w:val="Deloitte table 7"/>
    <w:uiPriority w:val="99"/>
    <w:rsid w:val="00A40230"/>
    <w:pPr>
      <w:spacing w:after="0" w:line="240" w:lineRule="auto"/>
    </w:pPr>
    <w:rPr>
      <w:rFonts w:ascii="Arial" w:hAnsi="Arial" w:cs="Arial"/>
      <w:sz w:val="19"/>
      <w:szCs w:val="19"/>
    </w:rPr>
    <w:tblPr>
      <w:tblBorders>
        <w:bottom w:val="single" w:sz="4" w:space="0" w:color="2D6823"/>
        <w:insideH w:val="single" w:sz="4" w:space="0" w:color="2D6823"/>
      </w:tblBorders>
      <w:tblCellMar>
        <w:top w:w="28" w:type="dxa"/>
        <w:left w:w="28" w:type="dxa"/>
        <w:bottom w:w="28" w:type="dxa"/>
        <w:right w:w="28" w:type="dxa"/>
      </w:tblCellMar>
    </w:tblPr>
    <w:tcPr>
      <w:shd w:val="clear" w:color="auto" w:fill="FFFFFF"/>
    </w:tcPr>
  </w:style>
  <w:style w:type="table" w:styleId="Tabulkasprostorovmiefekty3">
    <w:name w:val="Table 3D effects 3"/>
    <w:basedOn w:val="Normlntabulka"/>
    <w:uiPriority w:val="99"/>
    <w:rsid w:val="00CE00BE"/>
    <w:pPr>
      <w:spacing w:after="0" w:line="240" w:lineRule="auto"/>
    </w:pPr>
    <w:rPr>
      <w:rFonts w:ascii="Arial" w:hAnsi="Arial" w:cs="Arial"/>
      <w:sz w:val="20"/>
      <w:szCs w:val="20"/>
    </w:rPr>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Deloittetable8">
    <w:name w:val="Deloitte table 8"/>
    <w:uiPriority w:val="99"/>
    <w:rsid w:val="006F2C90"/>
    <w:pPr>
      <w:spacing w:after="0" w:line="240" w:lineRule="auto"/>
    </w:pPr>
    <w:rPr>
      <w:rFonts w:ascii="Arial" w:hAnsi="Arial" w:cs="Arial"/>
      <w:sz w:val="19"/>
      <w:szCs w:val="19"/>
    </w:rPr>
    <w:tblPr>
      <w:tblBorders>
        <w:top w:val="single" w:sz="4" w:space="0" w:color="2D6823"/>
        <w:bottom w:val="single" w:sz="4" w:space="0" w:color="2D6823"/>
        <w:insideH w:val="single" w:sz="4" w:space="0" w:color="2D6823"/>
      </w:tblBorders>
      <w:tblCellMar>
        <w:top w:w="28" w:type="dxa"/>
        <w:left w:w="28" w:type="dxa"/>
        <w:bottom w:w="28" w:type="dxa"/>
        <w:right w:w="28" w:type="dxa"/>
      </w:tblCellMar>
    </w:tblPr>
  </w:style>
  <w:style w:type="table" w:customStyle="1" w:styleId="Deloittetable81">
    <w:name w:val="Deloitte table 8.1"/>
    <w:uiPriority w:val="99"/>
    <w:rsid w:val="006F2C90"/>
    <w:pPr>
      <w:spacing w:after="0" w:line="240" w:lineRule="auto"/>
    </w:pPr>
    <w:rPr>
      <w:rFonts w:ascii="Arial" w:hAnsi="Arial" w:cs="Arial"/>
      <w:sz w:val="19"/>
      <w:szCs w:val="19"/>
    </w:rPr>
    <w:tblPr>
      <w:tblBorders>
        <w:top w:val="single" w:sz="4" w:space="0" w:color="92D400"/>
        <w:bottom w:val="single" w:sz="4" w:space="0" w:color="92D400"/>
        <w:insideH w:val="single" w:sz="4" w:space="0" w:color="92D400"/>
      </w:tblBorders>
      <w:tblCellMar>
        <w:top w:w="28" w:type="dxa"/>
        <w:left w:w="28" w:type="dxa"/>
        <w:bottom w:w="28" w:type="dxa"/>
        <w:right w:w="28" w:type="dxa"/>
      </w:tblCellMar>
    </w:tblPr>
    <w:tcPr>
      <w:shd w:val="clear" w:color="auto" w:fill="FFFFFF"/>
    </w:tcPr>
  </w:style>
  <w:style w:type="table" w:customStyle="1" w:styleId="Deloittetable82">
    <w:name w:val="Deloitte table 8.2"/>
    <w:uiPriority w:val="99"/>
    <w:rsid w:val="006F6C05"/>
    <w:pPr>
      <w:spacing w:after="0" w:line="240" w:lineRule="auto"/>
    </w:pPr>
    <w:rPr>
      <w:rFonts w:ascii="Arial" w:hAnsi="Arial" w:cs="Arial"/>
      <w:sz w:val="19"/>
      <w:szCs w:val="19"/>
    </w:rPr>
    <w:tblPr>
      <w:tblBorders>
        <w:top w:val="single" w:sz="4" w:space="0" w:color="00A1DE"/>
        <w:bottom w:val="single" w:sz="4" w:space="0" w:color="00A1DE"/>
        <w:insideH w:val="single" w:sz="4" w:space="0" w:color="00A1DE"/>
      </w:tblBorders>
      <w:tblCellMar>
        <w:top w:w="28" w:type="dxa"/>
        <w:left w:w="28" w:type="dxa"/>
        <w:bottom w:w="28" w:type="dxa"/>
        <w:right w:w="28" w:type="dxa"/>
      </w:tblCellMar>
    </w:tblPr>
    <w:tcPr>
      <w:shd w:val="clear" w:color="auto" w:fill="FFFFFF"/>
    </w:tcPr>
  </w:style>
  <w:style w:type="table" w:customStyle="1" w:styleId="Deloittetable83">
    <w:name w:val="Deloitte table 8.3"/>
    <w:uiPriority w:val="99"/>
    <w:rsid w:val="006F6C05"/>
    <w:pPr>
      <w:spacing w:after="0" w:line="240" w:lineRule="auto"/>
    </w:pPr>
    <w:rPr>
      <w:rFonts w:ascii="Arial" w:hAnsi="Arial" w:cs="Arial"/>
      <w:sz w:val="19"/>
      <w:szCs w:val="19"/>
    </w:rPr>
    <w:tblPr>
      <w:tblBorders>
        <w:top w:val="single" w:sz="4" w:space="0" w:color="72C7E7"/>
        <w:bottom w:val="single" w:sz="4" w:space="0" w:color="72C7E7"/>
        <w:insideH w:val="single" w:sz="4" w:space="0" w:color="72C7E7"/>
      </w:tblBorders>
      <w:tblCellMar>
        <w:top w:w="28" w:type="dxa"/>
        <w:left w:w="28" w:type="dxa"/>
        <w:bottom w:w="28" w:type="dxa"/>
        <w:right w:w="28" w:type="dxa"/>
      </w:tblCellMar>
    </w:tblPr>
    <w:tcPr>
      <w:shd w:val="clear" w:color="auto" w:fill="FFFFFF"/>
    </w:tcPr>
  </w:style>
  <w:style w:type="table" w:customStyle="1" w:styleId="Deloittetable84">
    <w:name w:val="Deloitte table 8.4"/>
    <w:uiPriority w:val="99"/>
    <w:rsid w:val="006F6C05"/>
    <w:pPr>
      <w:spacing w:after="0" w:line="240" w:lineRule="auto"/>
    </w:pPr>
    <w:rPr>
      <w:rFonts w:ascii="Arial" w:hAnsi="Arial" w:cs="Arial"/>
      <w:sz w:val="19"/>
      <w:szCs w:val="19"/>
    </w:rPr>
    <w:tblPr>
      <w:tblBorders>
        <w:top w:val="single" w:sz="4" w:space="0" w:color="3C8A2E"/>
        <w:bottom w:val="single" w:sz="4" w:space="0" w:color="3C8A2E"/>
        <w:insideH w:val="single" w:sz="4" w:space="0" w:color="3C8A2E"/>
      </w:tblBorders>
      <w:tblCellMar>
        <w:top w:w="28" w:type="dxa"/>
        <w:left w:w="28" w:type="dxa"/>
        <w:bottom w:w="28" w:type="dxa"/>
        <w:right w:w="28" w:type="dxa"/>
      </w:tblCellMar>
    </w:tblPr>
    <w:tcPr>
      <w:shd w:val="clear" w:color="auto" w:fill="FFFFFF"/>
    </w:tcPr>
  </w:style>
  <w:style w:type="table" w:customStyle="1" w:styleId="Deloittetable85">
    <w:name w:val="Deloitte table 8.5"/>
    <w:uiPriority w:val="99"/>
    <w:rsid w:val="006F6C05"/>
    <w:pPr>
      <w:spacing w:after="0" w:line="240" w:lineRule="auto"/>
    </w:pPr>
    <w:rPr>
      <w:rFonts w:ascii="Arial" w:hAnsi="Arial" w:cs="Arial"/>
      <w:sz w:val="19"/>
      <w:szCs w:val="19"/>
    </w:rPr>
    <w:tblPr>
      <w:tblBorders>
        <w:top w:val="single" w:sz="4" w:space="0" w:color="C9DD03"/>
        <w:bottom w:val="single" w:sz="4" w:space="0" w:color="C9DD03"/>
        <w:insideH w:val="single" w:sz="4" w:space="0" w:color="C9DD03"/>
      </w:tblBorders>
      <w:tblCellMar>
        <w:top w:w="28" w:type="dxa"/>
        <w:left w:w="28" w:type="dxa"/>
        <w:bottom w:w="28" w:type="dxa"/>
        <w:right w:w="28" w:type="dxa"/>
      </w:tblCellMar>
    </w:tblPr>
    <w:tcPr>
      <w:shd w:val="clear" w:color="auto" w:fill="FFFFFF"/>
    </w:tcPr>
  </w:style>
  <w:style w:type="table" w:customStyle="1" w:styleId="Deloittetable86">
    <w:name w:val="Deloitte table 8.6"/>
    <w:uiPriority w:val="99"/>
    <w:rsid w:val="006F6C05"/>
    <w:pPr>
      <w:spacing w:after="0" w:line="240" w:lineRule="auto"/>
    </w:pPr>
    <w:rPr>
      <w:rFonts w:ascii="Arial" w:hAnsi="Arial" w:cs="Arial"/>
      <w:sz w:val="19"/>
      <w:szCs w:val="19"/>
    </w:rPr>
    <w:tblPr>
      <w:tblBorders>
        <w:top w:val="single" w:sz="4" w:space="0" w:color="00A1DE"/>
        <w:bottom w:val="single" w:sz="4" w:space="0" w:color="00A1DE"/>
        <w:insideH w:val="single" w:sz="4" w:space="0" w:color="00A1DE"/>
      </w:tblBorders>
      <w:tblCellMar>
        <w:top w:w="28" w:type="dxa"/>
        <w:left w:w="28" w:type="dxa"/>
        <w:bottom w:w="28" w:type="dxa"/>
        <w:right w:w="28" w:type="dxa"/>
      </w:tblCellMar>
    </w:tblPr>
    <w:tcPr>
      <w:shd w:val="clear" w:color="auto" w:fill="FFFFFF"/>
    </w:tcPr>
  </w:style>
  <w:style w:type="table" w:styleId="Sloupcetabulky3">
    <w:name w:val="Table Columns 3"/>
    <w:basedOn w:val="Normlntabulka"/>
    <w:uiPriority w:val="99"/>
    <w:rsid w:val="00FE07E4"/>
    <w:pPr>
      <w:spacing w:after="0" w:line="240" w:lineRule="auto"/>
    </w:pPr>
    <w:rPr>
      <w:rFonts w:ascii="Arial" w:hAnsi="Arial" w:cs="Arial"/>
      <w:b/>
      <w:bCs/>
      <w:sz w:val="20"/>
      <w:szCs w:val="20"/>
    </w:rPr>
    <w:tblPr>
      <w:tblStyleColBandSize w:val="1"/>
      <w:tblInd w:w="0" w:type="nil"/>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Barevnseznamzvraznn4">
    <w:name w:val="Colorful List Accent 4"/>
    <w:basedOn w:val="Normlntabulka"/>
    <w:uiPriority w:val="99"/>
    <w:rsid w:val="00FE07E4"/>
    <w:pPr>
      <w:spacing w:after="0" w:line="240" w:lineRule="auto"/>
    </w:pPr>
    <w:rPr>
      <w:rFonts w:ascii="Arial" w:hAnsi="Arial" w:cs="Arial"/>
      <w:color w:val="000000"/>
      <w:sz w:val="20"/>
      <w:szCs w:val="20"/>
    </w:rPr>
    <w:tblPr>
      <w:tblStyleRowBandSize w:val="1"/>
      <w:tblStyleColBandSize w:val="1"/>
      <w:tblInd w:w="0" w:type="nil"/>
    </w:tblPr>
    <w:tcPr>
      <w:shd w:val="clear" w:color="auto" w:fill="F1F9FC"/>
    </w:tcPr>
    <w:tblStylePr w:type="firstRow">
      <w:rPr>
        <w:b/>
        <w:bCs/>
        <w:color w:val="FFFFFF"/>
      </w:rPr>
      <w:tblPr/>
      <w:tcPr>
        <w:tcBorders>
          <w:bottom w:val="single" w:sz="12" w:space="0" w:color="FFFFFF"/>
        </w:tcBorders>
        <w:shd w:val="clear" w:color="auto" w:fill="007FB1"/>
      </w:tcPr>
    </w:tblStylePr>
    <w:tblStylePr w:type="lastRow">
      <w:rPr>
        <w:b/>
        <w:bCs/>
        <w:color w:val="007FB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F1F9"/>
      </w:tcPr>
    </w:tblStylePr>
    <w:tblStylePr w:type="band1Horz">
      <w:tblPr/>
      <w:tcPr>
        <w:shd w:val="clear" w:color="auto" w:fill="E2F3FA"/>
      </w:tcPr>
    </w:tblStylePr>
  </w:style>
  <w:style w:type="table" w:styleId="Stednmka2zvraznn4">
    <w:name w:val="Medium Grid 2 Accent 4"/>
    <w:basedOn w:val="Normlntabulka"/>
    <w:uiPriority w:val="99"/>
    <w:rsid w:val="00FE07E4"/>
    <w:pPr>
      <w:spacing w:after="0" w:line="240" w:lineRule="auto"/>
    </w:pPr>
    <w:rPr>
      <w:rFonts w:ascii="Arial" w:hAnsi="Arial" w:cs="Arial"/>
      <w:color w:val="000000"/>
      <w:sz w:val="20"/>
      <w:szCs w:val="20"/>
    </w:rPr>
    <w:tblPr>
      <w:tblStyleRowBandSize w:val="1"/>
      <w:tblStyleColBandSize w:val="1"/>
      <w:tblInd w:w="0" w:type="nil"/>
      <w:tblBorders>
        <w:top w:val="single" w:sz="8" w:space="0" w:color="72C7E7"/>
        <w:left w:val="single" w:sz="8" w:space="0" w:color="72C7E7"/>
        <w:bottom w:val="single" w:sz="8" w:space="0" w:color="72C7E7"/>
        <w:right w:val="single" w:sz="8" w:space="0" w:color="72C7E7"/>
        <w:insideH w:val="single" w:sz="8" w:space="0" w:color="72C7E7"/>
        <w:insideV w:val="single" w:sz="8" w:space="0" w:color="72C7E7"/>
      </w:tblBorders>
    </w:tblPr>
    <w:tcPr>
      <w:shd w:val="clear" w:color="auto" w:fill="DBF1F9"/>
    </w:tcPr>
    <w:tblStylePr w:type="firstRow">
      <w:rPr>
        <w:b/>
        <w:bCs/>
        <w:color w:val="000000"/>
      </w:rPr>
      <w:tblPr/>
      <w:tcPr>
        <w:shd w:val="clear" w:color="auto" w:fill="F1F9F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F3FA"/>
      </w:tcPr>
    </w:tblStylePr>
    <w:tblStylePr w:type="band1Vert">
      <w:tblPr/>
      <w:tcPr>
        <w:shd w:val="clear" w:color="auto" w:fill="B8E2F3"/>
      </w:tcPr>
    </w:tblStylePr>
    <w:tblStylePr w:type="band1Horz">
      <w:tblPr/>
      <w:tcPr>
        <w:tcBorders>
          <w:insideH w:val="single" w:sz="6" w:space="0" w:color="72C7E7"/>
          <w:insideV w:val="single" w:sz="6" w:space="0" w:color="72C7E7"/>
        </w:tcBorders>
        <w:shd w:val="clear" w:color="auto" w:fill="B8E2F3"/>
      </w:tcPr>
    </w:tblStylePr>
    <w:tblStylePr w:type="nwCell">
      <w:tblPr/>
      <w:tcPr>
        <w:shd w:val="clear" w:color="auto" w:fill="FFFFFF"/>
      </w:tcPr>
    </w:tblStylePr>
  </w:style>
  <w:style w:type="character" w:customStyle="1" w:styleId="Nadpis6Char">
    <w:name w:val="Nadpis 6 Char"/>
    <w:aliases w:val="ASAPHeading 6 Char,Heading 6  Appendix Y &amp; Z Char,Heading 6  Appendix Y &amp; Z1 Char,Heading 6  Appendix Y &amp; Z2 Char,Heading 6  Appendix Y &amp; Z11 Char,MUS6 Char,H6 Char,ASAPHeading 61 Char,ASAPHeading 62 Char,ASAPHeading 63 Char,h6 Char,l Char"/>
    <w:link w:val="Nadpis6"/>
    <w:uiPriority w:val="99"/>
    <w:locked/>
    <w:rsid w:val="0008794A"/>
    <w:rPr>
      <w:rFonts w:ascii="Arial" w:hAnsi="Arial" w:cs="Arial"/>
      <w:i/>
      <w:iCs/>
      <w:color w:val="00133A"/>
      <w:sz w:val="24"/>
      <w:szCs w:val="24"/>
      <w:lang w:val="en-GB" w:eastAsia="en-GB"/>
    </w:rPr>
  </w:style>
  <w:style w:type="paragraph" w:styleId="Textpoznpodarou">
    <w:name w:val="footnote text"/>
    <w:aliases w:val="Char1,Schriftart: 9 pt,Schriftart: 10 pt,Schriftart: 8 pt,Text poznámky pod čiarou 007,Footnote,Fußnotentextf,Geneva 9,Font: Geneva 9,Boston 10,f,pozn. pod čarou,Text pozn. pod čarou1,Char Char Char1,Footnote Text Char1,o,fn"/>
    <w:basedOn w:val="Normln"/>
    <w:link w:val="TextpoznpodarouChar"/>
    <w:uiPriority w:val="99"/>
    <w:semiHidden/>
    <w:rsid w:val="00E421C0"/>
    <w:rPr>
      <w:sz w:val="16"/>
      <w:szCs w:val="16"/>
    </w:rPr>
  </w:style>
  <w:style w:type="character" w:customStyle="1" w:styleId="TextpoznpodarouChar">
    <w:name w:val="Text pozn. pod čarou Char"/>
    <w:aliases w:val="Char1 Char,Schriftart: 9 pt Char,Schriftart: 10 pt Char,Schriftart: 8 pt Char,Text poznámky pod čiarou 007 Char,Footnote Char,Fußnotentextf Char,Geneva 9 Char,Font: Geneva 9 Char,Boston 10 Char,f Char,pozn. pod čarou Char"/>
    <w:basedOn w:val="Standardnpsmoodstavce"/>
    <w:link w:val="Textpoznpodarou"/>
    <w:uiPriority w:val="99"/>
    <w:locked/>
    <w:rsid w:val="00E421C0"/>
    <w:rPr>
      <w:rFonts w:ascii="Arial" w:hAnsi="Arial" w:cs="Arial"/>
      <w:sz w:val="16"/>
      <w:szCs w:val="16"/>
    </w:rPr>
  </w:style>
  <w:style w:type="paragraph" w:customStyle="1" w:styleId="Highlight3">
    <w:name w:val="Highlight 3"/>
    <w:basedOn w:val="Highlight2"/>
    <w:uiPriority w:val="99"/>
    <w:rsid w:val="00D34C27"/>
    <w:rPr>
      <w:color w:val="00A1DE"/>
    </w:rPr>
  </w:style>
  <w:style w:type="paragraph" w:customStyle="1" w:styleId="Style10ptDarkBlueBefore5ptAfter5pt">
    <w:name w:val="Style 10 pt Dark Blue Before:  5 pt After:  5 pt"/>
    <w:basedOn w:val="Normln"/>
    <w:uiPriority w:val="99"/>
    <w:rsid w:val="00C735E2"/>
    <w:rPr>
      <w:color w:val="000080"/>
      <w:sz w:val="20"/>
      <w:szCs w:val="20"/>
    </w:rPr>
  </w:style>
  <w:style w:type="paragraph" w:styleId="Odstavecseseznamem">
    <w:name w:val="List Paragraph"/>
    <w:aliases w:val="Odstavec cíl se seznamem,Odstavec se seznamem1,Nad,Odstavec se seznamem5"/>
    <w:basedOn w:val="Normln"/>
    <w:link w:val="OdstavecseseznamemChar"/>
    <w:uiPriority w:val="99"/>
    <w:qFormat/>
    <w:rsid w:val="003A7264"/>
    <w:pPr>
      <w:ind w:left="720"/>
    </w:pPr>
  </w:style>
  <w:style w:type="character" w:styleId="Odkaznakoment">
    <w:name w:val="annotation reference"/>
    <w:basedOn w:val="Standardnpsmoodstavce"/>
    <w:uiPriority w:val="99"/>
    <w:semiHidden/>
    <w:rsid w:val="005C5D09"/>
    <w:rPr>
      <w:sz w:val="16"/>
      <w:szCs w:val="16"/>
    </w:rPr>
  </w:style>
  <w:style w:type="paragraph" w:styleId="Textkomente">
    <w:name w:val="annotation text"/>
    <w:basedOn w:val="Normln"/>
    <w:link w:val="TextkomenteChar"/>
    <w:uiPriority w:val="99"/>
    <w:semiHidden/>
    <w:rsid w:val="005C5D09"/>
    <w:rPr>
      <w:sz w:val="20"/>
      <w:szCs w:val="20"/>
    </w:rPr>
  </w:style>
  <w:style w:type="character" w:customStyle="1" w:styleId="TextkomenteChar">
    <w:name w:val="Text komentáře Char"/>
    <w:basedOn w:val="Standardnpsmoodstavce"/>
    <w:link w:val="Textkomente"/>
    <w:uiPriority w:val="99"/>
    <w:locked/>
    <w:rsid w:val="005C5D09"/>
    <w:rPr>
      <w:rFonts w:ascii="Arial" w:hAnsi="Arial" w:cs="Arial"/>
      <w:lang w:val="en-GB" w:eastAsia="x-none"/>
    </w:rPr>
  </w:style>
  <w:style w:type="paragraph" w:styleId="Pedmtkomente">
    <w:name w:val="annotation subject"/>
    <w:basedOn w:val="Textkomente"/>
    <w:next w:val="Textkomente"/>
    <w:link w:val="PedmtkomenteChar"/>
    <w:uiPriority w:val="99"/>
    <w:semiHidden/>
    <w:rsid w:val="005C5D09"/>
    <w:rPr>
      <w:b/>
      <w:bCs/>
    </w:rPr>
  </w:style>
  <w:style w:type="character" w:customStyle="1" w:styleId="PedmtkomenteChar">
    <w:name w:val="Předmět komentáře Char"/>
    <w:basedOn w:val="TextkomenteChar"/>
    <w:link w:val="Pedmtkomente"/>
    <w:uiPriority w:val="99"/>
    <w:locked/>
    <w:rsid w:val="005C5D09"/>
    <w:rPr>
      <w:rFonts w:ascii="Arial" w:hAnsi="Arial" w:cs="Arial"/>
      <w:b/>
      <w:bCs/>
      <w:lang w:val="en-GB" w:eastAsia="x-none"/>
    </w:rPr>
  </w:style>
  <w:style w:type="paragraph" w:styleId="Revize">
    <w:name w:val="Revision"/>
    <w:hidden/>
    <w:uiPriority w:val="99"/>
    <w:semiHidden/>
    <w:rsid w:val="00237A98"/>
    <w:pPr>
      <w:spacing w:after="0" w:line="240" w:lineRule="auto"/>
    </w:pPr>
    <w:rPr>
      <w:rFonts w:ascii="Arial" w:hAnsi="Arial" w:cs="Arial"/>
      <w:sz w:val="19"/>
      <w:szCs w:val="19"/>
      <w:lang w:val="en-GB" w:eastAsia="en-GB"/>
    </w:rPr>
  </w:style>
  <w:style w:type="paragraph" w:customStyle="1" w:styleId="normalnsodrkami">
    <w:name w:val="normalní s odrážkami"/>
    <w:basedOn w:val="Normln"/>
    <w:uiPriority w:val="99"/>
    <w:rsid w:val="00D31571"/>
    <w:pPr>
      <w:numPr>
        <w:numId w:val="5"/>
      </w:numPr>
    </w:pPr>
    <w:rPr>
      <w:sz w:val="20"/>
      <w:szCs w:val="20"/>
    </w:rPr>
  </w:style>
  <w:style w:type="character" w:customStyle="1" w:styleId="BodytextChar">
    <w:name w:val="Body text Char"/>
    <w:link w:val="BodyText1"/>
    <w:uiPriority w:val="99"/>
    <w:locked/>
    <w:rsid w:val="000979ED"/>
    <w:rPr>
      <w:rFonts w:ascii="Arial" w:hAnsi="Arial" w:cs="Arial"/>
      <w:color w:val="000000"/>
      <w:sz w:val="48"/>
      <w:szCs w:val="48"/>
      <w:lang w:val="en-GB" w:eastAsia="x-none"/>
    </w:rPr>
  </w:style>
  <w:style w:type="character" w:customStyle="1" w:styleId="OdstavecseseznamemChar">
    <w:name w:val="Odstavec se seznamem Char"/>
    <w:aliases w:val="Odstavec cíl se seznamem Char,Odstavec se seznamem1 Char,Nad Char,Odstavec se seznamem5 Char"/>
    <w:link w:val="Odstavecseseznamem"/>
    <w:uiPriority w:val="99"/>
    <w:locked/>
    <w:rsid w:val="003A7264"/>
    <w:rPr>
      <w:rFonts w:ascii="Arial" w:hAnsi="Arial" w:cs="Arial"/>
      <w:sz w:val="24"/>
      <w:szCs w:val="24"/>
      <w:lang w:val="en-GB" w:eastAsia="x-none"/>
    </w:rPr>
  </w:style>
  <w:style w:type="paragraph" w:customStyle="1" w:styleId="Textodstavce">
    <w:name w:val="Text odstavce"/>
    <w:basedOn w:val="Normln"/>
    <w:uiPriority w:val="99"/>
    <w:rsid w:val="00BF18BE"/>
    <w:pPr>
      <w:numPr>
        <w:ilvl w:val="6"/>
        <w:numId w:val="6"/>
      </w:numPr>
      <w:tabs>
        <w:tab w:val="left" w:pos="851"/>
      </w:tabs>
      <w:spacing w:before="120"/>
      <w:outlineLvl w:val="6"/>
    </w:pPr>
    <w:rPr>
      <w:sz w:val="24"/>
      <w:szCs w:val="24"/>
    </w:rPr>
  </w:style>
  <w:style w:type="paragraph" w:customStyle="1" w:styleId="Textbodu">
    <w:name w:val="Text bodu"/>
    <w:basedOn w:val="Normln"/>
    <w:uiPriority w:val="99"/>
    <w:rsid w:val="00BF18BE"/>
    <w:pPr>
      <w:numPr>
        <w:ilvl w:val="8"/>
        <w:numId w:val="6"/>
      </w:numPr>
      <w:outlineLvl w:val="8"/>
    </w:pPr>
    <w:rPr>
      <w:sz w:val="24"/>
      <w:szCs w:val="24"/>
    </w:rPr>
  </w:style>
  <w:style w:type="paragraph" w:customStyle="1" w:styleId="Textpsmene">
    <w:name w:val="Text písmene"/>
    <w:basedOn w:val="Normln"/>
    <w:uiPriority w:val="99"/>
    <w:rsid w:val="00BF18BE"/>
    <w:pPr>
      <w:numPr>
        <w:ilvl w:val="7"/>
        <w:numId w:val="6"/>
      </w:numPr>
      <w:outlineLvl w:val="7"/>
    </w:pPr>
    <w:rPr>
      <w:sz w:val="24"/>
      <w:szCs w:val="24"/>
    </w:rPr>
  </w:style>
  <w:style w:type="paragraph" w:styleId="Normlnweb">
    <w:name w:val="Normal (Web)"/>
    <w:basedOn w:val="Normln"/>
    <w:uiPriority w:val="99"/>
    <w:rsid w:val="009A27F7"/>
    <w:pPr>
      <w:spacing w:before="100" w:beforeAutospacing="1" w:after="100" w:afterAutospacing="1"/>
    </w:pPr>
    <w:rPr>
      <w:rFonts w:ascii="Arial Unicode MS" w:eastAsia="Arial Unicode MS" w:hAnsi="Arial Unicode MS" w:cs="Arial Unicode MS"/>
      <w:sz w:val="24"/>
      <w:szCs w:val="24"/>
    </w:rPr>
  </w:style>
  <w:style w:type="paragraph" w:styleId="Titulek">
    <w:name w:val="caption"/>
    <w:basedOn w:val="Normln"/>
    <w:next w:val="Normln"/>
    <w:link w:val="TitulekChar"/>
    <w:uiPriority w:val="99"/>
    <w:qFormat/>
    <w:rsid w:val="00DE2A6D"/>
    <w:pPr>
      <w:spacing w:after="100" w:afterAutospacing="1"/>
    </w:pPr>
    <w:rPr>
      <w:b/>
      <w:bCs/>
      <w:color w:val="002776"/>
      <w:sz w:val="20"/>
      <w:szCs w:val="20"/>
    </w:rPr>
  </w:style>
  <w:style w:type="character" w:customStyle="1" w:styleId="TitulekChar">
    <w:name w:val="Titulek Char"/>
    <w:link w:val="Titulek"/>
    <w:uiPriority w:val="99"/>
    <w:locked/>
    <w:rsid w:val="00DE2A6D"/>
    <w:rPr>
      <w:b/>
      <w:bCs/>
      <w:color w:val="002776"/>
      <w:lang w:val="en-GB" w:eastAsia="x-none"/>
    </w:rPr>
  </w:style>
  <w:style w:type="character" w:customStyle="1" w:styleId="st">
    <w:name w:val="st"/>
    <w:basedOn w:val="Standardnpsmoodstavce"/>
    <w:uiPriority w:val="99"/>
    <w:rsid w:val="00D913FA"/>
  </w:style>
  <w:style w:type="paragraph" w:customStyle="1" w:styleId="Deloittebodytext">
    <w:name w:val="Deloitte body text"/>
    <w:link w:val="DeloittebodytextChar"/>
    <w:uiPriority w:val="99"/>
    <w:rsid w:val="00CF46D9"/>
    <w:pPr>
      <w:spacing w:after="0" w:line="240" w:lineRule="auto"/>
    </w:pPr>
    <w:rPr>
      <w:rFonts w:ascii="Arial" w:hAnsi="Arial" w:cs="Arial"/>
      <w:color w:val="000000"/>
      <w:sz w:val="19"/>
      <w:szCs w:val="19"/>
      <w:lang w:val="en-GB" w:eastAsia="en-GB"/>
    </w:rPr>
  </w:style>
  <w:style w:type="character" w:customStyle="1" w:styleId="DeloittebodytextChar">
    <w:name w:val="Deloitte body text Char"/>
    <w:link w:val="Deloittebodytext"/>
    <w:uiPriority w:val="99"/>
    <w:locked/>
    <w:rsid w:val="00CF46D9"/>
    <w:rPr>
      <w:rFonts w:ascii="Arial" w:hAnsi="Arial" w:cs="Arial"/>
      <w:color w:val="000000"/>
      <w:sz w:val="48"/>
      <w:szCs w:val="48"/>
      <w:lang w:val="en-GB" w:eastAsia="x-none"/>
    </w:rPr>
  </w:style>
  <w:style w:type="paragraph" w:customStyle="1" w:styleId="BodyText3">
    <w:name w:val="Body Text3"/>
    <w:uiPriority w:val="99"/>
    <w:rsid w:val="00412A8D"/>
    <w:pPr>
      <w:spacing w:after="0" w:line="240" w:lineRule="auto"/>
    </w:pPr>
    <w:rPr>
      <w:rFonts w:ascii="Arial" w:hAnsi="Arial" w:cs="Arial"/>
      <w:color w:val="000000"/>
      <w:sz w:val="19"/>
      <w:szCs w:val="19"/>
      <w:lang w:val="en-GB" w:eastAsia="en-GB"/>
    </w:rPr>
  </w:style>
  <w:style w:type="character" w:customStyle="1" w:styleId="Nadpis3Char">
    <w:name w:val="Nadpis 3 Char"/>
    <w:aliases w:val="h3 Char,- 1) Char,2) Char,3) Char,- 1. Char,2. Char,3. Char,H3 Char,Heading Char,List 1 Char,Nadpis_3_úroveň Char,Záhlaví 3 Char,V_Head3 Char,V_Head31 Char,V_Head32 Char,Podkapitola2 Char,ASAPHeading 3 Char,Sub Paragraph Char,TRM 12 3 Char"/>
    <w:link w:val="Nadpis3"/>
    <w:uiPriority w:val="99"/>
    <w:locked/>
    <w:rsid w:val="003E1852"/>
    <w:rPr>
      <w:rFonts w:ascii="Arial" w:hAnsi="Arial" w:cs="Arial"/>
      <w:b/>
      <w:bCs/>
      <w:color w:val="3C8A2E"/>
      <w:kern w:val="32"/>
      <w:sz w:val="24"/>
      <w:szCs w:val="24"/>
      <w:lang w:val="en-GB" w:eastAsia="en-GB"/>
    </w:rPr>
  </w:style>
  <w:style w:type="paragraph" w:styleId="Zkladntext">
    <w:name w:val="Body Text"/>
    <w:basedOn w:val="Normln"/>
    <w:link w:val="ZkladntextChar"/>
    <w:uiPriority w:val="99"/>
    <w:rsid w:val="00283E62"/>
    <w:pPr>
      <w:widowControl w:val="0"/>
      <w:ind w:left="140"/>
      <w:jc w:val="left"/>
    </w:pPr>
  </w:style>
  <w:style w:type="character" w:customStyle="1" w:styleId="ZkladntextChar">
    <w:name w:val="Základní text Char"/>
    <w:basedOn w:val="Standardnpsmoodstavce"/>
    <w:link w:val="Zkladntext"/>
    <w:uiPriority w:val="99"/>
    <w:locked/>
    <w:rsid w:val="00283E62"/>
    <w:rPr>
      <w:rFonts w:ascii="Arial" w:hAnsi="Arial" w:cs="Arial"/>
      <w:sz w:val="19"/>
      <w:szCs w:val="19"/>
    </w:rPr>
  </w:style>
  <w:style w:type="paragraph" w:customStyle="1" w:styleId="TableParagraph">
    <w:name w:val="Table Paragraph"/>
    <w:basedOn w:val="Normln"/>
    <w:uiPriority w:val="99"/>
    <w:rsid w:val="00283E62"/>
    <w:pPr>
      <w:widowControl w:val="0"/>
      <w:jc w:val="left"/>
    </w:pPr>
    <w:rPr>
      <w:sz w:val="22"/>
      <w:szCs w:val="22"/>
    </w:rPr>
  </w:style>
  <w:style w:type="paragraph" w:styleId="Nzev">
    <w:name w:val="Title"/>
    <w:basedOn w:val="Normln"/>
    <w:next w:val="Normln"/>
    <w:link w:val="NzevChar"/>
    <w:uiPriority w:val="99"/>
    <w:qFormat/>
    <w:rsid w:val="00283E62"/>
    <w:pPr>
      <w:widowControl w:val="0"/>
      <w:pBdr>
        <w:bottom w:val="single" w:sz="8" w:space="4" w:color="002776"/>
      </w:pBdr>
      <w:spacing w:after="300"/>
      <w:jc w:val="left"/>
    </w:pPr>
    <w:rPr>
      <w:color w:val="001D58"/>
      <w:spacing w:val="5"/>
      <w:kern w:val="28"/>
      <w:sz w:val="52"/>
      <w:szCs w:val="52"/>
    </w:rPr>
  </w:style>
  <w:style w:type="character" w:customStyle="1" w:styleId="NzevChar">
    <w:name w:val="Název Char"/>
    <w:basedOn w:val="Standardnpsmoodstavce"/>
    <w:link w:val="Nzev"/>
    <w:uiPriority w:val="99"/>
    <w:locked/>
    <w:rsid w:val="00283E62"/>
    <w:rPr>
      <w:rFonts w:ascii="Arial" w:hAnsi="Arial" w:cs="Arial"/>
      <w:color w:val="001D58"/>
      <w:spacing w:val="5"/>
      <w:kern w:val="28"/>
      <w:sz w:val="52"/>
      <w:szCs w:val="52"/>
    </w:rPr>
  </w:style>
  <w:style w:type="character" w:styleId="Zvraznn">
    <w:name w:val="Emphasis"/>
    <w:basedOn w:val="Standardnpsmoodstavce"/>
    <w:uiPriority w:val="99"/>
    <w:qFormat/>
    <w:rsid w:val="009C5D77"/>
    <w:rPr>
      <w:b/>
      <w:bCs/>
    </w:rPr>
  </w:style>
  <w:style w:type="paragraph" w:customStyle="1" w:styleId="Default">
    <w:name w:val="Default"/>
    <w:uiPriority w:val="99"/>
    <w:rsid w:val="00D664DC"/>
    <w:pPr>
      <w:autoSpaceDE w:val="0"/>
      <w:autoSpaceDN w:val="0"/>
      <w:adjustRightInd w:val="0"/>
      <w:spacing w:after="0" w:line="240" w:lineRule="auto"/>
    </w:pPr>
    <w:rPr>
      <w:rFonts w:ascii="Georgia" w:hAnsi="Georgia" w:cs="Georgia"/>
      <w:color w:val="000000"/>
      <w:sz w:val="24"/>
      <w:szCs w:val="24"/>
      <w:lang w:val="en-GB" w:eastAsia="en-GB"/>
    </w:rPr>
  </w:style>
  <w:style w:type="paragraph" w:styleId="Nadpisobsahu">
    <w:name w:val="TOC Heading"/>
    <w:basedOn w:val="Nadpis1"/>
    <w:next w:val="Normln"/>
    <w:uiPriority w:val="99"/>
    <w:qFormat/>
    <w:rsid w:val="00363543"/>
    <w:pPr>
      <w:keepLines/>
      <w:pageBreakBefore w:val="0"/>
      <w:numPr>
        <w:numId w:val="0"/>
      </w:numPr>
      <w:spacing w:before="480" w:after="0" w:line="276" w:lineRule="auto"/>
      <w:outlineLvl w:val="9"/>
    </w:pPr>
    <w:rPr>
      <w:rFonts w:ascii="Arial" w:hAnsi="Arial" w:cs="Arial"/>
      <w:b/>
      <w:bCs/>
      <w:color w:val="001D58"/>
      <w:kern w:val="0"/>
      <w:sz w:val="28"/>
      <w:szCs w:val="28"/>
    </w:rPr>
  </w:style>
  <w:style w:type="character" w:customStyle="1" w:styleId="hps">
    <w:name w:val="hps"/>
    <w:basedOn w:val="Standardnpsmoodstavce"/>
    <w:uiPriority w:val="99"/>
    <w:rsid w:val="0063536F"/>
  </w:style>
  <w:style w:type="character" w:styleId="Siln">
    <w:name w:val="Strong"/>
    <w:basedOn w:val="Standardnpsmoodstavce"/>
    <w:uiPriority w:val="99"/>
    <w:qFormat/>
    <w:rsid w:val="00C379C3"/>
    <w:rPr>
      <w:b/>
      <w:bCs/>
    </w:rPr>
  </w:style>
  <w:style w:type="paragraph" w:customStyle="1" w:styleId="Pa3">
    <w:name w:val="Pa3"/>
    <w:basedOn w:val="Default"/>
    <w:next w:val="Default"/>
    <w:uiPriority w:val="99"/>
    <w:rsid w:val="00AF2D35"/>
    <w:pPr>
      <w:spacing w:line="171" w:lineRule="atLeast"/>
    </w:pPr>
    <w:rPr>
      <w:rFonts w:ascii="Humnst777 Lt AT" w:hAnsi="Humnst777 Lt AT" w:cs="Humnst777 Lt AT"/>
      <w:color w:val="auto"/>
    </w:rPr>
  </w:style>
  <w:style w:type="paragraph" w:customStyle="1" w:styleId="Pa2">
    <w:name w:val="Pa2"/>
    <w:basedOn w:val="Default"/>
    <w:next w:val="Default"/>
    <w:uiPriority w:val="99"/>
    <w:rsid w:val="00AF2D35"/>
    <w:pPr>
      <w:spacing w:line="171" w:lineRule="atLeast"/>
    </w:pPr>
    <w:rPr>
      <w:rFonts w:ascii="Humnst777 Lt AT" w:hAnsi="Humnst777 Lt AT" w:cs="Humnst777 Lt AT"/>
      <w:color w:val="auto"/>
    </w:rPr>
  </w:style>
  <w:style w:type="character" w:customStyle="1" w:styleId="A5">
    <w:name w:val="A5"/>
    <w:uiPriority w:val="99"/>
    <w:rsid w:val="00AF2D35"/>
    <w:rPr>
      <w:color w:val="000000"/>
      <w:sz w:val="30"/>
      <w:szCs w:val="30"/>
    </w:rPr>
  </w:style>
  <w:style w:type="paragraph" w:customStyle="1" w:styleId="CM1">
    <w:name w:val="CM1"/>
    <w:basedOn w:val="Default"/>
    <w:next w:val="Default"/>
    <w:uiPriority w:val="99"/>
    <w:rsid w:val="00AF2D35"/>
    <w:rPr>
      <w:rFonts w:ascii="EUAlbertina" w:hAnsi="EUAlbertina" w:cs="EUAlbertina"/>
      <w:color w:val="auto"/>
    </w:rPr>
  </w:style>
  <w:style w:type="paragraph" w:customStyle="1" w:styleId="CM3">
    <w:name w:val="CM3"/>
    <w:basedOn w:val="Default"/>
    <w:next w:val="Default"/>
    <w:uiPriority w:val="99"/>
    <w:rsid w:val="00AF2D35"/>
    <w:rPr>
      <w:rFonts w:ascii="EUAlbertina" w:hAnsi="EUAlbertina" w:cs="EUAlbertina"/>
      <w:color w:val="auto"/>
    </w:rPr>
  </w:style>
  <w:style w:type="paragraph" w:customStyle="1" w:styleId="CM4">
    <w:name w:val="CM4"/>
    <w:basedOn w:val="Default"/>
    <w:next w:val="Default"/>
    <w:uiPriority w:val="99"/>
    <w:rsid w:val="00AF2D35"/>
    <w:rPr>
      <w:rFonts w:ascii="EUAlbertina" w:hAnsi="EUAlbertina" w:cs="EUAlbertina"/>
      <w:color w:val="auto"/>
    </w:rPr>
  </w:style>
  <w:style w:type="table" w:customStyle="1" w:styleId="TableGridLight1">
    <w:name w:val="Table Grid Light1"/>
    <w:uiPriority w:val="99"/>
    <w:rsid w:val="00E35B06"/>
    <w:pPr>
      <w:spacing w:after="0" w:line="240" w:lineRule="auto"/>
    </w:pPr>
    <w:rPr>
      <w:rFonts w:ascii="Arial" w:hAnsi="Arial" w:cs="Arial"/>
      <w:sz w:val="20"/>
      <w:szCs w:val="20"/>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character" w:customStyle="1" w:styleId="apple-converted-space">
    <w:name w:val="apple-converted-space"/>
    <w:basedOn w:val="Standardnpsmoodstavce"/>
    <w:uiPriority w:val="99"/>
    <w:rsid w:val="00933C2B"/>
  </w:style>
  <w:style w:type="paragraph" w:customStyle="1" w:styleId="Barevnoddlova">
    <w:name w:val="Barevný oddělovač"/>
    <w:basedOn w:val="Zkladntext"/>
    <w:link w:val="BarevnoddlovaChar"/>
    <w:uiPriority w:val="99"/>
    <w:rsid w:val="00C32283"/>
    <w:pPr>
      <w:keepNext/>
      <w:keepLines/>
      <w:widowControl/>
      <w:ind w:left="0"/>
      <w:jc w:val="both"/>
    </w:pPr>
    <w:rPr>
      <w:b/>
      <w:bCs/>
      <w:color w:val="31849B"/>
      <w:sz w:val="24"/>
      <w:szCs w:val="24"/>
    </w:rPr>
  </w:style>
  <w:style w:type="character" w:customStyle="1" w:styleId="BarevnoddlovaChar">
    <w:name w:val="Barevný oddělovač Char"/>
    <w:link w:val="Barevnoddlova"/>
    <w:uiPriority w:val="99"/>
    <w:locked/>
    <w:rsid w:val="00C32283"/>
    <w:rPr>
      <w:rFonts w:ascii="Arial" w:hAnsi="Arial" w:cs="Arial"/>
      <w:b/>
      <w:bCs/>
      <w:color w:val="31849B"/>
      <w:sz w:val="24"/>
      <w:szCs w:val="24"/>
      <w:lang w:val="en-GB" w:eastAsia="en-GB"/>
    </w:rPr>
  </w:style>
  <w:style w:type="paragraph" w:styleId="Seznamsodrkami">
    <w:name w:val="List Bullet"/>
    <w:basedOn w:val="Normln"/>
    <w:uiPriority w:val="99"/>
    <w:rsid w:val="00950F26"/>
    <w:pPr>
      <w:spacing w:after="240" w:line="240" w:lineRule="atLeast"/>
      <w:jc w:val="left"/>
    </w:pPr>
    <w:rPr>
      <w:rFonts w:ascii="Georgia" w:hAnsi="Georgia" w:cs="Georgia"/>
      <w:sz w:val="20"/>
      <w:szCs w:val="20"/>
    </w:rPr>
  </w:style>
  <w:style w:type="character" w:styleId="Odkazintenzivn">
    <w:name w:val="Intense Reference"/>
    <w:basedOn w:val="Standardnpsmoodstavce"/>
    <w:uiPriority w:val="99"/>
    <w:qFormat/>
    <w:rsid w:val="00696700"/>
    <w:rPr>
      <w:b/>
      <w:bCs/>
      <w:smallCaps/>
      <w:color w:val="002776"/>
      <w:spacing w:val="5"/>
    </w:rPr>
  </w:style>
  <w:style w:type="character" w:customStyle="1" w:styleId="st1">
    <w:name w:val="st1"/>
    <w:uiPriority w:val="99"/>
    <w:rsid w:val="00696700"/>
  </w:style>
  <w:style w:type="table" w:customStyle="1" w:styleId="GridTable4-Accent21">
    <w:name w:val="Grid Table 4 - Accent 21"/>
    <w:uiPriority w:val="99"/>
    <w:rsid w:val="009C685C"/>
    <w:pPr>
      <w:spacing w:after="0" w:line="240" w:lineRule="auto"/>
    </w:pPr>
    <w:rPr>
      <w:rFonts w:ascii="Arial" w:hAnsi="Arial" w:cs="Arial"/>
      <w:sz w:val="20"/>
      <w:szCs w:val="20"/>
    </w:rPr>
    <w:tblPr>
      <w:tblStyleRowBandSize w:val="1"/>
      <w:tblStyleColBandSize w:val="1"/>
      <w:tblBorders>
        <w:top w:val="single" w:sz="4" w:space="0" w:color="C6FF4C"/>
        <w:left w:val="single" w:sz="4" w:space="0" w:color="C6FF4C"/>
        <w:bottom w:val="single" w:sz="4" w:space="0" w:color="C6FF4C"/>
        <w:right w:val="single" w:sz="4" w:space="0" w:color="C6FF4C"/>
        <w:insideH w:val="single" w:sz="4" w:space="0" w:color="C6FF4C"/>
        <w:insideV w:val="single" w:sz="4" w:space="0" w:color="C6FF4C"/>
      </w:tblBorders>
      <w:tblCellMar>
        <w:top w:w="0" w:type="dxa"/>
        <w:left w:w="108" w:type="dxa"/>
        <w:bottom w:w="0" w:type="dxa"/>
        <w:right w:w="108" w:type="dxa"/>
      </w:tblCellMar>
    </w:tblPr>
  </w:style>
  <w:style w:type="character" w:customStyle="1" w:styleId="atn">
    <w:name w:val="atn"/>
    <w:basedOn w:val="Standardnpsmoodstavce"/>
    <w:uiPriority w:val="99"/>
    <w:rsid w:val="001C454C"/>
  </w:style>
  <w:style w:type="character" w:customStyle="1" w:styleId="alt-edited1">
    <w:name w:val="alt-edited1"/>
    <w:uiPriority w:val="99"/>
    <w:rsid w:val="001C454C"/>
    <w:rPr>
      <w:color w:val="auto"/>
    </w:rPr>
  </w:style>
  <w:style w:type="character" w:customStyle="1" w:styleId="shorttext">
    <w:name w:val="short_text"/>
    <w:basedOn w:val="Standardnpsmoodstavce"/>
    <w:uiPriority w:val="99"/>
    <w:rsid w:val="00C96000"/>
  </w:style>
  <w:style w:type="paragraph" w:customStyle="1" w:styleId="p3">
    <w:name w:val="p3"/>
    <w:basedOn w:val="Normln"/>
    <w:uiPriority w:val="99"/>
    <w:rsid w:val="00FA4AE5"/>
    <w:pPr>
      <w:spacing w:before="100" w:beforeAutospacing="1" w:after="100" w:afterAutospacing="1"/>
      <w:jc w:val="left"/>
    </w:pPr>
    <w:rPr>
      <w:sz w:val="24"/>
      <w:szCs w:val="24"/>
    </w:rPr>
  </w:style>
  <w:style w:type="character" w:customStyle="1" w:styleId="s1">
    <w:name w:val="s1"/>
    <w:basedOn w:val="Standardnpsmoodstavce"/>
    <w:uiPriority w:val="99"/>
    <w:rsid w:val="00FA4AE5"/>
  </w:style>
  <w:style w:type="paragraph" w:customStyle="1" w:styleId="p1">
    <w:name w:val="p1"/>
    <w:basedOn w:val="Normln"/>
    <w:uiPriority w:val="99"/>
    <w:rsid w:val="00D6172B"/>
    <w:pPr>
      <w:spacing w:before="100" w:beforeAutospacing="1" w:after="100" w:afterAutospacing="1"/>
      <w:jc w:val="left"/>
    </w:pPr>
    <w:rPr>
      <w:sz w:val="24"/>
      <w:szCs w:val="24"/>
    </w:rPr>
  </w:style>
  <w:style w:type="paragraph" w:customStyle="1" w:styleId="article-perex">
    <w:name w:val="article-perex"/>
    <w:basedOn w:val="Normln"/>
    <w:uiPriority w:val="99"/>
    <w:rsid w:val="00E1324D"/>
    <w:pPr>
      <w:spacing w:before="100" w:beforeAutospacing="1" w:after="100" w:afterAutospacing="1"/>
      <w:jc w:val="left"/>
    </w:pPr>
    <w:rPr>
      <w:sz w:val="24"/>
      <w:szCs w:val="24"/>
    </w:rPr>
  </w:style>
  <w:style w:type="character" w:styleId="CittHTML">
    <w:name w:val="HTML Cite"/>
    <w:basedOn w:val="Standardnpsmoodstavce"/>
    <w:uiPriority w:val="99"/>
    <w:semiHidden/>
    <w:rsid w:val="00614AC7"/>
    <w:rPr>
      <w:i/>
      <w:iCs/>
    </w:rPr>
  </w:style>
  <w:style w:type="character" w:customStyle="1" w:styleId="rs-person">
    <w:name w:val="rs-person"/>
    <w:basedOn w:val="Standardnpsmoodstavce"/>
    <w:uiPriority w:val="99"/>
    <w:rsid w:val="00EE753E"/>
  </w:style>
  <w:style w:type="character" w:styleId="Sledovanodkaz">
    <w:name w:val="FollowedHyperlink"/>
    <w:basedOn w:val="Standardnpsmoodstavce"/>
    <w:uiPriority w:val="99"/>
    <w:semiHidden/>
    <w:rsid w:val="00A77EA1"/>
    <w:rPr>
      <w:color w:val="C9DD03"/>
      <w:u w:val="single"/>
    </w:rPr>
  </w:style>
  <w:style w:type="character" w:styleId="Zstupntext">
    <w:name w:val="Placeholder Text"/>
    <w:basedOn w:val="Standardnpsmoodstavce"/>
    <w:uiPriority w:val="99"/>
    <w:semiHidden/>
    <w:rsid w:val="00464C9D"/>
    <w:rPr>
      <w:color w:val="808080"/>
    </w:rPr>
  </w:style>
  <w:style w:type="character" w:customStyle="1" w:styleId="essayfootnotecitation">
    <w:name w:val="essay_footnotecitation"/>
    <w:basedOn w:val="Standardnpsmoodstavce"/>
    <w:uiPriority w:val="99"/>
    <w:rsid w:val="00B01AA8"/>
  </w:style>
  <w:style w:type="paragraph" w:customStyle="1" w:styleId="Zkladntextodsazen1">
    <w:name w:val="Základní text odsazený1"/>
    <w:basedOn w:val="Normln"/>
    <w:uiPriority w:val="99"/>
    <w:rsid w:val="004E60C4"/>
    <w:pPr>
      <w:spacing w:before="120"/>
      <w:ind w:left="567"/>
    </w:pPr>
    <w:rPr>
      <w:sz w:val="24"/>
      <w:szCs w:val="24"/>
    </w:rPr>
  </w:style>
  <w:style w:type="paragraph" w:customStyle="1" w:styleId="Pa20">
    <w:name w:val="Pa20"/>
    <w:basedOn w:val="Default"/>
    <w:next w:val="Default"/>
    <w:uiPriority w:val="99"/>
    <w:rsid w:val="001D1FD9"/>
    <w:pPr>
      <w:spacing w:line="200" w:lineRule="atLeast"/>
    </w:pPr>
    <w:rPr>
      <w:rFonts w:ascii="Myriad Pro Light" w:hAnsi="Myriad Pro Light" w:cs="Myriad Pro Light"/>
      <w:color w:val="auto"/>
    </w:rPr>
  </w:style>
  <w:style w:type="character" w:customStyle="1" w:styleId="A12">
    <w:name w:val="A12"/>
    <w:uiPriority w:val="99"/>
    <w:rsid w:val="001D1FD9"/>
    <w:rPr>
      <w:b/>
      <w:bCs/>
      <w:color w:val="000000"/>
      <w:sz w:val="28"/>
      <w:szCs w:val="28"/>
    </w:rPr>
  </w:style>
  <w:style w:type="character" w:customStyle="1" w:styleId="A13">
    <w:name w:val="A13"/>
    <w:uiPriority w:val="99"/>
    <w:rsid w:val="001D1FD9"/>
    <w:rPr>
      <w:color w:val="000000"/>
      <w:sz w:val="11"/>
      <w:szCs w:val="11"/>
    </w:rPr>
  </w:style>
  <w:style w:type="paragraph" w:customStyle="1" w:styleId="Odskoknadpis4">
    <w:name w:val="Odskok nadpis 4"/>
    <w:basedOn w:val="Normln"/>
    <w:link w:val="Odskoknadpis4Char"/>
    <w:uiPriority w:val="99"/>
    <w:rsid w:val="00F0643D"/>
    <w:pPr>
      <w:spacing w:line="276" w:lineRule="auto"/>
      <w:ind w:left="1134"/>
    </w:pPr>
    <w:rPr>
      <w:sz w:val="22"/>
      <w:szCs w:val="22"/>
    </w:rPr>
  </w:style>
  <w:style w:type="character" w:customStyle="1" w:styleId="Odskoknadpis4Char">
    <w:name w:val="Odskok nadpis 4 Char"/>
    <w:link w:val="Odskoknadpis4"/>
    <w:uiPriority w:val="99"/>
    <w:locked/>
    <w:rsid w:val="00F0643D"/>
    <w:rPr>
      <w:rFonts w:eastAsia="Times New Roman"/>
      <w:sz w:val="22"/>
      <w:szCs w:val="22"/>
      <w:lang w:val="en-GB" w:eastAsia="x-none"/>
    </w:rPr>
  </w:style>
  <w:style w:type="character" w:customStyle="1" w:styleId="ListParagraphChar1">
    <w:name w:val="List Paragraph Char1"/>
    <w:basedOn w:val="Standardnpsmoodstavce"/>
    <w:uiPriority w:val="99"/>
    <w:locked/>
    <w:rsid w:val="00DA4E52"/>
  </w:style>
  <w:style w:type="paragraph" w:customStyle="1" w:styleId="Bodycopy">
    <w:name w:val="Body copy"/>
    <w:basedOn w:val="Normln"/>
    <w:link w:val="BodycopyChar"/>
    <w:uiPriority w:val="99"/>
    <w:rsid w:val="00DA4E52"/>
    <w:pPr>
      <w:spacing w:before="120" w:line="288" w:lineRule="auto"/>
    </w:pPr>
    <w:rPr>
      <w:color w:val="000000"/>
      <w:sz w:val="20"/>
      <w:szCs w:val="20"/>
    </w:rPr>
  </w:style>
  <w:style w:type="character" w:customStyle="1" w:styleId="BodycopyChar">
    <w:name w:val="Body copy Char"/>
    <w:link w:val="Bodycopy"/>
    <w:uiPriority w:val="99"/>
    <w:locked/>
    <w:rsid w:val="00DA4E52"/>
    <w:rPr>
      <w:rFonts w:ascii="Arial" w:hAnsi="Arial" w:cs="Arial"/>
      <w:color w:val="000000"/>
      <w:lang w:val="en-GB" w:eastAsia="x-none"/>
    </w:rPr>
  </w:style>
  <w:style w:type="paragraph" w:customStyle="1" w:styleId="Caption1">
    <w:name w:val="Caption1"/>
    <w:next w:val="Normln"/>
    <w:uiPriority w:val="99"/>
    <w:rsid w:val="00DA4E52"/>
    <w:pPr>
      <w:spacing w:after="200" w:line="240" w:lineRule="auto"/>
    </w:pPr>
    <w:rPr>
      <w:rFonts w:ascii="Lucida Grande" w:hAnsi="Lucida Grande" w:cs="Lucida Grande"/>
      <w:b/>
      <w:bCs/>
      <w:color w:val="0A0623"/>
      <w:sz w:val="18"/>
      <w:szCs w:val="18"/>
      <w:lang w:val="en-GB" w:eastAsia="en-GB"/>
    </w:rPr>
  </w:style>
  <w:style w:type="table" w:customStyle="1" w:styleId="Deloittetable61">
    <w:name w:val="Deloitte table 61"/>
    <w:uiPriority w:val="99"/>
    <w:rsid w:val="00DA4E52"/>
    <w:pPr>
      <w:spacing w:after="0" w:line="240" w:lineRule="auto"/>
    </w:pPr>
    <w:rPr>
      <w:rFonts w:ascii="Arial" w:hAnsi="Arial" w:cs="Arial"/>
      <w:sz w:val="19"/>
      <w:szCs w:val="19"/>
    </w:rPr>
    <w:tblPr>
      <w:tblBorders>
        <w:bottom w:val="single" w:sz="4" w:space="0" w:color="52D0FF"/>
        <w:insideH w:val="single" w:sz="4" w:space="0" w:color="52D0FF"/>
      </w:tblBorders>
      <w:tblCellMar>
        <w:top w:w="28" w:type="dxa"/>
        <w:left w:w="28" w:type="dxa"/>
        <w:bottom w:w="28" w:type="dxa"/>
        <w:right w:w="28" w:type="dxa"/>
      </w:tblCellMar>
    </w:tblPr>
    <w:tcPr>
      <w:shd w:val="clear" w:color="auto" w:fill="FFFFFF"/>
    </w:tcPr>
  </w:style>
  <w:style w:type="paragraph" w:customStyle="1" w:styleId="CharChar2CharCharCharChar">
    <w:name w:val="Char Char2 Char Char Char Char"/>
    <w:basedOn w:val="Normln"/>
    <w:uiPriority w:val="99"/>
    <w:rsid w:val="00DA4E52"/>
    <w:pPr>
      <w:spacing w:after="0"/>
      <w:jc w:val="left"/>
    </w:pPr>
    <w:rPr>
      <w:sz w:val="24"/>
      <w:szCs w:val="24"/>
    </w:rPr>
  </w:style>
  <w:style w:type="table" w:styleId="Mkatabulky8">
    <w:name w:val="Table Grid 8"/>
    <w:basedOn w:val="Normlntabulka"/>
    <w:uiPriority w:val="99"/>
    <w:rsid w:val="00DA4E52"/>
    <w:pPr>
      <w:spacing w:after="120" w:line="240" w:lineRule="auto"/>
      <w:jc w:val="both"/>
    </w:pPr>
    <w:rPr>
      <w:rFonts w:ascii="Arial" w:hAnsi="Arial" w:cs="Arial"/>
      <w:sz w:val="20"/>
      <w:szCs w:val="20"/>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2"/>
        <w:szCs w:val="22"/>
        <w:lang w:val="cs-CZ" w:eastAsia="cs-CZ" w:bidi="ar-SA"/>
      </w:rPr>
    </w:rPrDefault>
    <w:pPrDefault>
      <w:pPr>
        <w:spacing w:after="160" w:line="259" w:lineRule="auto"/>
      </w:pPr>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semiHidden="0" w:uiPriority="39" w:unhideWhenUsed="0" w:qFormat="1"/>
  </w:latentStyles>
  <w:style w:type="paragraph" w:default="1" w:styleId="Normln">
    <w:name w:val="Normal"/>
    <w:qFormat/>
    <w:rsid w:val="00FE7909"/>
    <w:pPr>
      <w:spacing w:after="120" w:line="240" w:lineRule="auto"/>
      <w:jc w:val="both"/>
    </w:pPr>
    <w:rPr>
      <w:rFonts w:ascii="Arial" w:hAnsi="Arial" w:cs="Arial"/>
      <w:sz w:val="19"/>
      <w:szCs w:val="19"/>
      <w:lang w:val="en-GB" w:eastAsia="en-GB"/>
    </w:rPr>
  </w:style>
  <w:style w:type="paragraph" w:styleId="Nadpis1">
    <w:name w:val="heading 1"/>
    <w:aliases w:val="Deloitte Heading 1,Heading 1 Char1 Char,Heading 1 Char Char Char,h1 Char Char Char,H1 Char Char Char,1 Char1 Char Char,Naglówek 1 Char Char Char,Naglówek 11 Char Char Char,Heading 1 Char1 Char Char Char,Heading 1 Char Char Char Char Char,1 gh"/>
    <w:basedOn w:val="Normln"/>
    <w:next w:val="Nadpis2"/>
    <w:link w:val="Nadpis1Char"/>
    <w:uiPriority w:val="99"/>
    <w:qFormat/>
    <w:rsid w:val="009C0FD7"/>
    <w:pPr>
      <w:keepNext/>
      <w:pageBreakBefore/>
      <w:numPr>
        <w:numId w:val="2"/>
      </w:numPr>
      <w:spacing w:after="800"/>
      <w:jc w:val="left"/>
      <w:outlineLvl w:val="0"/>
    </w:pPr>
    <w:rPr>
      <w:rFonts w:ascii="Times New Roman Bold" w:hAnsi="Times New Roman Bold" w:cs="Times New Roman Bold"/>
      <w:color w:val="002776"/>
      <w:kern w:val="32"/>
      <w:sz w:val="60"/>
      <w:szCs w:val="60"/>
    </w:rPr>
  </w:style>
  <w:style w:type="paragraph" w:styleId="Nadpis2">
    <w:name w:val="heading 2"/>
    <w:aliases w:val="h2,Normal Heading 2,LetHead2,- 1,2,3,H2,Heading_eng 2,Main header,Outline2 Char,HAA-Section Char,Sub Heading Char,ignorer2 Char,Nadpis_2 Char,adpis 2 Char,Nadpis 2 úroveň Char,Outline2,HAA-Section,Sub Heading,ignorer2,Nadpis_2,2m,Nadpis 2 Cha"/>
    <w:basedOn w:val="Nadpis1"/>
    <w:next w:val="Nadpis3"/>
    <w:link w:val="Nadpis2Char"/>
    <w:uiPriority w:val="99"/>
    <w:qFormat/>
    <w:rsid w:val="00E421C0"/>
    <w:pPr>
      <w:pageBreakBefore w:val="0"/>
      <w:numPr>
        <w:ilvl w:val="1"/>
      </w:numPr>
      <w:spacing w:before="240" w:after="240"/>
      <w:outlineLvl w:val="1"/>
    </w:pPr>
    <w:rPr>
      <w:rFonts w:ascii="Arial" w:hAnsi="Arial" w:cs="Arial"/>
      <w:b/>
      <w:bCs/>
      <w:color w:val="92D400"/>
      <w:sz w:val="24"/>
      <w:szCs w:val="24"/>
    </w:rPr>
  </w:style>
  <w:style w:type="paragraph" w:styleId="Nadpis3">
    <w:name w:val="heading 3"/>
    <w:aliases w:val="h3,- 1),2),3),- 1.,2.,3.,H3,Heading,List 1,Nadpis_3_úroveň,Záhlaví 3,V_Head3,V_Head31,V_Head32,Podkapitola2,ASAPHeading 3,Sub Paragraph,Podkapitola21,Podkapitola podkapitoly základní kapitoly,PA Minor Section,Nadpis_3_úroveo,TRM 12 3,TRM 12 I"/>
    <w:basedOn w:val="Nadpis2"/>
    <w:next w:val="Normln"/>
    <w:link w:val="Nadpis3Char"/>
    <w:uiPriority w:val="99"/>
    <w:qFormat/>
    <w:rsid w:val="00E421C0"/>
    <w:pPr>
      <w:numPr>
        <w:ilvl w:val="2"/>
      </w:numPr>
      <w:outlineLvl w:val="2"/>
    </w:pPr>
    <w:rPr>
      <w:color w:val="3C8A2E"/>
    </w:rPr>
  </w:style>
  <w:style w:type="paragraph" w:styleId="Nadpis4">
    <w:name w:val="heading 4"/>
    <w:aliases w:val="h4,H4,Ad.1),Ad 2),1),ASAPHeading 4,Sub Sub Paragraph,Podkapitola3,Podkapitola31,Odstavec 1,Odstavec 11,Odstavec 12,Odstavec 13,Odstavec 14,Odstavec 111,Odstavec 121,Odstavec 131,Odstavec 15,Odstavec 141,Odstavec 16,Odstavec 112,Odstavec 122,4"/>
    <w:basedOn w:val="Normln"/>
    <w:next w:val="Normln"/>
    <w:link w:val="Nadpis4Char"/>
    <w:uiPriority w:val="99"/>
    <w:qFormat/>
    <w:rsid w:val="0008794A"/>
    <w:pPr>
      <w:keepNext/>
      <w:keepLines/>
      <w:numPr>
        <w:ilvl w:val="3"/>
        <w:numId w:val="2"/>
      </w:numPr>
      <w:spacing w:before="240" w:after="240"/>
      <w:outlineLvl w:val="3"/>
    </w:pPr>
    <w:rPr>
      <w:b/>
      <w:bCs/>
      <w:sz w:val="24"/>
      <w:szCs w:val="24"/>
    </w:rPr>
  </w:style>
  <w:style w:type="paragraph" w:styleId="Nadpis5">
    <w:name w:val="heading 5"/>
    <w:aliases w:val="ASAPHeading 5,Heading 5   Appendix A to X,Appendix A to X,Heading 5   Appendix A to X1,Appendix A to X1,Heading 5   Appendix A to X2,Appendix A to X2,Heading 5   Appendix A to X11,Appendix A to X11,MUS5,Block Label,H5,5,Level 3 - i,h5,dash,ds"/>
    <w:basedOn w:val="Normln"/>
    <w:next w:val="Normln"/>
    <w:link w:val="Nadpis5Char"/>
    <w:uiPriority w:val="99"/>
    <w:qFormat/>
    <w:rsid w:val="0008794A"/>
    <w:pPr>
      <w:keepNext/>
      <w:keepLines/>
      <w:numPr>
        <w:ilvl w:val="4"/>
        <w:numId w:val="2"/>
      </w:numPr>
      <w:spacing w:before="240" w:after="240"/>
      <w:outlineLvl w:val="4"/>
    </w:pPr>
    <w:rPr>
      <w:b/>
      <w:bCs/>
      <w:i/>
      <w:iCs/>
      <w:color w:val="00133A"/>
      <w:sz w:val="24"/>
      <w:szCs w:val="24"/>
    </w:rPr>
  </w:style>
  <w:style w:type="paragraph" w:styleId="Nadpis6">
    <w:name w:val="heading 6"/>
    <w:aliases w:val="ASAPHeading 6,Heading 6  Appendix Y &amp; Z,Heading 6  Appendix Y &amp; Z1,Heading 6  Appendix Y &amp; Z2,Heading 6  Appendix Y &amp; Z11,MUS6,H6,ASAPHeading 61,ASAPHeading 62,ASAPHeading 63,ASAPHeading 64,ASAPHeading 65,ASAPHeading 66,ASAPHeading 611,h6,l"/>
    <w:basedOn w:val="Normln"/>
    <w:next w:val="Normln"/>
    <w:link w:val="Nadpis6Char"/>
    <w:uiPriority w:val="99"/>
    <w:qFormat/>
    <w:rsid w:val="0008794A"/>
    <w:pPr>
      <w:keepNext/>
      <w:keepLines/>
      <w:numPr>
        <w:ilvl w:val="5"/>
        <w:numId w:val="2"/>
      </w:numPr>
      <w:spacing w:before="240" w:after="240"/>
      <w:ind w:left="1418" w:hanging="1418"/>
      <w:outlineLvl w:val="5"/>
    </w:pPr>
    <w:rPr>
      <w:i/>
      <w:iCs/>
      <w:color w:val="00133A"/>
      <w:sz w:val="24"/>
      <w:szCs w:val="24"/>
    </w:rPr>
  </w:style>
  <w:style w:type="paragraph" w:styleId="Nadpis7">
    <w:name w:val="heading 7"/>
    <w:aliases w:val="ASAPHeading 7,MUS7,ASAPHeading 71,ASAPHeading 72,ASAPHeading 73,ASAPHeading 74,H7,letter list,lettered list,letter list1,lettered list1,letter list2,lettered list2,letter list11,lettered list11,letter list3,lettered list3,letter list12"/>
    <w:basedOn w:val="Normln"/>
    <w:next w:val="Normln"/>
    <w:link w:val="Nadpis7Char"/>
    <w:uiPriority w:val="99"/>
    <w:qFormat/>
    <w:rsid w:val="00E421C0"/>
    <w:pPr>
      <w:keepNext/>
      <w:keepLines/>
      <w:numPr>
        <w:ilvl w:val="6"/>
        <w:numId w:val="2"/>
      </w:numPr>
      <w:spacing w:before="240" w:after="240"/>
      <w:ind w:left="1576" w:hanging="1576"/>
      <w:outlineLvl w:val="6"/>
    </w:pPr>
    <w:rPr>
      <w:i/>
      <w:iCs/>
      <w:color w:val="404040"/>
      <w:sz w:val="22"/>
      <w:szCs w:val="22"/>
    </w:rPr>
  </w:style>
  <w:style w:type="paragraph" w:styleId="Nadpis8">
    <w:name w:val="heading 8"/>
    <w:aliases w:val="ASAPHeading 8,MUS8,H8,(Appendici),action,action1,action2,action11,action3,action4,action5,action6,action7,action12,action21,action111,action31,action8,action13,action22,action112,action32,action9,action14,action23,action113,action33"/>
    <w:basedOn w:val="Normln"/>
    <w:next w:val="Normln"/>
    <w:link w:val="Nadpis8Char"/>
    <w:uiPriority w:val="99"/>
    <w:qFormat/>
    <w:rsid w:val="00E421C0"/>
    <w:pPr>
      <w:keepNext/>
      <w:keepLines/>
      <w:numPr>
        <w:ilvl w:val="7"/>
        <w:numId w:val="2"/>
      </w:numPr>
      <w:spacing w:before="240" w:after="240"/>
      <w:ind w:left="1701" w:hanging="1701"/>
      <w:outlineLvl w:val="7"/>
    </w:pPr>
    <w:rPr>
      <w:i/>
      <w:iCs/>
      <w:color w:val="404040"/>
      <w:sz w:val="20"/>
      <w:szCs w:val="20"/>
    </w:rPr>
  </w:style>
  <w:style w:type="paragraph" w:styleId="Nadpis9">
    <w:name w:val="heading 9"/>
    <w:aliases w:val="h9,heading9,ASAPHeading 9,App Heading,MUS9,H9,(Bibliografia),progress,progress1,progress2,progress11,progress3,progress4,progress5,progress6,progress7,progress12,progress21,progress111,progress31,progress8,progress13,progress22,progress112"/>
    <w:basedOn w:val="Normln"/>
    <w:next w:val="Normln"/>
    <w:link w:val="Nadpis9Char"/>
    <w:uiPriority w:val="99"/>
    <w:qFormat/>
    <w:rsid w:val="00E421C0"/>
    <w:pPr>
      <w:keepNext/>
      <w:keepLines/>
      <w:numPr>
        <w:ilvl w:val="8"/>
        <w:numId w:val="2"/>
      </w:numPr>
      <w:spacing w:before="240" w:after="240"/>
      <w:ind w:left="1985" w:hanging="1985"/>
      <w:outlineLvl w:val="8"/>
    </w:pPr>
    <w:rPr>
      <w:i/>
      <w:iCs/>
      <w:color w:val="404040"/>
      <w:sz w:val="18"/>
      <w:szCs w:val="1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aliases w:val="Deloitte Heading 1 Char,Heading 1 Char1 Char Char,Heading 1 Char Char Char Char,h1 Char Char Char Char,H1 Char Char Char Char,1 Char1 Char Char Char,Naglówek 1 Char Char Char Char,Naglówek 11 Char Char Char Char,1 gh Char"/>
    <w:basedOn w:val="Standardnpsmoodstavce"/>
    <w:link w:val="Nadpis1"/>
    <w:uiPriority w:val="99"/>
    <w:locked/>
    <w:rsid w:val="00F043A0"/>
    <w:rPr>
      <w:rFonts w:ascii="Times New Roman Bold" w:hAnsi="Times New Roman Bold" w:cs="Times New Roman Bold"/>
      <w:color w:val="002776"/>
      <w:kern w:val="32"/>
      <w:sz w:val="60"/>
      <w:szCs w:val="60"/>
      <w:lang w:val="en-GB" w:eastAsia="en-GB"/>
    </w:rPr>
  </w:style>
  <w:style w:type="character" w:customStyle="1" w:styleId="Nadpis2Char">
    <w:name w:val="Nadpis 2 Char"/>
    <w:aliases w:val="h2 Char,Normal Heading 2 Char,LetHead2 Char,- 1 Char,2 Char,3 Char,H2 Char,Heading_eng 2 Char,Main header Char,Outline2 Char Char,HAA-Section Char Char,Sub Heading Char Char,ignorer2 Char Char,Nadpis_2 Char Char,adpis 2 Char Char,2m Char"/>
    <w:basedOn w:val="Standardnpsmoodstavce"/>
    <w:link w:val="Nadpis2"/>
    <w:uiPriority w:val="99"/>
    <w:locked/>
    <w:rsid w:val="00E16AFF"/>
    <w:rPr>
      <w:rFonts w:ascii="Arial" w:hAnsi="Arial" w:cs="Arial"/>
      <w:b/>
      <w:bCs/>
      <w:color w:val="92D400"/>
      <w:kern w:val="32"/>
      <w:sz w:val="24"/>
      <w:szCs w:val="24"/>
      <w:lang w:val="en-GB" w:eastAsia="en-GB"/>
    </w:rPr>
  </w:style>
  <w:style w:type="character" w:customStyle="1" w:styleId="BodyodsazeneChar">
    <w:name w:val="Body odsazene Char"/>
    <w:link w:val="Bodyodsazene"/>
    <w:uiPriority w:val="99"/>
    <w:locked/>
    <w:rsid w:val="00167A57"/>
    <w:rPr>
      <w:rFonts w:ascii="Arial" w:hAnsi="Arial" w:cs="Arial"/>
      <w:color w:val="000000"/>
      <w:sz w:val="48"/>
      <w:szCs w:val="48"/>
      <w:lang w:val="en-GB" w:eastAsia="x-none"/>
    </w:rPr>
  </w:style>
  <w:style w:type="character" w:customStyle="1" w:styleId="Nadpis4Char">
    <w:name w:val="Nadpis 4 Char"/>
    <w:aliases w:val="h4 Char,H4 Char,Ad.1) Char,Ad 2) Char,1) Char,ASAPHeading 4 Char,Sub Sub Paragraph Char,Podkapitola3 Char,Podkapitola31 Char,Odstavec 1 Char,Odstavec 11 Char,Odstavec 12 Char,Odstavec 13 Char,Odstavec 14 Char,Odstavec 111 Char,4 Char"/>
    <w:basedOn w:val="Standardnpsmoodstavce"/>
    <w:link w:val="Nadpis4"/>
    <w:uiPriority w:val="99"/>
    <w:locked/>
    <w:rsid w:val="0008794A"/>
    <w:rPr>
      <w:rFonts w:ascii="Arial" w:hAnsi="Arial" w:cs="Arial"/>
      <w:b/>
      <w:bCs/>
      <w:sz w:val="24"/>
      <w:szCs w:val="24"/>
      <w:lang w:val="en-GB" w:eastAsia="en-GB"/>
    </w:rPr>
  </w:style>
  <w:style w:type="character" w:customStyle="1" w:styleId="Nadpis5Char">
    <w:name w:val="Nadpis 5 Char"/>
    <w:aliases w:val="ASAPHeading 5 Char,Heading 5   Appendix A to X Char,Appendix A to X Char,Heading 5   Appendix A to X1 Char,Appendix A to X1 Char,Heading 5   Appendix A to X2 Char,Appendix A to X2 Char,Heading 5   Appendix A to X11 Char,MUS5 Char,H5 Char"/>
    <w:basedOn w:val="Standardnpsmoodstavce"/>
    <w:link w:val="Nadpis5"/>
    <w:uiPriority w:val="99"/>
    <w:locked/>
    <w:rsid w:val="0008794A"/>
    <w:rPr>
      <w:rFonts w:ascii="Arial" w:hAnsi="Arial" w:cs="Arial"/>
      <w:b/>
      <w:bCs/>
      <w:i/>
      <w:iCs/>
      <w:color w:val="00133A"/>
      <w:sz w:val="24"/>
      <w:szCs w:val="24"/>
      <w:lang w:val="en-GB" w:eastAsia="en-GB"/>
    </w:rPr>
  </w:style>
  <w:style w:type="character" w:styleId="Znakapoznpodarou">
    <w:name w:val="footnote reference"/>
    <w:aliases w:val="Überschrift 4 Zchn1,Título 4 Car Zchn,Heading 4 Char1 Car Zchn,no vale 2 Zchn,no vale 2 Car Zchn,PGI Fußnote Ziffer,BVI fnr,Footnote symbol,Footnote Reference Superscript,Appel note de bas de p,Appel note de bas de page,Légende"/>
    <w:basedOn w:val="Standardnpsmoodstavce"/>
    <w:uiPriority w:val="99"/>
    <w:semiHidden/>
    <w:rsid w:val="00E421C0"/>
    <w:rPr>
      <w:rFonts w:ascii="Arial" w:hAnsi="Arial" w:cs="Arial"/>
      <w:sz w:val="16"/>
      <w:szCs w:val="16"/>
      <w:vertAlign w:val="superscript"/>
    </w:rPr>
  </w:style>
  <w:style w:type="character" w:customStyle="1" w:styleId="Nadpis7Char">
    <w:name w:val="Nadpis 7 Char"/>
    <w:aliases w:val="ASAPHeading 7 Char,MUS7 Char,ASAPHeading 71 Char,ASAPHeading 72 Char,ASAPHeading 73 Char,ASAPHeading 74 Char,H7 Char,letter list Char,lettered list Char,letter list1 Char,lettered list1 Char,letter list2 Char,lettered list2 Char"/>
    <w:basedOn w:val="Standardnpsmoodstavce"/>
    <w:link w:val="Nadpis7"/>
    <w:uiPriority w:val="99"/>
    <w:locked/>
    <w:rsid w:val="00E421C0"/>
    <w:rPr>
      <w:rFonts w:ascii="Arial" w:hAnsi="Arial" w:cs="Arial"/>
      <w:i/>
      <w:iCs/>
      <w:color w:val="404040"/>
      <w:lang w:val="en-GB" w:eastAsia="en-GB"/>
    </w:rPr>
  </w:style>
  <w:style w:type="character" w:customStyle="1" w:styleId="Nadpis8Char">
    <w:name w:val="Nadpis 8 Char"/>
    <w:aliases w:val="ASAPHeading 8 Char,MUS8 Char,H8 Char,(Appendici) Char,action Char,action1 Char,action2 Char,action11 Char,action3 Char,action4 Char,action5 Char,action6 Char,action7 Char,action12 Char,action21 Char,action111 Char,action31 Char"/>
    <w:basedOn w:val="Standardnpsmoodstavce"/>
    <w:link w:val="Nadpis8"/>
    <w:uiPriority w:val="99"/>
    <w:locked/>
    <w:rsid w:val="00E421C0"/>
    <w:rPr>
      <w:rFonts w:ascii="Arial" w:hAnsi="Arial" w:cs="Arial"/>
      <w:i/>
      <w:iCs/>
      <w:color w:val="404040"/>
      <w:sz w:val="20"/>
      <w:szCs w:val="20"/>
      <w:lang w:val="en-GB" w:eastAsia="en-GB"/>
    </w:rPr>
  </w:style>
  <w:style w:type="character" w:customStyle="1" w:styleId="Nadpis9Char">
    <w:name w:val="Nadpis 9 Char"/>
    <w:aliases w:val="h9 Char,heading9 Char,ASAPHeading 9 Char,App Heading Char,MUS9 Char,H9 Char,(Bibliografia) Char,progress Char,progress1 Char,progress2 Char,progress11 Char,progress3 Char,progress4 Char,progress5 Char,progress6 Char,progress7 Char"/>
    <w:basedOn w:val="Standardnpsmoodstavce"/>
    <w:link w:val="Nadpis9"/>
    <w:uiPriority w:val="99"/>
    <w:locked/>
    <w:rsid w:val="00E421C0"/>
    <w:rPr>
      <w:rFonts w:ascii="Arial" w:hAnsi="Arial" w:cs="Arial"/>
      <w:i/>
      <w:iCs/>
      <w:color w:val="404040"/>
      <w:sz w:val="18"/>
      <w:szCs w:val="18"/>
      <w:lang w:val="en-GB" w:eastAsia="en-GB"/>
    </w:rPr>
  </w:style>
  <w:style w:type="paragraph" w:styleId="Seznamobrzk">
    <w:name w:val="table of figures"/>
    <w:basedOn w:val="Normln"/>
    <w:next w:val="Normln"/>
    <w:uiPriority w:val="99"/>
    <w:rsid w:val="00837914"/>
  </w:style>
  <w:style w:type="table" w:styleId="Svtlseznamzvraznn2">
    <w:name w:val="Light List Accent 2"/>
    <w:basedOn w:val="Normlntabulka"/>
    <w:uiPriority w:val="99"/>
    <w:rsid w:val="00276CD5"/>
    <w:pPr>
      <w:spacing w:after="0" w:line="240" w:lineRule="auto"/>
    </w:pPr>
    <w:rPr>
      <w:rFonts w:ascii="Arial" w:hAnsi="Arial" w:cs="Arial"/>
      <w:sz w:val="20"/>
      <w:szCs w:val="20"/>
    </w:rPr>
    <w:tblPr>
      <w:tblStyleRowBandSize w:val="1"/>
      <w:tblStyleColBandSize w:val="1"/>
      <w:tblInd w:w="0" w:type="nil"/>
      <w:tblBorders>
        <w:top w:val="single" w:sz="8" w:space="0" w:color="92D400"/>
        <w:left w:val="single" w:sz="8" w:space="0" w:color="92D400"/>
        <w:bottom w:val="single" w:sz="8" w:space="0" w:color="92D400"/>
        <w:right w:val="single" w:sz="8" w:space="0" w:color="92D400"/>
      </w:tblBorders>
    </w:tblPr>
    <w:tblStylePr w:type="firstRow">
      <w:pPr>
        <w:spacing w:before="0" w:after="0"/>
      </w:pPr>
      <w:rPr>
        <w:b/>
        <w:bCs/>
        <w:color w:val="FFFFFF"/>
      </w:rPr>
      <w:tblPr/>
      <w:tcPr>
        <w:shd w:val="clear" w:color="auto" w:fill="92D400"/>
      </w:tcPr>
    </w:tblStylePr>
    <w:tblStylePr w:type="lastRow">
      <w:pPr>
        <w:spacing w:before="0" w:after="0"/>
      </w:pPr>
      <w:rPr>
        <w:b/>
        <w:bCs/>
      </w:rPr>
      <w:tblPr/>
      <w:tcPr>
        <w:tcBorders>
          <w:top w:val="double" w:sz="6" w:space="0" w:color="92D400"/>
          <w:left w:val="single" w:sz="8" w:space="0" w:color="92D400"/>
          <w:bottom w:val="single" w:sz="8" w:space="0" w:color="92D400"/>
          <w:right w:val="single" w:sz="8" w:space="0" w:color="92D400"/>
        </w:tcBorders>
      </w:tcPr>
    </w:tblStylePr>
    <w:tblStylePr w:type="firstCol">
      <w:rPr>
        <w:b/>
        <w:bCs/>
      </w:rPr>
    </w:tblStylePr>
    <w:tblStylePr w:type="lastCol">
      <w:rPr>
        <w:b/>
        <w:bCs/>
      </w:rPr>
    </w:tblStylePr>
    <w:tblStylePr w:type="band1Vert">
      <w:tblPr/>
      <w:tcPr>
        <w:tcBorders>
          <w:top w:val="single" w:sz="8" w:space="0" w:color="92D400"/>
          <w:left w:val="single" w:sz="8" w:space="0" w:color="92D400"/>
          <w:bottom w:val="single" w:sz="8" w:space="0" w:color="92D400"/>
          <w:right w:val="single" w:sz="8" w:space="0" w:color="92D400"/>
        </w:tcBorders>
      </w:tcPr>
    </w:tblStylePr>
    <w:tblStylePr w:type="band1Horz">
      <w:tblPr/>
      <w:tcPr>
        <w:tcBorders>
          <w:top w:val="single" w:sz="8" w:space="0" w:color="92D400"/>
          <w:left w:val="single" w:sz="8" w:space="0" w:color="92D400"/>
          <w:bottom w:val="single" w:sz="8" w:space="0" w:color="92D400"/>
          <w:right w:val="single" w:sz="8" w:space="0" w:color="92D400"/>
        </w:tcBorders>
      </w:tcPr>
    </w:tblStylePr>
  </w:style>
  <w:style w:type="paragraph" w:customStyle="1" w:styleId="Bodyodsazene">
    <w:name w:val="Body odsazene"/>
    <w:basedOn w:val="BodyText1"/>
    <w:link w:val="BodyodsazeneChar"/>
    <w:uiPriority w:val="99"/>
    <w:rsid w:val="00167A57"/>
    <w:pPr>
      <w:spacing w:before="120" w:after="120"/>
    </w:pPr>
  </w:style>
  <w:style w:type="paragraph" w:styleId="Obsah5">
    <w:name w:val="toc 5"/>
    <w:basedOn w:val="Normln"/>
    <w:next w:val="Normln"/>
    <w:autoRedefine/>
    <w:uiPriority w:val="99"/>
    <w:semiHidden/>
    <w:rsid w:val="00210E5E"/>
    <w:pPr>
      <w:spacing w:after="100"/>
      <w:ind w:left="960"/>
    </w:pPr>
  </w:style>
  <w:style w:type="table" w:styleId="Mkatabulky">
    <w:name w:val="Table Grid"/>
    <w:aliases w:val="Deloitte table 3"/>
    <w:basedOn w:val="Normlntabulka"/>
    <w:uiPriority w:val="99"/>
    <w:rsid w:val="00A40230"/>
    <w:pPr>
      <w:spacing w:after="0" w:line="240" w:lineRule="auto"/>
    </w:pPr>
    <w:rPr>
      <w:rFonts w:ascii="Arial" w:hAnsi="Arial" w:cs="Arial"/>
      <w:sz w:val="19"/>
      <w:szCs w:val="19"/>
    </w:rPr>
    <w:tblPr>
      <w:tblInd w:w="0" w:type="nil"/>
      <w:tblBorders>
        <w:bottom w:val="single" w:sz="4" w:space="0" w:color="72C7E7"/>
        <w:insideH w:val="single" w:sz="4" w:space="0" w:color="72C7E7"/>
      </w:tblBorders>
      <w:tblCellMar>
        <w:top w:w="28" w:type="dxa"/>
        <w:left w:w="28" w:type="dxa"/>
        <w:bottom w:w="28" w:type="dxa"/>
        <w:right w:w="28" w:type="dxa"/>
      </w:tblCellMar>
    </w:tblPr>
    <w:tcPr>
      <w:shd w:val="clear" w:color="auto" w:fill="FFFFFF"/>
    </w:tcPr>
    <w:tblStylePr w:type="firstRow">
      <w:rPr>
        <w:rFonts w:ascii="Arial" w:hAnsi="Arial" w:cs="Arial"/>
        <w:b/>
        <w:bCs/>
        <w:color w:val="FFFFFF"/>
        <w:sz w:val="19"/>
        <w:szCs w:val="19"/>
      </w:rPr>
      <w:tblPr/>
      <w:tcPr>
        <w:shd w:val="clear" w:color="auto" w:fill="72C7E7"/>
      </w:tcPr>
    </w:tblStylePr>
    <w:tblStylePr w:type="firstCol">
      <w:rPr>
        <w:rFonts w:ascii="Arial" w:hAnsi="Arial" w:cs="Arial"/>
        <w:sz w:val="19"/>
        <w:szCs w:val="19"/>
      </w:rPr>
    </w:tblStylePr>
  </w:style>
  <w:style w:type="paragraph" w:styleId="Zhlav">
    <w:name w:val="header"/>
    <w:basedOn w:val="Normln"/>
    <w:link w:val="ZhlavChar"/>
    <w:uiPriority w:val="99"/>
    <w:rsid w:val="00E421C0"/>
    <w:pPr>
      <w:tabs>
        <w:tab w:val="center" w:pos="4703"/>
        <w:tab w:val="right" w:pos="9406"/>
      </w:tabs>
    </w:pPr>
    <w:rPr>
      <w:sz w:val="16"/>
      <w:szCs w:val="16"/>
    </w:rPr>
  </w:style>
  <w:style w:type="character" w:customStyle="1" w:styleId="ZhlavChar">
    <w:name w:val="Záhlaví Char"/>
    <w:basedOn w:val="Standardnpsmoodstavce"/>
    <w:link w:val="Zhlav"/>
    <w:uiPriority w:val="99"/>
    <w:locked/>
    <w:rsid w:val="00E421C0"/>
    <w:rPr>
      <w:rFonts w:ascii="Arial" w:hAnsi="Arial" w:cs="Arial"/>
      <w:sz w:val="24"/>
      <w:szCs w:val="24"/>
    </w:rPr>
  </w:style>
  <w:style w:type="paragraph" w:styleId="Zpat">
    <w:name w:val="footer"/>
    <w:basedOn w:val="Normln"/>
    <w:link w:val="ZpatChar"/>
    <w:uiPriority w:val="99"/>
    <w:rsid w:val="008C3FA4"/>
    <w:pPr>
      <w:tabs>
        <w:tab w:val="center" w:pos="4703"/>
        <w:tab w:val="right" w:pos="9406"/>
      </w:tabs>
    </w:pPr>
  </w:style>
  <w:style w:type="character" w:customStyle="1" w:styleId="ZpatChar">
    <w:name w:val="Zápatí Char"/>
    <w:basedOn w:val="Standardnpsmoodstavce"/>
    <w:link w:val="Zpat"/>
    <w:uiPriority w:val="99"/>
    <w:locked/>
    <w:rsid w:val="004A531E"/>
    <w:rPr>
      <w:sz w:val="24"/>
      <w:szCs w:val="24"/>
    </w:rPr>
  </w:style>
  <w:style w:type="character" w:styleId="slostrnky">
    <w:name w:val="page number"/>
    <w:basedOn w:val="Standardnpsmoodstavce"/>
    <w:uiPriority w:val="99"/>
    <w:rsid w:val="00E421C0"/>
    <w:rPr>
      <w:rFonts w:ascii="Arial" w:hAnsi="Arial" w:cs="Arial"/>
      <w:sz w:val="16"/>
      <w:szCs w:val="16"/>
    </w:rPr>
  </w:style>
  <w:style w:type="paragraph" w:styleId="Obsah1">
    <w:name w:val="toc 1"/>
    <w:basedOn w:val="Normln"/>
    <w:next w:val="Normln"/>
    <w:autoRedefine/>
    <w:uiPriority w:val="39"/>
    <w:rsid w:val="00D34C27"/>
    <w:pPr>
      <w:spacing w:after="240"/>
      <w:ind w:left="720" w:hanging="720"/>
    </w:pPr>
    <w:rPr>
      <w:sz w:val="24"/>
      <w:szCs w:val="24"/>
    </w:rPr>
  </w:style>
  <w:style w:type="paragraph" w:styleId="Obsah2">
    <w:name w:val="toc 2"/>
    <w:basedOn w:val="Normln"/>
    <w:next w:val="Normln"/>
    <w:autoRedefine/>
    <w:uiPriority w:val="39"/>
    <w:rsid w:val="00D34C27"/>
    <w:pPr>
      <w:spacing w:after="240"/>
      <w:ind w:left="958" w:hanging="720"/>
    </w:pPr>
    <w:rPr>
      <w:sz w:val="24"/>
      <w:szCs w:val="24"/>
    </w:rPr>
  </w:style>
  <w:style w:type="paragraph" w:styleId="Obsah3">
    <w:name w:val="toc 3"/>
    <w:basedOn w:val="Normln"/>
    <w:next w:val="Normln"/>
    <w:autoRedefine/>
    <w:uiPriority w:val="39"/>
    <w:rsid w:val="00D34C27"/>
    <w:pPr>
      <w:spacing w:after="240"/>
      <w:ind w:left="1202" w:hanging="720"/>
    </w:pPr>
    <w:rPr>
      <w:sz w:val="24"/>
      <w:szCs w:val="24"/>
    </w:rPr>
  </w:style>
  <w:style w:type="character" w:styleId="Hypertextovodkaz">
    <w:name w:val="Hyperlink"/>
    <w:basedOn w:val="Standardnpsmoodstavce"/>
    <w:uiPriority w:val="99"/>
    <w:rsid w:val="00481E83"/>
    <w:rPr>
      <w:rFonts w:ascii="Arial" w:hAnsi="Arial" w:cs="Arial"/>
      <w:color w:val="00A1DE"/>
      <w:sz w:val="19"/>
      <w:szCs w:val="19"/>
      <w:u w:val="single"/>
    </w:rPr>
  </w:style>
  <w:style w:type="paragraph" w:styleId="Textbubliny">
    <w:name w:val="Balloon Text"/>
    <w:basedOn w:val="Normln"/>
    <w:link w:val="TextbublinyChar"/>
    <w:uiPriority w:val="99"/>
    <w:semiHidden/>
    <w:rsid w:val="00392FE4"/>
    <w:rPr>
      <w:rFonts w:ascii="Tahoma" w:hAnsi="Tahoma" w:cs="Tahoma"/>
      <w:sz w:val="16"/>
      <w:szCs w:val="16"/>
    </w:rPr>
  </w:style>
  <w:style w:type="character" w:customStyle="1" w:styleId="TextbublinyChar">
    <w:name w:val="Text bubliny Char"/>
    <w:basedOn w:val="Standardnpsmoodstavce"/>
    <w:link w:val="Textbubliny"/>
    <w:uiPriority w:val="99"/>
    <w:semiHidden/>
    <w:locked/>
    <w:rsid w:val="00283E62"/>
    <w:rPr>
      <w:rFonts w:ascii="Tahoma" w:hAnsi="Tahoma" w:cs="Tahoma"/>
      <w:sz w:val="16"/>
      <w:szCs w:val="16"/>
      <w:lang w:val="en-GB" w:eastAsia="x-none"/>
    </w:rPr>
  </w:style>
  <w:style w:type="paragraph" w:customStyle="1" w:styleId="BodyText1">
    <w:name w:val="Body Text1"/>
    <w:link w:val="BodytextChar"/>
    <w:uiPriority w:val="99"/>
    <w:rsid w:val="00E42491"/>
    <w:pPr>
      <w:spacing w:after="0" w:line="240" w:lineRule="auto"/>
    </w:pPr>
    <w:rPr>
      <w:rFonts w:ascii="Arial" w:hAnsi="Arial" w:cs="Arial"/>
      <w:color w:val="000000"/>
      <w:sz w:val="19"/>
      <w:szCs w:val="19"/>
      <w:lang w:val="en-GB" w:eastAsia="en-GB"/>
    </w:rPr>
  </w:style>
  <w:style w:type="paragraph" w:customStyle="1" w:styleId="Legalentity">
    <w:name w:val="Legal entity"/>
    <w:basedOn w:val="Normln"/>
    <w:uiPriority w:val="99"/>
    <w:rsid w:val="00075C1E"/>
    <w:pPr>
      <w:widowControl w:val="0"/>
      <w:suppressAutoHyphens/>
      <w:autoSpaceDE w:val="0"/>
      <w:autoSpaceDN w:val="0"/>
      <w:adjustRightInd w:val="0"/>
      <w:spacing w:after="90" w:line="180" w:lineRule="atLeast"/>
      <w:textAlignment w:val="center"/>
    </w:pPr>
    <w:rPr>
      <w:color w:val="000000"/>
      <w:sz w:val="15"/>
      <w:szCs w:val="15"/>
    </w:rPr>
  </w:style>
  <w:style w:type="paragraph" w:customStyle="1" w:styleId="smlouvaheading1">
    <w:name w:val="smlouva heading 1"/>
    <w:next w:val="BodyText1"/>
    <w:uiPriority w:val="99"/>
    <w:rsid w:val="00D74931"/>
    <w:pPr>
      <w:numPr>
        <w:numId w:val="4"/>
      </w:numPr>
      <w:tabs>
        <w:tab w:val="left" w:pos="357"/>
      </w:tabs>
      <w:spacing w:before="120" w:after="120" w:line="240" w:lineRule="auto"/>
      <w:ind w:left="357" w:hanging="357"/>
    </w:pPr>
    <w:rPr>
      <w:rFonts w:ascii="Arial" w:hAnsi="Arial" w:cs="Arial"/>
      <w:b/>
      <w:bCs/>
      <w:noProof/>
      <w:color w:val="000000"/>
      <w:sz w:val="19"/>
      <w:szCs w:val="19"/>
      <w:lang w:val="en-GB" w:eastAsia="en-GB"/>
    </w:rPr>
  </w:style>
  <w:style w:type="paragraph" w:customStyle="1" w:styleId="CaptionIntroductionparagraph">
    <w:name w:val="Caption Introduction paragraph"/>
    <w:uiPriority w:val="99"/>
    <w:rsid w:val="00E0742A"/>
    <w:pPr>
      <w:spacing w:after="120" w:line="240" w:lineRule="auto"/>
    </w:pPr>
    <w:rPr>
      <w:rFonts w:ascii="Arial" w:hAnsi="Arial" w:cs="Arial"/>
      <w:b/>
      <w:bCs/>
      <w:color w:val="00A1DE"/>
      <w:sz w:val="24"/>
      <w:szCs w:val="24"/>
      <w:lang w:val="en-GB" w:eastAsia="en-GB"/>
    </w:rPr>
  </w:style>
  <w:style w:type="paragraph" w:customStyle="1" w:styleId="smlouvaheading2">
    <w:name w:val="smlouva heading 2"/>
    <w:basedOn w:val="CaptionIntroductionparagraph"/>
    <w:next w:val="BodyText1"/>
    <w:uiPriority w:val="99"/>
    <w:rsid w:val="00D74931"/>
    <w:pPr>
      <w:numPr>
        <w:ilvl w:val="1"/>
        <w:numId w:val="4"/>
      </w:numPr>
      <w:tabs>
        <w:tab w:val="left" w:pos="567"/>
      </w:tabs>
      <w:ind w:left="567" w:hanging="567"/>
    </w:pPr>
    <w:rPr>
      <w:b w:val="0"/>
      <w:bCs w:val="0"/>
      <w:color w:val="000000"/>
      <w:sz w:val="19"/>
      <w:szCs w:val="19"/>
    </w:rPr>
  </w:style>
  <w:style w:type="paragraph" w:customStyle="1" w:styleId="smlouvaheading3">
    <w:name w:val="smlouva heading 3"/>
    <w:basedOn w:val="smlouvaheading2"/>
    <w:next w:val="BodyText1"/>
    <w:uiPriority w:val="99"/>
    <w:rsid w:val="00D74931"/>
    <w:pPr>
      <w:numPr>
        <w:ilvl w:val="2"/>
      </w:numPr>
      <w:tabs>
        <w:tab w:val="clear" w:pos="567"/>
        <w:tab w:val="left" w:pos="794"/>
      </w:tabs>
      <w:ind w:left="794" w:hanging="794"/>
    </w:pPr>
  </w:style>
  <w:style w:type="paragraph" w:customStyle="1" w:styleId="smlouvaheading4">
    <w:name w:val="smlouva heading 4"/>
    <w:basedOn w:val="smlouvaheading3"/>
    <w:next w:val="BodyText1"/>
    <w:uiPriority w:val="99"/>
    <w:rsid w:val="00D74931"/>
    <w:pPr>
      <w:numPr>
        <w:ilvl w:val="3"/>
      </w:numPr>
      <w:tabs>
        <w:tab w:val="clear" w:pos="794"/>
        <w:tab w:val="left" w:pos="1021"/>
      </w:tabs>
      <w:ind w:left="1021" w:hanging="1021"/>
    </w:pPr>
    <w:rPr>
      <w:color w:val="auto"/>
    </w:rPr>
  </w:style>
  <w:style w:type="paragraph" w:customStyle="1" w:styleId="smlouvabodytextbold">
    <w:name w:val="smlouva body text bold"/>
    <w:basedOn w:val="smlouvaheading4"/>
    <w:next w:val="BodyText1"/>
    <w:uiPriority w:val="99"/>
    <w:rsid w:val="00F433F7"/>
    <w:pPr>
      <w:numPr>
        <w:ilvl w:val="0"/>
        <w:numId w:val="0"/>
      </w:numPr>
    </w:pPr>
    <w:rPr>
      <w:b/>
      <w:bCs/>
    </w:rPr>
  </w:style>
  <w:style w:type="paragraph" w:customStyle="1" w:styleId="Bodytextbold">
    <w:name w:val="Body text bold"/>
    <w:basedOn w:val="smlouvabodytextbold"/>
    <w:next w:val="BodyText1"/>
    <w:uiPriority w:val="99"/>
    <w:rsid w:val="00075C1E"/>
    <w:pPr>
      <w:tabs>
        <w:tab w:val="clear" w:pos="1021"/>
        <w:tab w:val="left" w:pos="1134"/>
      </w:tabs>
    </w:pPr>
    <w:rPr>
      <w:color w:val="000000"/>
    </w:rPr>
  </w:style>
  <w:style w:type="character" w:customStyle="1" w:styleId="CaptionbodyChar">
    <w:name w:val="Caption body Char"/>
    <w:link w:val="Captionbody"/>
    <w:uiPriority w:val="99"/>
    <w:locked/>
    <w:rsid w:val="005B4CAD"/>
    <w:rPr>
      <w:rFonts w:ascii="Arial" w:hAnsi="Arial" w:cs="Arial"/>
      <w:color w:val="000000"/>
      <w:sz w:val="18"/>
      <w:szCs w:val="18"/>
    </w:rPr>
  </w:style>
  <w:style w:type="paragraph" w:customStyle="1" w:styleId="Captionbody">
    <w:name w:val="Caption body"/>
    <w:link w:val="CaptionbodyChar"/>
    <w:uiPriority w:val="99"/>
    <w:rsid w:val="005B4CAD"/>
    <w:pPr>
      <w:spacing w:after="0" w:line="240" w:lineRule="auto"/>
    </w:pPr>
    <w:rPr>
      <w:rFonts w:ascii="Arial" w:hAnsi="Arial" w:cs="Arial"/>
      <w:color w:val="000000"/>
      <w:sz w:val="18"/>
      <w:szCs w:val="18"/>
      <w:lang w:val="en-GB" w:eastAsia="en-GB"/>
    </w:rPr>
  </w:style>
  <w:style w:type="paragraph" w:customStyle="1" w:styleId="Captionheading">
    <w:name w:val="Caption heading"/>
    <w:basedOn w:val="Captionbody"/>
    <w:uiPriority w:val="99"/>
    <w:rsid w:val="005B4CAD"/>
    <w:rPr>
      <w:b/>
      <w:bCs/>
    </w:rPr>
  </w:style>
  <w:style w:type="paragraph" w:customStyle="1" w:styleId="smlouvabodytext">
    <w:name w:val="smlouva body text"/>
    <w:basedOn w:val="Normln"/>
    <w:uiPriority w:val="99"/>
    <w:rsid w:val="00F433F7"/>
    <w:rPr>
      <w:noProof/>
    </w:rPr>
  </w:style>
  <w:style w:type="paragraph" w:customStyle="1" w:styleId="Bulletslevel1">
    <w:name w:val="Bullets level 1"/>
    <w:basedOn w:val="Normln"/>
    <w:link w:val="Bulletslevel1Char"/>
    <w:uiPriority w:val="99"/>
    <w:rsid w:val="00075C1E"/>
    <w:pPr>
      <w:numPr>
        <w:numId w:val="1"/>
      </w:numPr>
      <w:spacing w:before="120"/>
      <w:ind w:left="360"/>
    </w:pPr>
    <w:rPr>
      <w:color w:val="000000"/>
    </w:rPr>
  </w:style>
  <w:style w:type="character" w:customStyle="1" w:styleId="Bulletslevel1Char">
    <w:name w:val="Bullets level 1 Char"/>
    <w:link w:val="Bulletslevel1"/>
    <w:uiPriority w:val="99"/>
    <w:locked/>
    <w:rsid w:val="001C2EF4"/>
    <w:rPr>
      <w:rFonts w:ascii="Arial" w:hAnsi="Arial" w:cs="Arial"/>
      <w:color w:val="000000"/>
      <w:sz w:val="19"/>
      <w:szCs w:val="19"/>
      <w:lang w:val="en-GB" w:eastAsia="en-GB"/>
    </w:rPr>
  </w:style>
  <w:style w:type="paragraph" w:customStyle="1" w:styleId="Bulletslevel2">
    <w:name w:val="Bullets level 2"/>
    <w:basedOn w:val="Normln"/>
    <w:link w:val="Bulletslevel2Char"/>
    <w:uiPriority w:val="99"/>
    <w:rsid w:val="00DC6C4A"/>
    <w:pPr>
      <w:numPr>
        <w:numId w:val="3"/>
      </w:numPr>
      <w:tabs>
        <w:tab w:val="left" w:pos="567"/>
      </w:tabs>
      <w:spacing w:before="120"/>
    </w:pPr>
    <w:rPr>
      <w:color w:val="000000"/>
    </w:rPr>
  </w:style>
  <w:style w:type="character" w:customStyle="1" w:styleId="Bulletslevel2Char">
    <w:name w:val="Bullets level 2 Char"/>
    <w:link w:val="Bulletslevel2"/>
    <w:uiPriority w:val="99"/>
    <w:locked/>
    <w:rsid w:val="00DC6C4A"/>
    <w:rPr>
      <w:rFonts w:ascii="Arial" w:hAnsi="Arial" w:cs="Arial"/>
      <w:color w:val="000000"/>
      <w:sz w:val="19"/>
      <w:szCs w:val="19"/>
      <w:lang w:val="en-GB" w:eastAsia="en-GB"/>
    </w:rPr>
  </w:style>
  <w:style w:type="paragraph" w:customStyle="1" w:styleId="PulloutQuote">
    <w:name w:val="Pullout Quote"/>
    <w:uiPriority w:val="99"/>
    <w:rsid w:val="00095956"/>
    <w:pPr>
      <w:pBdr>
        <w:top w:val="single" w:sz="4" w:space="4" w:color="00A1DE"/>
      </w:pBdr>
      <w:suppressAutoHyphens/>
      <w:spacing w:after="0" w:line="320" w:lineRule="exact"/>
    </w:pPr>
    <w:rPr>
      <w:rFonts w:ascii="Arial" w:hAnsi="Arial" w:cs="Arial"/>
      <w:color w:val="00A1DE"/>
      <w:sz w:val="32"/>
      <w:szCs w:val="32"/>
      <w:lang w:val="en-GB" w:eastAsia="en-GB"/>
    </w:rPr>
  </w:style>
  <w:style w:type="paragraph" w:customStyle="1" w:styleId="Highlight1">
    <w:name w:val="Highlight 1"/>
    <w:basedOn w:val="Obsah1"/>
    <w:uiPriority w:val="99"/>
    <w:rsid w:val="001D663A"/>
    <w:pPr>
      <w:tabs>
        <w:tab w:val="left" w:pos="482"/>
        <w:tab w:val="right" w:leader="dot" w:pos="9061"/>
      </w:tabs>
      <w:spacing w:before="120" w:after="120"/>
    </w:pPr>
    <w:rPr>
      <w:b/>
      <w:bCs/>
      <w:color w:val="3C8A2E"/>
      <w:sz w:val="20"/>
      <w:szCs w:val="20"/>
    </w:rPr>
  </w:style>
  <w:style w:type="paragraph" w:customStyle="1" w:styleId="Highlight2">
    <w:name w:val="Highlight 2"/>
    <w:basedOn w:val="Normln"/>
    <w:uiPriority w:val="99"/>
    <w:rsid w:val="00D34C27"/>
    <w:rPr>
      <w:b/>
      <w:bCs/>
      <w:color w:val="92D400"/>
      <w:sz w:val="20"/>
      <w:szCs w:val="20"/>
    </w:rPr>
  </w:style>
  <w:style w:type="table" w:customStyle="1" w:styleId="Deloittetable1">
    <w:name w:val="Deloitte table 1"/>
    <w:uiPriority w:val="99"/>
    <w:rsid w:val="00A40230"/>
    <w:pPr>
      <w:spacing w:after="0" w:line="240" w:lineRule="auto"/>
    </w:pPr>
    <w:rPr>
      <w:rFonts w:ascii="Arial" w:hAnsi="Arial" w:cs="Arial"/>
      <w:sz w:val="19"/>
      <w:szCs w:val="19"/>
    </w:rPr>
    <w:tblPr>
      <w:tblBorders>
        <w:bottom w:val="single" w:sz="4" w:space="0" w:color="92D400"/>
        <w:insideH w:val="single" w:sz="4" w:space="0" w:color="92D400"/>
      </w:tblBorders>
      <w:tblCellMar>
        <w:top w:w="28" w:type="dxa"/>
        <w:left w:w="28" w:type="dxa"/>
        <w:bottom w:w="28" w:type="dxa"/>
        <w:right w:w="28" w:type="dxa"/>
      </w:tblCellMar>
    </w:tblPr>
    <w:tcPr>
      <w:shd w:val="clear" w:color="auto" w:fill="FFFFFF"/>
    </w:tcPr>
  </w:style>
  <w:style w:type="paragraph" w:styleId="Obsah4">
    <w:name w:val="toc 4"/>
    <w:basedOn w:val="Normln"/>
    <w:next w:val="Normln"/>
    <w:autoRedefine/>
    <w:uiPriority w:val="99"/>
    <w:semiHidden/>
    <w:rsid w:val="00CB0293"/>
    <w:pPr>
      <w:spacing w:after="240"/>
      <w:ind w:left="720"/>
    </w:pPr>
  </w:style>
  <w:style w:type="table" w:customStyle="1" w:styleId="Deloittetable2">
    <w:name w:val="Deloitte table 2"/>
    <w:uiPriority w:val="99"/>
    <w:rsid w:val="00A40230"/>
    <w:pPr>
      <w:spacing w:after="0" w:line="240" w:lineRule="auto"/>
    </w:pPr>
    <w:rPr>
      <w:rFonts w:ascii="Arial" w:hAnsi="Arial" w:cs="Arial"/>
      <w:sz w:val="19"/>
      <w:szCs w:val="19"/>
    </w:rPr>
    <w:tblPr>
      <w:tblBorders>
        <w:bottom w:val="single" w:sz="4" w:space="0" w:color="00A1DE"/>
        <w:insideH w:val="single" w:sz="4" w:space="0" w:color="00A1DE"/>
      </w:tblBorders>
      <w:tblCellMar>
        <w:top w:w="28" w:type="dxa"/>
        <w:left w:w="28" w:type="dxa"/>
        <w:bottom w:w="28" w:type="dxa"/>
        <w:right w:w="28" w:type="dxa"/>
      </w:tblCellMar>
    </w:tblPr>
    <w:tcPr>
      <w:shd w:val="clear" w:color="auto" w:fill="FFFFFF"/>
    </w:tcPr>
  </w:style>
  <w:style w:type="table" w:styleId="Tabulkasprostorovmiefekty1">
    <w:name w:val="Table 3D effects 1"/>
    <w:basedOn w:val="Normlntabulka"/>
    <w:uiPriority w:val="99"/>
    <w:rsid w:val="00CE00BE"/>
    <w:pPr>
      <w:spacing w:after="0" w:line="240" w:lineRule="auto"/>
    </w:pPr>
    <w:rPr>
      <w:rFonts w:ascii="Arial" w:hAnsi="Arial" w:cs="Arial"/>
      <w:sz w:val="20"/>
      <w:szCs w:val="20"/>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Deloittetable4">
    <w:name w:val="Deloitte table 4"/>
    <w:uiPriority w:val="99"/>
    <w:rsid w:val="00A40230"/>
    <w:pPr>
      <w:spacing w:after="0" w:line="240" w:lineRule="auto"/>
    </w:pPr>
    <w:rPr>
      <w:rFonts w:ascii="Arial" w:hAnsi="Arial" w:cs="Arial"/>
      <w:sz w:val="19"/>
      <w:szCs w:val="19"/>
    </w:rPr>
    <w:tblPr>
      <w:tblBorders>
        <w:bottom w:val="single" w:sz="4" w:space="0" w:color="3C8A2E"/>
        <w:insideH w:val="single" w:sz="4" w:space="0" w:color="3C8A2E"/>
      </w:tblBorders>
      <w:tblCellMar>
        <w:top w:w="28" w:type="dxa"/>
        <w:left w:w="28" w:type="dxa"/>
        <w:bottom w:w="28" w:type="dxa"/>
        <w:right w:w="28" w:type="dxa"/>
      </w:tblCellMar>
    </w:tblPr>
  </w:style>
  <w:style w:type="table" w:customStyle="1" w:styleId="Deloittetable5">
    <w:name w:val="Deloitte table 5"/>
    <w:uiPriority w:val="99"/>
    <w:rsid w:val="00A40230"/>
    <w:pPr>
      <w:spacing w:after="0" w:line="240" w:lineRule="auto"/>
    </w:pPr>
    <w:rPr>
      <w:rFonts w:ascii="Arial" w:hAnsi="Arial" w:cs="Arial"/>
      <w:sz w:val="19"/>
      <w:szCs w:val="19"/>
    </w:rPr>
    <w:tblPr>
      <w:tblBorders>
        <w:bottom w:val="single" w:sz="4" w:space="0" w:color="C9DD03"/>
        <w:insideH w:val="single" w:sz="4" w:space="0" w:color="C9DD03"/>
      </w:tblBorders>
      <w:tblCellMar>
        <w:top w:w="28" w:type="dxa"/>
        <w:left w:w="28" w:type="dxa"/>
        <w:bottom w:w="28" w:type="dxa"/>
        <w:right w:w="28" w:type="dxa"/>
      </w:tblCellMar>
    </w:tblPr>
    <w:tcPr>
      <w:shd w:val="clear" w:color="auto" w:fill="FFFFFF"/>
    </w:tcPr>
  </w:style>
  <w:style w:type="table" w:customStyle="1" w:styleId="Style1">
    <w:name w:val="Style1"/>
    <w:uiPriority w:val="99"/>
    <w:rsid w:val="00CE00BE"/>
    <w:pPr>
      <w:spacing w:after="0" w:line="240" w:lineRule="auto"/>
    </w:pPr>
    <w:rPr>
      <w:rFonts w:ascii="Arial" w:hAnsi="Arial" w:cs="Arial"/>
      <w:sz w:val="19"/>
      <w:szCs w:val="19"/>
    </w:rPr>
    <w:tblPr>
      <w:tblCellMar>
        <w:top w:w="0" w:type="dxa"/>
        <w:left w:w="108" w:type="dxa"/>
        <w:bottom w:w="0" w:type="dxa"/>
        <w:right w:w="108" w:type="dxa"/>
      </w:tblCellMar>
    </w:tblPr>
  </w:style>
  <w:style w:type="table" w:customStyle="1" w:styleId="Deloittetable6">
    <w:name w:val="Deloitte table 6"/>
    <w:uiPriority w:val="99"/>
    <w:rsid w:val="00A40230"/>
    <w:pPr>
      <w:spacing w:after="0" w:line="240" w:lineRule="auto"/>
    </w:pPr>
    <w:rPr>
      <w:rFonts w:ascii="Arial" w:hAnsi="Arial" w:cs="Arial"/>
      <w:sz w:val="19"/>
      <w:szCs w:val="19"/>
    </w:rPr>
    <w:tblPr>
      <w:tblBorders>
        <w:bottom w:val="single" w:sz="4" w:space="0" w:color="52D0FF"/>
        <w:insideH w:val="single" w:sz="4" w:space="0" w:color="52D0FF"/>
      </w:tblBorders>
      <w:tblCellMar>
        <w:top w:w="28" w:type="dxa"/>
        <w:left w:w="28" w:type="dxa"/>
        <w:bottom w:w="28" w:type="dxa"/>
        <w:right w:w="28" w:type="dxa"/>
      </w:tblCellMar>
    </w:tblPr>
    <w:tcPr>
      <w:shd w:val="clear" w:color="auto" w:fill="FFFFFF"/>
    </w:tcPr>
  </w:style>
  <w:style w:type="table" w:customStyle="1" w:styleId="Deloittetable7">
    <w:name w:val="Deloitte table 7"/>
    <w:uiPriority w:val="99"/>
    <w:rsid w:val="00A40230"/>
    <w:pPr>
      <w:spacing w:after="0" w:line="240" w:lineRule="auto"/>
    </w:pPr>
    <w:rPr>
      <w:rFonts w:ascii="Arial" w:hAnsi="Arial" w:cs="Arial"/>
      <w:sz w:val="19"/>
      <w:szCs w:val="19"/>
    </w:rPr>
    <w:tblPr>
      <w:tblBorders>
        <w:bottom w:val="single" w:sz="4" w:space="0" w:color="2D6823"/>
        <w:insideH w:val="single" w:sz="4" w:space="0" w:color="2D6823"/>
      </w:tblBorders>
      <w:tblCellMar>
        <w:top w:w="28" w:type="dxa"/>
        <w:left w:w="28" w:type="dxa"/>
        <w:bottom w:w="28" w:type="dxa"/>
        <w:right w:w="28" w:type="dxa"/>
      </w:tblCellMar>
    </w:tblPr>
    <w:tcPr>
      <w:shd w:val="clear" w:color="auto" w:fill="FFFFFF"/>
    </w:tcPr>
  </w:style>
  <w:style w:type="table" w:styleId="Tabulkasprostorovmiefekty3">
    <w:name w:val="Table 3D effects 3"/>
    <w:basedOn w:val="Normlntabulka"/>
    <w:uiPriority w:val="99"/>
    <w:rsid w:val="00CE00BE"/>
    <w:pPr>
      <w:spacing w:after="0" w:line="240" w:lineRule="auto"/>
    </w:pPr>
    <w:rPr>
      <w:rFonts w:ascii="Arial" w:hAnsi="Arial" w:cs="Arial"/>
      <w:sz w:val="20"/>
      <w:szCs w:val="20"/>
    </w:rPr>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Deloittetable8">
    <w:name w:val="Deloitte table 8"/>
    <w:uiPriority w:val="99"/>
    <w:rsid w:val="006F2C90"/>
    <w:pPr>
      <w:spacing w:after="0" w:line="240" w:lineRule="auto"/>
    </w:pPr>
    <w:rPr>
      <w:rFonts w:ascii="Arial" w:hAnsi="Arial" w:cs="Arial"/>
      <w:sz w:val="19"/>
      <w:szCs w:val="19"/>
    </w:rPr>
    <w:tblPr>
      <w:tblBorders>
        <w:top w:val="single" w:sz="4" w:space="0" w:color="2D6823"/>
        <w:bottom w:val="single" w:sz="4" w:space="0" w:color="2D6823"/>
        <w:insideH w:val="single" w:sz="4" w:space="0" w:color="2D6823"/>
      </w:tblBorders>
      <w:tblCellMar>
        <w:top w:w="28" w:type="dxa"/>
        <w:left w:w="28" w:type="dxa"/>
        <w:bottom w:w="28" w:type="dxa"/>
        <w:right w:w="28" w:type="dxa"/>
      </w:tblCellMar>
    </w:tblPr>
  </w:style>
  <w:style w:type="table" w:customStyle="1" w:styleId="Deloittetable81">
    <w:name w:val="Deloitte table 8.1"/>
    <w:uiPriority w:val="99"/>
    <w:rsid w:val="006F2C90"/>
    <w:pPr>
      <w:spacing w:after="0" w:line="240" w:lineRule="auto"/>
    </w:pPr>
    <w:rPr>
      <w:rFonts w:ascii="Arial" w:hAnsi="Arial" w:cs="Arial"/>
      <w:sz w:val="19"/>
      <w:szCs w:val="19"/>
    </w:rPr>
    <w:tblPr>
      <w:tblBorders>
        <w:top w:val="single" w:sz="4" w:space="0" w:color="92D400"/>
        <w:bottom w:val="single" w:sz="4" w:space="0" w:color="92D400"/>
        <w:insideH w:val="single" w:sz="4" w:space="0" w:color="92D400"/>
      </w:tblBorders>
      <w:tblCellMar>
        <w:top w:w="28" w:type="dxa"/>
        <w:left w:w="28" w:type="dxa"/>
        <w:bottom w:w="28" w:type="dxa"/>
        <w:right w:w="28" w:type="dxa"/>
      </w:tblCellMar>
    </w:tblPr>
    <w:tcPr>
      <w:shd w:val="clear" w:color="auto" w:fill="FFFFFF"/>
    </w:tcPr>
  </w:style>
  <w:style w:type="table" w:customStyle="1" w:styleId="Deloittetable82">
    <w:name w:val="Deloitte table 8.2"/>
    <w:uiPriority w:val="99"/>
    <w:rsid w:val="006F6C05"/>
    <w:pPr>
      <w:spacing w:after="0" w:line="240" w:lineRule="auto"/>
    </w:pPr>
    <w:rPr>
      <w:rFonts w:ascii="Arial" w:hAnsi="Arial" w:cs="Arial"/>
      <w:sz w:val="19"/>
      <w:szCs w:val="19"/>
    </w:rPr>
    <w:tblPr>
      <w:tblBorders>
        <w:top w:val="single" w:sz="4" w:space="0" w:color="00A1DE"/>
        <w:bottom w:val="single" w:sz="4" w:space="0" w:color="00A1DE"/>
        <w:insideH w:val="single" w:sz="4" w:space="0" w:color="00A1DE"/>
      </w:tblBorders>
      <w:tblCellMar>
        <w:top w:w="28" w:type="dxa"/>
        <w:left w:w="28" w:type="dxa"/>
        <w:bottom w:w="28" w:type="dxa"/>
        <w:right w:w="28" w:type="dxa"/>
      </w:tblCellMar>
    </w:tblPr>
    <w:tcPr>
      <w:shd w:val="clear" w:color="auto" w:fill="FFFFFF"/>
    </w:tcPr>
  </w:style>
  <w:style w:type="table" w:customStyle="1" w:styleId="Deloittetable83">
    <w:name w:val="Deloitte table 8.3"/>
    <w:uiPriority w:val="99"/>
    <w:rsid w:val="006F6C05"/>
    <w:pPr>
      <w:spacing w:after="0" w:line="240" w:lineRule="auto"/>
    </w:pPr>
    <w:rPr>
      <w:rFonts w:ascii="Arial" w:hAnsi="Arial" w:cs="Arial"/>
      <w:sz w:val="19"/>
      <w:szCs w:val="19"/>
    </w:rPr>
    <w:tblPr>
      <w:tblBorders>
        <w:top w:val="single" w:sz="4" w:space="0" w:color="72C7E7"/>
        <w:bottom w:val="single" w:sz="4" w:space="0" w:color="72C7E7"/>
        <w:insideH w:val="single" w:sz="4" w:space="0" w:color="72C7E7"/>
      </w:tblBorders>
      <w:tblCellMar>
        <w:top w:w="28" w:type="dxa"/>
        <w:left w:w="28" w:type="dxa"/>
        <w:bottom w:w="28" w:type="dxa"/>
        <w:right w:w="28" w:type="dxa"/>
      </w:tblCellMar>
    </w:tblPr>
    <w:tcPr>
      <w:shd w:val="clear" w:color="auto" w:fill="FFFFFF"/>
    </w:tcPr>
  </w:style>
  <w:style w:type="table" w:customStyle="1" w:styleId="Deloittetable84">
    <w:name w:val="Deloitte table 8.4"/>
    <w:uiPriority w:val="99"/>
    <w:rsid w:val="006F6C05"/>
    <w:pPr>
      <w:spacing w:after="0" w:line="240" w:lineRule="auto"/>
    </w:pPr>
    <w:rPr>
      <w:rFonts w:ascii="Arial" w:hAnsi="Arial" w:cs="Arial"/>
      <w:sz w:val="19"/>
      <w:szCs w:val="19"/>
    </w:rPr>
    <w:tblPr>
      <w:tblBorders>
        <w:top w:val="single" w:sz="4" w:space="0" w:color="3C8A2E"/>
        <w:bottom w:val="single" w:sz="4" w:space="0" w:color="3C8A2E"/>
        <w:insideH w:val="single" w:sz="4" w:space="0" w:color="3C8A2E"/>
      </w:tblBorders>
      <w:tblCellMar>
        <w:top w:w="28" w:type="dxa"/>
        <w:left w:w="28" w:type="dxa"/>
        <w:bottom w:w="28" w:type="dxa"/>
        <w:right w:w="28" w:type="dxa"/>
      </w:tblCellMar>
    </w:tblPr>
    <w:tcPr>
      <w:shd w:val="clear" w:color="auto" w:fill="FFFFFF"/>
    </w:tcPr>
  </w:style>
  <w:style w:type="table" w:customStyle="1" w:styleId="Deloittetable85">
    <w:name w:val="Deloitte table 8.5"/>
    <w:uiPriority w:val="99"/>
    <w:rsid w:val="006F6C05"/>
    <w:pPr>
      <w:spacing w:after="0" w:line="240" w:lineRule="auto"/>
    </w:pPr>
    <w:rPr>
      <w:rFonts w:ascii="Arial" w:hAnsi="Arial" w:cs="Arial"/>
      <w:sz w:val="19"/>
      <w:szCs w:val="19"/>
    </w:rPr>
    <w:tblPr>
      <w:tblBorders>
        <w:top w:val="single" w:sz="4" w:space="0" w:color="C9DD03"/>
        <w:bottom w:val="single" w:sz="4" w:space="0" w:color="C9DD03"/>
        <w:insideH w:val="single" w:sz="4" w:space="0" w:color="C9DD03"/>
      </w:tblBorders>
      <w:tblCellMar>
        <w:top w:w="28" w:type="dxa"/>
        <w:left w:w="28" w:type="dxa"/>
        <w:bottom w:w="28" w:type="dxa"/>
        <w:right w:w="28" w:type="dxa"/>
      </w:tblCellMar>
    </w:tblPr>
    <w:tcPr>
      <w:shd w:val="clear" w:color="auto" w:fill="FFFFFF"/>
    </w:tcPr>
  </w:style>
  <w:style w:type="table" w:customStyle="1" w:styleId="Deloittetable86">
    <w:name w:val="Deloitte table 8.6"/>
    <w:uiPriority w:val="99"/>
    <w:rsid w:val="006F6C05"/>
    <w:pPr>
      <w:spacing w:after="0" w:line="240" w:lineRule="auto"/>
    </w:pPr>
    <w:rPr>
      <w:rFonts w:ascii="Arial" w:hAnsi="Arial" w:cs="Arial"/>
      <w:sz w:val="19"/>
      <w:szCs w:val="19"/>
    </w:rPr>
    <w:tblPr>
      <w:tblBorders>
        <w:top w:val="single" w:sz="4" w:space="0" w:color="00A1DE"/>
        <w:bottom w:val="single" w:sz="4" w:space="0" w:color="00A1DE"/>
        <w:insideH w:val="single" w:sz="4" w:space="0" w:color="00A1DE"/>
      </w:tblBorders>
      <w:tblCellMar>
        <w:top w:w="28" w:type="dxa"/>
        <w:left w:w="28" w:type="dxa"/>
        <w:bottom w:w="28" w:type="dxa"/>
        <w:right w:w="28" w:type="dxa"/>
      </w:tblCellMar>
    </w:tblPr>
    <w:tcPr>
      <w:shd w:val="clear" w:color="auto" w:fill="FFFFFF"/>
    </w:tcPr>
  </w:style>
  <w:style w:type="table" w:styleId="Sloupcetabulky3">
    <w:name w:val="Table Columns 3"/>
    <w:basedOn w:val="Normlntabulka"/>
    <w:uiPriority w:val="99"/>
    <w:rsid w:val="00FE07E4"/>
    <w:pPr>
      <w:spacing w:after="0" w:line="240" w:lineRule="auto"/>
    </w:pPr>
    <w:rPr>
      <w:rFonts w:ascii="Arial" w:hAnsi="Arial" w:cs="Arial"/>
      <w:b/>
      <w:bCs/>
      <w:sz w:val="20"/>
      <w:szCs w:val="20"/>
    </w:rPr>
    <w:tblPr>
      <w:tblStyleColBandSize w:val="1"/>
      <w:tblInd w:w="0" w:type="nil"/>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Barevnseznamzvraznn4">
    <w:name w:val="Colorful List Accent 4"/>
    <w:basedOn w:val="Normlntabulka"/>
    <w:uiPriority w:val="99"/>
    <w:rsid w:val="00FE07E4"/>
    <w:pPr>
      <w:spacing w:after="0" w:line="240" w:lineRule="auto"/>
    </w:pPr>
    <w:rPr>
      <w:rFonts w:ascii="Arial" w:hAnsi="Arial" w:cs="Arial"/>
      <w:color w:val="000000"/>
      <w:sz w:val="20"/>
      <w:szCs w:val="20"/>
    </w:rPr>
    <w:tblPr>
      <w:tblStyleRowBandSize w:val="1"/>
      <w:tblStyleColBandSize w:val="1"/>
      <w:tblInd w:w="0" w:type="nil"/>
    </w:tblPr>
    <w:tcPr>
      <w:shd w:val="clear" w:color="auto" w:fill="F1F9FC"/>
    </w:tcPr>
    <w:tblStylePr w:type="firstRow">
      <w:rPr>
        <w:b/>
        <w:bCs/>
        <w:color w:val="FFFFFF"/>
      </w:rPr>
      <w:tblPr/>
      <w:tcPr>
        <w:tcBorders>
          <w:bottom w:val="single" w:sz="12" w:space="0" w:color="FFFFFF"/>
        </w:tcBorders>
        <w:shd w:val="clear" w:color="auto" w:fill="007FB1"/>
      </w:tcPr>
    </w:tblStylePr>
    <w:tblStylePr w:type="lastRow">
      <w:rPr>
        <w:b/>
        <w:bCs/>
        <w:color w:val="007FB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F1F9"/>
      </w:tcPr>
    </w:tblStylePr>
    <w:tblStylePr w:type="band1Horz">
      <w:tblPr/>
      <w:tcPr>
        <w:shd w:val="clear" w:color="auto" w:fill="E2F3FA"/>
      </w:tcPr>
    </w:tblStylePr>
  </w:style>
  <w:style w:type="table" w:styleId="Stednmka2zvraznn4">
    <w:name w:val="Medium Grid 2 Accent 4"/>
    <w:basedOn w:val="Normlntabulka"/>
    <w:uiPriority w:val="99"/>
    <w:rsid w:val="00FE07E4"/>
    <w:pPr>
      <w:spacing w:after="0" w:line="240" w:lineRule="auto"/>
    </w:pPr>
    <w:rPr>
      <w:rFonts w:ascii="Arial" w:hAnsi="Arial" w:cs="Arial"/>
      <w:color w:val="000000"/>
      <w:sz w:val="20"/>
      <w:szCs w:val="20"/>
    </w:rPr>
    <w:tblPr>
      <w:tblStyleRowBandSize w:val="1"/>
      <w:tblStyleColBandSize w:val="1"/>
      <w:tblInd w:w="0" w:type="nil"/>
      <w:tblBorders>
        <w:top w:val="single" w:sz="8" w:space="0" w:color="72C7E7"/>
        <w:left w:val="single" w:sz="8" w:space="0" w:color="72C7E7"/>
        <w:bottom w:val="single" w:sz="8" w:space="0" w:color="72C7E7"/>
        <w:right w:val="single" w:sz="8" w:space="0" w:color="72C7E7"/>
        <w:insideH w:val="single" w:sz="8" w:space="0" w:color="72C7E7"/>
        <w:insideV w:val="single" w:sz="8" w:space="0" w:color="72C7E7"/>
      </w:tblBorders>
    </w:tblPr>
    <w:tcPr>
      <w:shd w:val="clear" w:color="auto" w:fill="DBF1F9"/>
    </w:tcPr>
    <w:tblStylePr w:type="firstRow">
      <w:rPr>
        <w:b/>
        <w:bCs/>
        <w:color w:val="000000"/>
      </w:rPr>
      <w:tblPr/>
      <w:tcPr>
        <w:shd w:val="clear" w:color="auto" w:fill="F1F9F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F3FA"/>
      </w:tcPr>
    </w:tblStylePr>
    <w:tblStylePr w:type="band1Vert">
      <w:tblPr/>
      <w:tcPr>
        <w:shd w:val="clear" w:color="auto" w:fill="B8E2F3"/>
      </w:tcPr>
    </w:tblStylePr>
    <w:tblStylePr w:type="band1Horz">
      <w:tblPr/>
      <w:tcPr>
        <w:tcBorders>
          <w:insideH w:val="single" w:sz="6" w:space="0" w:color="72C7E7"/>
          <w:insideV w:val="single" w:sz="6" w:space="0" w:color="72C7E7"/>
        </w:tcBorders>
        <w:shd w:val="clear" w:color="auto" w:fill="B8E2F3"/>
      </w:tcPr>
    </w:tblStylePr>
    <w:tblStylePr w:type="nwCell">
      <w:tblPr/>
      <w:tcPr>
        <w:shd w:val="clear" w:color="auto" w:fill="FFFFFF"/>
      </w:tcPr>
    </w:tblStylePr>
  </w:style>
  <w:style w:type="character" w:customStyle="1" w:styleId="Nadpis6Char">
    <w:name w:val="Nadpis 6 Char"/>
    <w:aliases w:val="ASAPHeading 6 Char,Heading 6  Appendix Y &amp; Z Char,Heading 6  Appendix Y &amp; Z1 Char,Heading 6  Appendix Y &amp; Z2 Char,Heading 6  Appendix Y &amp; Z11 Char,MUS6 Char,H6 Char,ASAPHeading 61 Char,ASAPHeading 62 Char,ASAPHeading 63 Char,h6 Char,l Char"/>
    <w:link w:val="Nadpis6"/>
    <w:uiPriority w:val="99"/>
    <w:locked/>
    <w:rsid w:val="0008794A"/>
    <w:rPr>
      <w:rFonts w:ascii="Arial" w:hAnsi="Arial" w:cs="Arial"/>
      <w:i/>
      <w:iCs/>
      <w:color w:val="00133A"/>
      <w:sz w:val="24"/>
      <w:szCs w:val="24"/>
      <w:lang w:val="en-GB" w:eastAsia="en-GB"/>
    </w:rPr>
  </w:style>
  <w:style w:type="paragraph" w:styleId="Textpoznpodarou">
    <w:name w:val="footnote text"/>
    <w:aliases w:val="Char1,Schriftart: 9 pt,Schriftart: 10 pt,Schriftart: 8 pt,Text poznámky pod čiarou 007,Footnote,Fußnotentextf,Geneva 9,Font: Geneva 9,Boston 10,f,pozn. pod čarou,Text pozn. pod čarou1,Char Char Char1,Footnote Text Char1,o,fn"/>
    <w:basedOn w:val="Normln"/>
    <w:link w:val="TextpoznpodarouChar"/>
    <w:uiPriority w:val="99"/>
    <w:semiHidden/>
    <w:rsid w:val="00E421C0"/>
    <w:rPr>
      <w:sz w:val="16"/>
      <w:szCs w:val="16"/>
    </w:rPr>
  </w:style>
  <w:style w:type="character" w:customStyle="1" w:styleId="TextpoznpodarouChar">
    <w:name w:val="Text pozn. pod čarou Char"/>
    <w:aliases w:val="Char1 Char,Schriftart: 9 pt Char,Schriftart: 10 pt Char,Schriftart: 8 pt Char,Text poznámky pod čiarou 007 Char,Footnote Char,Fußnotentextf Char,Geneva 9 Char,Font: Geneva 9 Char,Boston 10 Char,f Char,pozn. pod čarou Char"/>
    <w:basedOn w:val="Standardnpsmoodstavce"/>
    <w:link w:val="Textpoznpodarou"/>
    <w:uiPriority w:val="99"/>
    <w:locked/>
    <w:rsid w:val="00E421C0"/>
    <w:rPr>
      <w:rFonts w:ascii="Arial" w:hAnsi="Arial" w:cs="Arial"/>
      <w:sz w:val="16"/>
      <w:szCs w:val="16"/>
    </w:rPr>
  </w:style>
  <w:style w:type="paragraph" w:customStyle="1" w:styleId="Highlight3">
    <w:name w:val="Highlight 3"/>
    <w:basedOn w:val="Highlight2"/>
    <w:uiPriority w:val="99"/>
    <w:rsid w:val="00D34C27"/>
    <w:rPr>
      <w:color w:val="00A1DE"/>
    </w:rPr>
  </w:style>
  <w:style w:type="paragraph" w:customStyle="1" w:styleId="Style10ptDarkBlueBefore5ptAfter5pt">
    <w:name w:val="Style 10 pt Dark Blue Before:  5 pt After:  5 pt"/>
    <w:basedOn w:val="Normln"/>
    <w:uiPriority w:val="99"/>
    <w:rsid w:val="00C735E2"/>
    <w:rPr>
      <w:color w:val="000080"/>
      <w:sz w:val="20"/>
      <w:szCs w:val="20"/>
    </w:rPr>
  </w:style>
  <w:style w:type="paragraph" w:styleId="Odstavecseseznamem">
    <w:name w:val="List Paragraph"/>
    <w:aliases w:val="Odstavec cíl se seznamem,Odstavec se seznamem1,Nad,Odstavec se seznamem5"/>
    <w:basedOn w:val="Normln"/>
    <w:link w:val="OdstavecseseznamemChar"/>
    <w:uiPriority w:val="99"/>
    <w:qFormat/>
    <w:rsid w:val="003A7264"/>
    <w:pPr>
      <w:ind w:left="720"/>
    </w:pPr>
  </w:style>
  <w:style w:type="character" w:styleId="Odkaznakoment">
    <w:name w:val="annotation reference"/>
    <w:basedOn w:val="Standardnpsmoodstavce"/>
    <w:uiPriority w:val="99"/>
    <w:semiHidden/>
    <w:rsid w:val="005C5D09"/>
    <w:rPr>
      <w:sz w:val="16"/>
      <w:szCs w:val="16"/>
    </w:rPr>
  </w:style>
  <w:style w:type="paragraph" w:styleId="Textkomente">
    <w:name w:val="annotation text"/>
    <w:basedOn w:val="Normln"/>
    <w:link w:val="TextkomenteChar"/>
    <w:uiPriority w:val="99"/>
    <w:semiHidden/>
    <w:rsid w:val="005C5D09"/>
    <w:rPr>
      <w:sz w:val="20"/>
      <w:szCs w:val="20"/>
    </w:rPr>
  </w:style>
  <w:style w:type="character" w:customStyle="1" w:styleId="TextkomenteChar">
    <w:name w:val="Text komentáře Char"/>
    <w:basedOn w:val="Standardnpsmoodstavce"/>
    <w:link w:val="Textkomente"/>
    <w:uiPriority w:val="99"/>
    <w:locked/>
    <w:rsid w:val="005C5D09"/>
    <w:rPr>
      <w:rFonts w:ascii="Arial" w:hAnsi="Arial" w:cs="Arial"/>
      <w:lang w:val="en-GB" w:eastAsia="x-none"/>
    </w:rPr>
  </w:style>
  <w:style w:type="paragraph" w:styleId="Pedmtkomente">
    <w:name w:val="annotation subject"/>
    <w:basedOn w:val="Textkomente"/>
    <w:next w:val="Textkomente"/>
    <w:link w:val="PedmtkomenteChar"/>
    <w:uiPriority w:val="99"/>
    <w:semiHidden/>
    <w:rsid w:val="005C5D09"/>
    <w:rPr>
      <w:b/>
      <w:bCs/>
    </w:rPr>
  </w:style>
  <w:style w:type="character" w:customStyle="1" w:styleId="PedmtkomenteChar">
    <w:name w:val="Předmět komentáře Char"/>
    <w:basedOn w:val="TextkomenteChar"/>
    <w:link w:val="Pedmtkomente"/>
    <w:uiPriority w:val="99"/>
    <w:locked/>
    <w:rsid w:val="005C5D09"/>
    <w:rPr>
      <w:rFonts w:ascii="Arial" w:hAnsi="Arial" w:cs="Arial"/>
      <w:b/>
      <w:bCs/>
      <w:lang w:val="en-GB" w:eastAsia="x-none"/>
    </w:rPr>
  </w:style>
  <w:style w:type="paragraph" w:styleId="Revize">
    <w:name w:val="Revision"/>
    <w:hidden/>
    <w:uiPriority w:val="99"/>
    <w:semiHidden/>
    <w:rsid w:val="00237A98"/>
    <w:pPr>
      <w:spacing w:after="0" w:line="240" w:lineRule="auto"/>
    </w:pPr>
    <w:rPr>
      <w:rFonts w:ascii="Arial" w:hAnsi="Arial" w:cs="Arial"/>
      <w:sz w:val="19"/>
      <w:szCs w:val="19"/>
      <w:lang w:val="en-GB" w:eastAsia="en-GB"/>
    </w:rPr>
  </w:style>
  <w:style w:type="paragraph" w:customStyle="1" w:styleId="normalnsodrkami">
    <w:name w:val="normalní s odrážkami"/>
    <w:basedOn w:val="Normln"/>
    <w:uiPriority w:val="99"/>
    <w:rsid w:val="00D31571"/>
    <w:pPr>
      <w:numPr>
        <w:numId w:val="5"/>
      </w:numPr>
    </w:pPr>
    <w:rPr>
      <w:sz w:val="20"/>
      <w:szCs w:val="20"/>
    </w:rPr>
  </w:style>
  <w:style w:type="character" w:customStyle="1" w:styleId="BodytextChar">
    <w:name w:val="Body text Char"/>
    <w:link w:val="BodyText1"/>
    <w:uiPriority w:val="99"/>
    <w:locked/>
    <w:rsid w:val="000979ED"/>
    <w:rPr>
      <w:rFonts w:ascii="Arial" w:hAnsi="Arial" w:cs="Arial"/>
      <w:color w:val="000000"/>
      <w:sz w:val="48"/>
      <w:szCs w:val="48"/>
      <w:lang w:val="en-GB" w:eastAsia="x-none"/>
    </w:rPr>
  </w:style>
  <w:style w:type="character" w:customStyle="1" w:styleId="OdstavecseseznamemChar">
    <w:name w:val="Odstavec se seznamem Char"/>
    <w:aliases w:val="Odstavec cíl se seznamem Char,Odstavec se seznamem1 Char,Nad Char,Odstavec se seznamem5 Char"/>
    <w:link w:val="Odstavecseseznamem"/>
    <w:uiPriority w:val="99"/>
    <w:locked/>
    <w:rsid w:val="003A7264"/>
    <w:rPr>
      <w:rFonts w:ascii="Arial" w:hAnsi="Arial" w:cs="Arial"/>
      <w:sz w:val="24"/>
      <w:szCs w:val="24"/>
      <w:lang w:val="en-GB" w:eastAsia="x-none"/>
    </w:rPr>
  </w:style>
  <w:style w:type="paragraph" w:customStyle="1" w:styleId="Textodstavce">
    <w:name w:val="Text odstavce"/>
    <w:basedOn w:val="Normln"/>
    <w:uiPriority w:val="99"/>
    <w:rsid w:val="00BF18BE"/>
    <w:pPr>
      <w:numPr>
        <w:ilvl w:val="6"/>
        <w:numId w:val="6"/>
      </w:numPr>
      <w:tabs>
        <w:tab w:val="left" w:pos="851"/>
      </w:tabs>
      <w:spacing w:before="120"/>
      <w:outlineLvl w:val="6"/>
    </w:pPr>
    <w:rPr>
      <w:sz w:val="24"/>
      <w:szCs w:val="24"/>
    </w:rPr>
  </w:style>
  <w:style w:type="paragraph" w:customStyle="1" w:styleId="Textbodu">
    <w:name w:val="Text bodu"/>
    <w:basedOn w:val="Normln"/>
    <w:uiPriority w:val="99"/>
    <w:rsid w:val="00BF18BE"/>
    <w:pPr>
      <w:numPr>
        <w:ilvl w:val="8"/>
        <w:numId w:val="6"/>
      </w:numPr>
      <w:outlineLvl w:val="8"/>
    </w:pPr>
    <w:rPr>
      <w:sz w:val="24"/>
      <w:szCs w:val="24"/>
    </w:rPr>
  </w:style>
  <w:style w:type="paragraph" w:customStyle="1" w:styleId="Textpsmene">
    <w:name w:val="Text písmene"/>
    <w:basedOn w:val="Normln"/>
    <w:uiPriority w:val="99"/>
    <w:rsid w:val="00BF18BE"/>
    <w:pPr>
      <w:numPr>
        <w:ilvl w:val="7"/>
        <w:numId w:val="6"/>
      </w:numPr>
      <w:outlineLvl w:val="7"/>
    </w:pPr>
    <w:rPr>
      <w:sz w:val="24"/>
      <w:szCs w:val="24"/>
    </w:rPr>
  </w:style>
  <w:style w:type="paragraph" w:styleId="Normlnweb">
    <w:name w:val="Normal (Web)"/>
    <w:basedOn w:val="Normln"/>
    <w:uiPriority w:val="99"/>
    <w:rsid w:val="009A27F7"/>
    <w:pPr>
      <w:spacing w:before="100" w:beforeAutospacing="1" w:after="100" w:afterAutospacing="1"/>
    </w:pPr>
    <w:rPr>
      <w:rFonts w:ascii="Arial Unicode MS" w:eastAsia="Arial Unicode MS" w:hAnsi="Arial Unicode MS" w:cs="Arial Unicode MS"/>
      <w:sz w:val="24"/>
      <w:szCs w:val="24"/>
    </w:rPr>
  </w:style>
  <w:style w:type="paragraph" w:styleId="Titulek">
    <w:name w:val="caption"/>
    <w:basedOn w:val="Normln"/>
    <w:next w:val="Normln"/>
    <w:link w:val="TitulekChar"/>
    <w:uiPriority w:val="99"/>
    <w:qFormat/>
    <w:rsid w:val="00DE2A6D"/>
    <w:pPr>
      <w:spacing w:after="100" w:afterAutospacing="1"/>
    </w:pPr>
    <w:rPr>
      <w:b/>
      <w:bCs/>
      <w:color w:val="002776"/>
      <w:sz w:val="20"/>
      <w:szCs w:val="20"/>
    </w:rPr>
  </w:style>
  <w:style w:type="character" w:customStyle="1" w:styleId="TitulekChar">
    <w:name w:val="Titulek Char"/>
    <w:link w:val="Titulek"/>
    <w:uiPriority w:val="99"/>
    <w:locked/>
    <w:rsid w:val="00DE2A6D"/>
    <w:rPr>
      <w:b/>
      <w:bCs/>
      <w:color w:val="002776"/>
      <w:lang w:val="en-GB" w:eastAsia="x-none"/>
    </w:rPr>
  </w:style>
  <w:style w:type="character" w:customStyle="1" w:styleId="st">
    <w:name w:val="st"/>
    <w:basedOn w:val="Standardnpsmoodstavce"/>
    <w:uiPriority w:val="99"/>
    <w:rsid w:val="00D913FA"/>
  </w:style>
  <w:style w:type="paragraph" w:customStyle="1" w:styleId="Deloittebodytext">
    <w:name w:val="Deloitte body text"/>
    <w:link w:val="DeloittebodytextChar"/>
    <w:uiPriority w:val="99"/>
    <w:rsid w:val="00CF46D9"/>
    <w:pPr>
      <w:spacing w:after="0" w:line="240" w:lineRule="auto"/>
    </w:pPr>
    <w:rPr>
      <w:rFonts w:ascii="Arial" w:hAnsi="Arial" w:cs="Arial"/>
      <w:color w:val="000000"/>
      <w:sz w:val="19"/>
      <w:szCs w:val="19"/>
      <w:lang w:val="en-GB" w:eastAsia="en-GB"/>
    </w:rPr>
  </w:style>
  <w:style w:type="character" w:customStyle="1" w:styleId="DeloittebodytextChar">
    <w:name w:val="Deloitte body text Char"/>
    <w:link w:val="Deloittebodytext"/>
    <w:uiPriority w:val="99"/>
    <w:locked/>
    <w:rsid w:val="00CF46D9"/>
    <w:rPr>
      <w:rFonts w:ascii="Arial" w:hAnsi="Arial" w:cs="Arial"/>
      <w:color w:val="000000"/>
      <w:sz w:val="48"/>
      <w:szCs w:val="48"/>
      <w:lang w:val="en-GB" w:eastAsia="x-none"/>
    </w:rPr>
  </w:style>
  <w:style w:type="paragraph" w:customStyle="1" w:styleId="BodyText3">
    <w:name w:val="Body Text3"/>
    <w:uiPriority w:val="99"/>
    <w:rsid w:val="00412A8D"/>
    <w:pPr>
      <w:spacing w:after="0" w:line="240" w:lineRule="auto"/>
    </w:pPr>
    <w:rPr>
      <w:rFonts w:ascii="Arial" w:hAnsi="Arial" w:cs="Arial"/>
      <w:color w:val="000000"/>
      <w:sz w:val="19"/>
      <w:szCs w:val="19"/>
      <w:lang w:val="en-GB" w:eastAsia="en-GB"/>
    </w:rPr>
  </w:style>
  <w:style w:type="character" w:customStyle="1" w:styleId="Nadpis3Char">
    <w:name w:val="Nadpis 3 Char"/>
    <w:aliases w:val="h3 Char,- 1) Char,2) Char,3) Char,- 1. Char,2. Char,3. Char,H3 Char,Heading Char,List 1 Char,Nadpis_3_úroveň Char,Záhlaví 3 Char,V_Head3 Char,V_Head31 Char,V_Head32 Char,Podkapitola2 Char,ASAPHeading 3 Char,Sub Paragraph Char,TRM 12 3 Char"/>
    <w:link w:val="Nadpis3"/>
    <w:uiPriority w:val="99"/>
    <w:locked/>
    <w:rsid w:val="003E1852"/>
    <w:rPr>
      <w:rFonts w:ascii="Arial" w:hAnsi="Arial" w:cs="Arial"/>
      <w:b/>
      <w:bCs/>
      <w:color w:val="3C8A2E"/>
      <w:kern w:val="32"/>
      <w:sz w:val="24"/>
      <w:szCs w:val="24"/>
      <w:lang w:val="en-GB" w:eastAsia="en-GB"/>
    </w:rPr>
  </w:style>
  <w:style w:type="paragraph" w:styleId="Zkladntext">
    <w:name w:val="Body Text"/>
    <w:basedOn w:val="Normln"/>
    <w:link w:val="ZkladntextChar"/>
    <w:uiPriority w:val="99"/>
    <w:rsid w:val="00283E62"/>
    <w:pPr>
      <w:widowControl w:val="0"/>
      <w:ind w:left="140"/>
      <w:jc w:val="left"/>
    </w:pPr>
  </w:style>
  <w:style w:type="character" w:customStyle="1" w:styleId="ZkladntextChar">
    <w:name w:val="Základní text Char"/>
    <w:basedOn w:val="Standardnpsmoodstavce"/>
    <w:link w:val="Zkladntext"/>
    <w:uiPriority w:val="99"/>
    <w:locked/>
    <w:rsid w:val="00283E62"/>
    <w:rPr>
      <w:rFonts w:ascii="Arial" w:hAnsi="Arial" w:cs="Arial"/>
      <w:sz w:val="19"/>
      <w:szCs w:val="19"/>
    </w:rPr>
  </w:style>
  <w:style w:type="paragraph" w:customStyle="1" w:styleId="TableParagraph">
    <w:name w:val="Table Paragraph"/>
    <w:basedOn w:val="Normln"/>
    <w:uiPriority w:val="99"/>
    <w:rsid w:val="00283E62"/>
    <w:pPr>
      <w:widowControl w:val="0"/>
      <w:jc w:val="left"/>
    </w:pPr>
    <w:rPr>
      <w:sz w:val="22"/>
      <w:szCs w:val="22"/>
    </w:rPr>
  </w:style>
  <w:style w:type="paragraph" w:styleId="Nzev">
    <w:name w:val="Title"/>
    <w:basedOn w:val="Normln"/>
    <w:next w:val="Normln"/>
    <w:link w:val="NzevChar"/>
    <w:uiPriority w:val="99"/>
    <w:qFormat/>
    <w:rsid w:val="00283E62"/>
    <w:pPr>
      <w:widowControl w:val="0"/>
      <w:pBdr>
        <w:bottom w:val="single" w:sz="8" w:space="4" w:color="002776"/>
      </w:pBdr>
      <w:spacing w:after="300"/>
      <w:jc w:val="left"/>
    </w:pPr>
    <w:rPr>
      <w:color w:val="001D58"/>
      <w:spacing w:val="5"/>
      <w:kern w:val="28"/>
      <w:sz w:val="52"/>
      <w:szCs w:val="52"/>
    </w:rPr>
  </w:style>
  <w:style w:type="character" w:customStyle="1" w:styleId="NzevChar">
    <w:name w:val="Název Char"/>
    <w:basedOn w:val="Standardnpsmoodstavce"/>
    <w:link w:val="Nzev"/>
    <w:uiPriority w:val="99"/>
    <w:locked/>
    <w:rsid w:val="00283E62"/>
    <w:rPr>
      <w:rFonts w:ascii="Arial" w:hAnsi="Arial" w:cs="Arial"/>
      <w:color w:val="001D58"/>
      <w:spacing w:val="5"/>
      <w:kern w:val="28"/>
      <w:sz w:val="52"/>
      <w:szCs w:val="52"/>
    </w:rPr>
  </w:style>
  <w:style w:type="character" w:styleId="Zvraznn">
    <w:name w:val="Emphasis"/>
    <w:basedOn w:val="Standardnpsmoodstavce"/>
    <w:uiPriority w:val="99"/>
    <w:qFormat/>
    <w:rsid w:val="009C5D77"/>
    <w:rPr>
      <w:b/>
      <w:bCs/>
    </w:rPr>
  </w:style>
  <w:style w:type="paragraph" w:customStyle="1" w:styleId="Default">
    <w:name w:val="Default"/>
    <w:uiPriority w:val="99"/>
    <w:rsid w:val="00D664DC"/>
    <w:pPr>
      <w:autoSpaceDE w:val="0"/>
      <w:autoSpaceDN w:val="0"/>
      <w:adjustRightInd w:val="0"/>
      <w:spacing w:after="0" w:line="240" w:lineRule="auto"/>
    </w:pPr>
    <w:rPr>
      <w:rFonts w:ascii="Georgia" w:hAnsi="Georgia" w:cs="Georgia"/>
      <w:color w:val="000000"/>
      <w:sz w:val="24"/>
      <w:szCs w:val="24"/>
      <w:lang w:val="en-GB" w:eastAsia="en-GB"/>
    </w:rPr>
  </w:style>
  <w:style w:type="paragraph" w:styleId="Nadpisobsahu">
    <w:name w:val="TOC Heading"/>
    <w:basedOn w:val="Nadpis1"/>
    <w:next w:val="Normln"/>
    <w:uiPriority w:val="99"/>
    <w:qFormat/>
    <w:rsid w:val="00363543"/>
    <w:pPr>
      <w:keepLines/>
      <w:pageBreakBefore w:val="0"/>
      <w:numPr>
        <w:numId w:val="0"/>
      </w:numPr>
      <w:spacing w:before="480" w:after="0" w:line="276" w:lineRule="auto"/>
      <w:outlineLvl w:val="9"/>
    </w:pPr>
    <w:rPr>
      <w:rFonts w:ascii="Arial" w:hAnsi="Arial" w:cs="Arial"/>
      <w:b/>
      <w:bCs/>
      <w:color w:val="001D58"/>
      <w:kern w:val="0"/>
      <w:sz w:val="28"/>
      <w:szCs w:val="28"/>
    </w:rPr>
  </w:style>
  <w:style w:type="character" w:customStyle="1" w:styleId="hps">
    <w:name w:val="hps"/>
    <w:basedOn w:val="Standardnpsmoodstavce"/>
    <w:uiPriority w:val="99"/>
    <w:rsid w:val="0063536F"/>
  </w:style>
  <w:style w:type="character" w:styleId="Siln">
    <w:name w:val="Strong"/>
    <w:basedOn w:val="Standardnpsmoodstavce"/>
    <w:uiPriority w:val="99"/>
    <w:qFormat/>
    <w:rsid w:val="00C379C3"/>
    <w:rPr>
      <w:b/>
      <w:bCs/>
    </w:rPr>
  </w:style>
  <w:style w:type="paragraph" w:customStyle="1" w:styleId="Pa3">
    <w:name w:val="Pa3"/>
    <w:basedOn w:val="Default"/>
    <w:next w:val="Default"/>
    <w:uiPriority w:val="99"/>
    <w:rsid w:val="00AF2D35"/>
    <w:pPr>
      <w:spacing w:line="171" w:lineRule="atLeast"/>
    </w:pPr>
    <w:rPr>
      <w:rFonts w:ascii="Humnst777 Lt AT" w:hAnsi="Humnst777 Lt AT" w:cs="Humnst777 Lt AT"/>
      <w:color w:val="auto"/>
    </w:rPr>
  </w:style>
  <w:style w:type="paragraph" w:customStyle="1" w:styleId="Pa2">
    <w:name w:val="Pa2"/>
    <w:basedOn w:val="Default"/>
    <w:next w:val="Default"/>
    <w:uiPriority w:val="99"/>
    <w:rsid w:val="00AF2D35"/>
    <w:pPr>
      <w:spacing w:line="171" w:lineRule="atLeast"/>
    </w:pPr>
    <w:rPr>
      <w:rFonts w:ascii="Humnst777 Lt AT" w:hAnsi="Humnst777 Lt AT" w:cs="Humnst777 Lt AT"/>
      <w:color w:val="auto"/>
    </w:rPr>
  </w:style>
  <w:style w:type="character" w:customStyle="1" w:styleId="A5">
    <w:name w:val="A5"/>
    <w:uiPriority w:val="99"/>
    <w:rsid w:val="00AF2D35"/>
    <w:rPr>
      <w:color w:val="000000"/>
      <w:sz w:val="30"/>
      <w:szCs w:val="30"/>
    </w:rPr>
  </w:style>
  <w:style w:type="paragraph" w:customStyle="1" w:styleId="CM1">
    <w:name w:val="CM1"/>
    <w:basedOn w:val="Default"/>
    <w:next w:val="Default"/>
    <w:uiPriority w:val="99"/>
    <w:rsid w:val="00AF2D35"/>
    <w:rPr>
      <w:rFonts w:ascii="EUAlbertina" w:hAnsi="EUAlbertina" w:cs="EUAlbertina"/>
      <w:color w:val="auto"/>
    </w:rPr>
  </w:style>
  <w:style w:type="paragraph" w:customStyle="1" w:styleId="CM3">
    <w:name w:val="CM3"/>
    <w:basedOn w:val="Default"/>
    <w:next w:val="Default"/>
    <w:uiPriority w:val="99"/>
    <w:rsid w:val="00AF2D35"/>
    <w:rPr>
      <w:rFonts w:ascii="EUAlbertina" w:hAnsi="EUAlbertina" w:cs="EUAlbertina"/>
      <w:color w:val="auto"/>
    </w:rPr>
  </w:style>
  <w:style w:type="paragraph" w:customStyle="1" w:styleId="CM4">
    <w:name w:val="CM4"/>
    <w:basedOn w:val="Default"/>
    <w:next w:val="Default"/>
    <w:uiPriority w:val="99"/>
    <w:rsid w:val="00AF2D35"/>
    <w:rPr>
      <w:rFonts w:ascii="EUAlbertina" w:hAnsi="EUAlbertina" w:cs="EUAlbertina"/>
      <w:color w:val="auto"/>
    </w:rPr>
  </w:style>
  <w:style w:type="table" w:customStyle="1" w:styleId="TableGridLight1">
    <w:name w:val="Table Grid Light1"/>
    <w:uiPriority w:val="99"/>
    <w:rsid w:val="00E35B06"/>
    <w:pPr>
      <w:spacing w:after="0" w:line="240" w:lineRule="auto"/>
    </w:pPr>
    <w:rPr>
      <w:rFonts w:ascii="Arial" w:hAnsi="Arial" w:cs="Arial"/>
      <w:sz w:val="20"/>
      <w:szCs w:val="20"/>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character" w:customStyle="1" w:styleId="apple-converted-space">
    <w:name w:val="apple-converted-space"/>
    <w:basedOn w:val="Standardnpsmoodstavce"/>
    <w:uiPriority w:val="99"/>
    <w:rsid w:val="00933C2B"/>
  </w:style>
  <w:style w:type="paragraph" w:customStyle="1" w:styleId="Barevnoddlova">
    <w:name w:val="Barevný oddělovač"/>
    <w:basedOn w:val="Zkladntext"/>
    <w:link w:val="BarevnoddlovaChar"/>
    <w:uiPriority w:val="99"/>
    <w:rsid w:val="00C32283"/>
    <w:pPr>
      <w:keepNext/>
      <w:keepLines/>
      <w:widowControl/>
      <w:ind w:left="0"/>
      <w:jc w:val="both"/>
    </w:pPr>
    <w:rPr>
      <w:b/>
      <w:bCs/>
      <w:color w:val="31849B"/>
      <w:sz w:val="24"/>
      <w:szCs w:val="24"/>
    </w:rPr>
  </w:style>
  <w:style w:type="character" w:customStyle="1" w:styleId="BarevnoddlovaChar">
    <w:name w:val="Barevný oddělovač Char"/>
    <w:link w:val="Barevnoddlova"/>
    <w:uiPriority w:val="99"/>
    <w:locked/>
    <w:rsid w:val="00C32283"/>
    <w:rPr>
      <w:rFonts w:ascii="Arial" w:hAnsi="Arial" w:cs="Arial"/>
      <w:b/>
      <w:bCs/>
      <w:color w:val="31849B"/>
      <w:sz w:val="24"/>
      <w:szCs w:val="24"/>
      <w:lang w:val="en-GB" w:eastAsia="en-GB"/>
    </w:rPr>
  </w:style>
  <w:style w:type="paragraph" w:styleId="Seznamsodrkami">
    <w:name w:val="List Bullet"/>
    <w:basedOn w:val="Normln"/>
    <w:uiPriority w:val="99"/>
    <w:rsid w:val="00950F26"/>
    <w:pPr>
      <w:spacing w:after="240" w:line="240" w:lineRule="atLeast"/>
      <w:jc w:val="left"/>
    </w:pPr>
    <w:rPr>
      <w:rFonts w:ascii="Georgia" w:hAnsi="Georgia" w:cs="Georgia"/>
      <w:sz w:val="20"/>
      <w:szCs w:val="20"/>
    </w:rPr>
  </w:style>
  <w:style w:type="character" w:styleId="Odkazintenzivn">
    <w:name w:val="Intense Reference"/>
    <w:basedOn w:val="Standardnpsmoodstavce"/>
    <w:uiPriority w:val="99"/>
    <w:qFormat/>
    <w:rsid w:val="00696700"/>
    <w:rPr>
      <w:b/>
      <w:bCs/>
      <w:smallCaps/>
      <w:color w:val="002776"/>
      <w:spacing w:val="5"/>
    </w:rPr>
  </w:style>
  <w:style w:type="character" w:customStyle="1" w:styleId="st1">
    <w:name w:val="st1"/>
    <w:uiPriority w:val="99"/>
    <w:rsid w:val="00696700"/>
  </w:style>
  <w:style w:type="table" w:customStyle="1" w:styleId="GridTable4-Accent21">
    <w:name w:val="Grid Table 4 - Accent 21"/>
    <w:uiPriority w:val="99"/>
    <w:rsid w:val="009C685C"/>
    <w:pPr>
      <w:spacing w:after="0" w:line="240" w:lineRule="auto"/>
    </w:pPr>
    <w:rPr>
      <w:rFonts w:ascii="Arial" w:hAnsi="Arial" w:cs="Arial"/>
      <w:sz w:val="20"/>
      <w:szCs w:val="20"/>
    </w:rPr>
    <w:tblPr>
      <w:tblStyleRowBandSize w:val="1"/>
      <w:tblStyleColBandSize w:val="1"/>
      <w:tblBorders>
        <w:top w:val="single" w:sz="4" w:space="0" w:color="C6FF4C"/>
        <w:left w:val="single" w:sz="4" w:space="0" w:color="C6FF4C"/>
        <w:bottom w:val="single" w:sz="4" w:space="0" w:color="C6FF4C"/>
        <w:right w:val="single" w:sz="4" w:space="0" w:color="C6FF4C"/>
        <w:insideH w:val="single" w:sz="4" w:space="0" w:color="C6FF4C"/>
        <w:insideV w:val="single" w:sz="4" w:space="0" w:color="C6FF4C"/>
      </w:tblBorders>
      <w:tblCellMar>
        <w:top w:w="0" w:type="dxa"/>
        <w:left w:w="108" w:type="dxa"/>
        <w:bottom w:w="0" w:type="dxa"/>
        <w:right w:w="108" w:type="dxa"/>
      </w:tblCellMar>
    </w:tblPr>
  </w:style>
  <w:style w:type="character" w:customStyle="1" w:styleId="atn">
    <w:name w:val="atn"/>
    <w:basedOn w:val="Standardnpsmoodstavce"/>
    <w:uiPriority w:val="99"/>
    <w:rsid w:val="001C454C"/>
  </w:style>
  <w:style w:type="character" w:customStyle="1" w:styleId="alt-edited1">
    <w:name w:val="alt-edited1"/>
    <w:uiPriority w:val="99"/>
    <w:rsid w:val="001C454C"/>
    <w:rPr>
      <w:color w:val="auto"/>
    </w:rPr>
  </w:style>
  <w:style w:type="character" w:customStyle="1" w:styleId="shorttext">
    <w:name w:val="short_text"/>
    <w:basedOn w:val="Standardnpsmoodstavce"/>
    <w:uiPriority w:val="99"/>
    <w:rsid w:val="00C96000"/>
  </w:style>
  <w:style w:type="paragraph" w:customStyle="1" w:styleId="p3">
    <w:name w:val="p3"/>
    <w:basedOn w:val="Normln"/>
    <w:uiPriority w:val="99"/>
    <w:rsid w:val="00FA4AE5"/>
    <w:pPr>
      <w:spacing w:before="100" w:beforeAutospacing="1" w:after="100" w:afterAutospacing="1"/>
      <w:jc w:val="left"/>
    </w:pPr>
    <w:rPr>
      <w:sz w:val="24"/>
      <w:szCs w:val="24"/>
    </w:rPr>
  </w:style>
  <w:style w:type="character" w:customStyle="1" w:styleId="s1">
    <w:name w:val="s1"/>
    <w:basedOn w:val="Standardnpsmoodstavce"/>
    <w:uiPriority w:val="99"/>
    <w:rsid w:val="00FA4AE5"/>
  </w:style>
  <w:style w:type="paragraph" w:customStyle="1" w:styleId="p1">
    <w:name w:val="p1"/>
    <w:basedOn w:val="Normln"/>
    <w:uiPriority w:val="99"/>
    <w:rsid w:val="00D6172B"/>
    <w:pPr>
      <w:spacing w:before="100" w:beforeAutospacing="1" w:after="100" w:afterAutospacing="1"/>
      <w:jc w:val="left"/>
    </w:pPr>
    <w:rPr>
      <w:sz w:val="24"/>
      <w:szCs w:val="24"/>
    </w:rPr>
  </w:style>
  <w:style w:type="paragraph" w:customStyle="1" w:styleId="article-perex">
    <w:name w:val="article-perex"/>
    <w:basedOn w:val="Normln"/>
    <w:uiPriority w:val="99"/>
    <w:rsid w:val="00E1324D"/>
    <w:pPr>
      <w:spacing w:before="100" w:beforeAutospacing="1" w:after="100" w:afterAutospacing="1"/>
      <w:jc w:val="left"/>
    </w:pPr>
    <w:rPr>
      <w:sz w:val="24"/>
      <w:szCs w:val="24"/>
    </w:rPr>
  </w:style>
  <w:style w:type="character" w:styleId="CittHTML">
    <w:name w:val="HTML Cite"/>
    <w:basedOn w:val="Standardnpsmoodstavce"/>
    <w:uiPriority w:val="99"/>
    <w:semiHidden/>
    <w:rsid w:val="00614AC7"/>
    <w:rPr>
      <w:i/>
      <w:iCs/>
    </w:rPr>
  </w:style>
  <w:style w:type="character" w:customStyle="1" w:styleId="rs-person">
    <w:name w:val="rs-person"/>
    <w:basedOn w:val="Standardnpsmoodstavce"/>
    <w:uiPriority w:val="99"/>
    <w:rsid w:val="00EE753E"/>
  </w:style>
  <w:style w:type="character" w:styleId="Sledovanodkaz">
    <w:name w:val="FollowedHyperlink"/>
    <w:basedOn w:val="Standardnpsmoodstavce"/>
    <w:uiPriority w:val="99"/>
    <w:semiHidden/>
    <w:rsid w:val="00A77EA1"/>
    <w:rPr>
      <w:color w:val="C9DD03"/>
      <w:u w:val="single"/>
    </w:rPr>
  </w:style>
  <w:style w:type="character" w:styleId="Zstupntext">
    <w:name w:val="Placeholder Text"/>
    <w:basedOn w:val="Standardnpsmoodstavce"/>
    <w:uiPriority w:val="99"/>
    <w:semiHidden/>
    <w:rsid w:val="00464C9D"/>
    <w:rPr>
      <w:color w:val="808080"/>
    </w:rPr>
  </w:style>
  <w:style w:type="character" w:customStyle="1" w:styleId="essayfootnotecitation">
    <w:name w:val="essay_footnotecitation"/>
    <w:basedOn w:val="Standardnpsmoodstavce"/>
    <w:uiPriority w:val="99"/>
    <w:rsid w:val="00B01AA8"/>
  </w:style>
  <w:style w:type="paragraph" w:customStyle="1" w:styleId="Zkladntextodsazen1">
    <w:name w:val="Základní text odsazený1"/>
    <w:basedOn w:val="Normln"/>
    <w:uiPriority w:val="99"/>
    <w:rsid w:val="004E60C4"/>
    <w:pPr>
      <w:spacing w:before="120"/>
      <w:ind w:left="567"/>
    </w:pPr>
    <w:rPr>
      <w:sz w:val="24"/>
      <w:szCs w:val="24"/>
    </w:rPr>
  </w:style>
  <w:style w:type="paragraph" w:customStyle="1" w:styleId="Pa20">
    <w:name w:val="Pa20"/>
    <w:basedOn w:val="Default"/>
    <w:next w:val="Default"/>
    <w:uiPriority w:val="99"/>
    <w:rsid w:val="001D1FD9"/>
    <w:pPr>
      <w:spacing w:line="200" w:lineRule="atLeast"/>
    </w:pPr>
    <w:rPr>
      <w:rFonts w:ascii="Myriad Pro Light" w:hAnsi="Myriad Pro Light" w:cs="Myriad Pro Light"/>
      <w:color w:val="auto"/>
    </w:rPr>
  </w:style>
  <w:style w:type="character" w:customStyle="1" w:styleId="A12">
    <w:name w:val="A12"/>
    <w:uiPriority w:val="99"/>
    <w:rsid w:val="001D1FD9"/>
    <w:rPr>
      <w:b/>
      <w:bCs/>
      <w:color w:val="000000"/>
      <w:sz w:val="28"/>
      <w:szCs w:val="28"/>
    </w:rPr>
  </w:style>
  <w:style w:type="character" w:customStyle="1" w:styleId="A13">
    <w:name w:val="A13"/>
    <w:uiPriority w:val="99"/>
    <w:rsid w:val="001D1FD9"/>
    <w:rPr>
      <w:color w:val="000000"/>
      <w:sz w:val="11"/>
      <w:szCs w:val="11"/>
    </w:rPr>
  </w:style>
  <w:style w:type="paragraph" w:customStyle="1" w:styleId="Odskoknadpis4">
    <w:name w:val="Odskok nadpis 4"/>
    <w:basedOn w:val="Normln"/>
    <w:link w:val="Odskoknadpis4Char"/>
    <w:uiPriority w:val="99"/>
    <w:rsid w:val="00F0643D"/>
    <w:pPr>
      <w:spacing w:line="276" w:lineRule="auto"/>
      <w:ind w:left="1134"/>
    </w:pPr>
    <w:rPr>
      <w:sz w:val="22"/>
      <w:szCs w:val="22"/>
    </w:rPr>
  </w:style>
  <w:style w:type="character" w:customStyle="1" w:styleId="Odskoknadpis4Char">
    <w:name w:val="Odskok nadpis 4 Char"/>
    <w:link w:val="Odskoknadpis4"/>
    <w:uiPriority w:val="99"/>
    <w:locked/>
    <w:rsid w:val="00F0643D"/>
    <w:rPr>
      <w:rFonts w:eastAsia="Times New Roman"/>
      <w:sz w:val="22"/>
      <w:szCs w:val="22"/>
      <w:lang w:val="en-GB" w:eastAsia="x-none"/>
    </w:rPr>
  </w:style>
  <w:style w:type="character" w:customStyle="1" w:styleId="ListParagraphChar1">
    <w:name w:val="List Paragraph Char1"/>
    <w:basedOn w:val="Standardnpsmoodstavce"/>
    <w:uiPriority w:val="99"/>
    <w:locked/>
    <w:rsid w:val="00DA4E52"/>
  </w:style>
  <w:style w:type="paragraph" w:customStyle="1" w:styleId="Bodycopy">
    <w:name w:val="Body copy"/>
    <w:basedOn w:val="Normln"/>
    <w:link w:val="BodycopyChar"/>
    <w:uiPriority w:val="99"/>
    <w:rsid w:val="00DA4E52"/>
    <w:pPr>
      <w:spacing w:before="120" w:line="288" w:lineRule="auto"/>
    </w:pPr>
    <w:rPr>
      <w:color w:val="000000"/>
      <w:sz w:val="20"/>
      <w:szCs w:val="20"/>
    </w:rPr>
  </w:style>
  <w:style w:type="character" w:customStyle="1" w:styleId="BodycopyChar">
    <w:name w:val="Body copy Char"/>
    <w:link w:val="Bodycopy"/>
    <w:uiPriority w:val="99"/>
    <w:locked/>
    <w:rsid w:val="00DA4E52"/>
    <w:rPr>
      <w:rFonts w:ascii="Arial" w:hAnsi="Arial" w:cs="Arial"/>
      <w:color w:val="000000"/>
      <w:lang w:val="en-GB" w:eastAsia="x-none"/>
    </w:rPr>
  </w:style>
  <w:style w:type="paragraph" w:customStyle="1" w:styleId="Caption1">
    <w:name w:val="Caption1"/>
    <w:next w:val="Normln"/>
    <w:uiPriority w:val="99"/>
    <w:rsid w:val="00DA4E52"/>
    <w:pPr>
      <w:spacing w:after="200" w:line="240" w:lineRule="auto"/>
    </w:pPr>
    <w:rPr>
      <w:rFonts w:ascii="Lucida Grande" w:hAnsi="Lucida Grande" w:cs="Lucida Grande"/>
      <w:b/>
      <w:bCs/>
      <w:color w:val="0A0623"/>
      <w:sz w:val="18"/>
      <w:szCs w:val="18"/>
      <w:lang w:val="en-GB" w:eastAsia="en-GB"/>
    </w:rPr>
  </w:style>
  <w:style w:type="table" w:customStyle="1" w:styleId="Deloittetable61">
    <w:name w:val="Deloitte table 61"/>
    <w:uiPriority w:val="99"/>
    <w:rsid w:val="00DA4E52"/>
    <w:pPr>
      <w:spacing w:after="0" w:line="240" w:lineRule="auto"/>
    </w:pPr>
    <w:rPr>
      <w:rFonts w:ascii="Arial" w:hAnsi="Arial" w:cs="Arial"/>
      <w:sz w:val="19"/>
      <w:szCs w:val="19"/>
    </w:rPr>
    <w:tblPr>
      <w:tblBorders>
        <w:bottom w:val="single" w:sz="4" w:space="0" w:color="52D0FF"/>
        <w:insideH w:val="single" w:sz="4" w:space="0" w:color="52D0FF"/>
      </w:tblBorders>
      <w:tblCellMar>
        <w:top w:w="28" w:type="dxa"/>
        <w:left w:w="28" w:type="dxa"/>
        <w:bottom w:w="28" w:type="dxa"/>
        <w:right w:w="28" w:type="dxa"/>
      </w:tblCellMar>
    </w:tblPr>
    <w:tcPr>
      <w:shd w:val="clear" w:color="auto" w:fill="FFFFFF"/>
    </w:tcPr>
  </w:style>
  <w:style w:type="paragraph" w:customStyle="1" w:styleId="CharChar2CharCharCharChar">
    <w:name w:val="Char Char2 Char Char Char Char"/>
    <w:basedOn w:val="Normln"/>
    <w:uiPriority w:val="99"/>
    <w:rsid w:val="00DA4E52"/>
    <w:pPr>
      <w:spacing w:after="0"/>
      <w:jc w:val="left"/>
    </w:pPr>
    <w:rPr>
      <w:sz w:val="24"/>
      <w:szCs w:val="24"/>
    </w:rPr>
  </w:style>
  <w:style w:type="table" w:styleId="Mkatabulky8">
    <w:name w:val="Table Grid 8"/>
    <w:basedOn w:val="Normlntabulka"/>
    <w:uiPriority w:val="99"/>
    <w:rsid w:val="00DA4E52"/>
    <w:pPr>
      <w:spacing w:after="120" w:line="240" w:lineRule="auto"/>
      <w:jc w:val="both"/>
    </w:pPr>
    <w:rPr>
      <w:rFonts w:ascii="Arial" w:hAnsi="Arial" w:cs="Arial"/>
      <w:sz w:val="20"/>
      <w:szCs w:val="20"/>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24699416">
      <w:marLeft w:val="0"/>
      <w:marRight w:val="0"/>
      <w:marTop w:val="0"/>
      <w:marBottom w:val="0"/>
      <w:divBdr>
        <w:top w:val="none" w:sz="0" w:space="0" w:color="auto"/>
        <w:left w:val="none" w:sz="0" w:space="0" w:color="auto"/>
        <w:bottom w:val="none" w:sz="0" w:space="0" w:color="auto"/>
        <w:right w:val="none" w:sz="0" w:space="0" w:color="auto"/>
      </w:divBdr>
    </w:div>
    <w:div w:id="2024699438">
      <w:marLeft w:val="0"/>
      <w:marRight w:val="0"/>
      <w:marTop w:val="0"/>
      <w:marBottom w:val="0"/>
      <w:divBdr>
        <w:top w:val="none" w:sz="0" w:space="0" w:color="auto"/>
        <w:left w:val="none" w:sz="0" w:space="0" w:color="auto"/>
        <w:bottom w:val="none" w:sz="0" w:space="0" w:color="auto"/>
        <w:right w:val="none" w:sz="0" w:space="0" w:color="auto"/>
      </w:divBdr>
      <w:divsChild>
        <w:div w:id="2024701640">
          <w:marLeft w:val="0"/>
          <w:marRight w:val="0"/>
          <w:marTop w:val="0"/>
          <w:marBottom w:val="0"/>
          <w:divBdr>
            <w:top w:val="none" w:sz="0" w:space="0" w:color="auto"/>
            <w:left w:val="none" w:sz="0" w:space="0" w:color="auto"/>
            <w:bottom w:val="none" w:sz="0" w:space="0" w:color="auto"/>
            <w:right w:val="none" w:sz="0" w:space="0" w:color="auto"/>
          </w:divBdr>
        </w:div>
        <w:div w:id="2024703334">
          <w:marLeft w:val="0"/>
          <w:marRight w:val="0"/>
          <w:marTop w:val="0"/>
          <w:marBottom w:val="0"/>
          <w:divBdr>
            <w:top w:val="none" w:sz="0" w:space="0" w:color="auto"/>
            <w:left w:val="none" w:sz="0" w:space="0" w:color="auto"/>
            <w:bottom w:val="none" w:sz="0" w:space="0" w:color="auto"/>
            <w:right w:val="none" w:sz="0" w:space="0" w:color="auto"/>
          </w:divBdr>
        </w:div>
        <w:div w:id="2024704320">
          <w:marLeft w:val="0"/>
          <w:marRight w:val="0"/>
          <w:marTop w:val="0"/>
          <w:marBottom w:val="0"/>
          <w:divBdr>
            <w:top w:val="none" w:sz="0" w:space="0" w:color="auto"/>
            <w:left w:val="none" w:sz="0" w:space="0" w:color="auto"/>
            <w:bottom w:val="none" w:sz="0" w:space="0" w:color="auto"/>
            <w:right w:val="none" w:sz="0" w:space="0" w:color="auto"/>
          </w:divBdr>
        </w:div>
        <w:div w:id="2024705465">
          <w:marLeft w:val="0"/>
          <w:marRight w:val="0"/>
          <w:marTop w:val="0"/>
          <w:marBottom w:val="0"/>
          <w:divBdr>
            <w:top w:val="none" w:sz="0" w:space="0" w:color="auto"/>
            <w:left w:val="none" w:sz="0" w:space="0" w:color="auto"/>
            <w:bottom w:val="none" w:sz="0" w:space="0" w:color="auto"/>
            <w:right w:val="none" w:sz="0" w:space="0" w:color="auto"/>
          </w:divBdr>
        </w:div>
      </w:divsChild>
    </w:div>
    <w:div w:id="2024699451">
      <w:marLeft w:val="0"/>
      <w:marRight w:val="0"/>
      <w:marTop w:val="0"/>
      <w:marBottom w:val="0"/>
      <w:divBdr>
        <w:top w:val="none" w:sz="0" w:space="0" w:color="auto"/>
        <w:left w:val="none" w:sz="0" w:space="0" w:color="auto"/>
        <w:bottom w:val="none" w:sz="0" w:space="0" w:color="auto"/>
        <w:right w:val="none" w:sz="0" w:space="0" w:color="auto"/>
      </w:divBdr>
      <w:divsChild>
        <w:div w:id="2024701063">
          <w:marLeft w:val="1166"/>
          <w:marRight w:val="0"/>
          <w:marTop w:val="106"/>
          <w:marBottom w:val="0"/>
          <w:divBdr>
            <w:top w:val="none" w:sz="0" w:space="0" w:color="auto"/>
            <w:left w:val="none" w:sz="0" w:space="0" w:color="auto"/>
            <w:bottom w:val="none" w:sz="0" w:space="0" w:color="auto"/>
            <w:right w:val="none" w:sz="0" w:space="0" w:color="auto"/>
          </w:divBdr>
        </w:div>
        <w:div w:id="2024703127">
          <w:marLeft w:val="1166"/>
          <w:marRight w:val="0"/>
          <w:marTop w:val="106"/>
          <w:marBottom w:val="0"/>
          <w:divBdr>
            <w:top w:val="none" w:sz="0" w:space="0" w:color="auto"/>
            <w:left w:val="none" w:sz="0" w:space="0" w:color="auto"/>
            <w:bottom w:val="none" w:sz="0" w:space="0" w:color="auto"/>
            <w:right w:val="none" w:sz="0" w:space="0" w:color="auto"/>
          </w:divBdr>
        </w:div>
      </w:divsChild>
    </w:div>
    <w:div w:id="2024699468">
      <w:marLeft w:val="0"/>
      <w:marRight w:val="0"/>
      <w:marTop w:val="0"/>
      <w:marBottom w:val="0"/>
      <w:divBdr>
        <w:top w:val="none" w:sz="0" w:space="0" w:color="auto"/>
        <w:left w:val="none" w:sz="0" w:space="0" w:color="auto"/>
        <w:bottom w:val="none" w:sz="0" w:space="0" w:color="auto"/>
        <w:right w:val="none" w:sz="0" w:space="0" w:color="auto"/>
      </w:divBdr>
    </w:div>
    <w:div w:id="2024699499">
      <w:marLeft w:val="0"/>
      <w:marRight w:val="0"/>
      <w:marTop w:val="0"/>
      <w:marBottom w:val="0"/>
      <w:divBdr>
        <w:top w:val="none" w:sz="0" w:space="0" w:color="auto"/>
        <w:left w:val="none" w:sz="0" w:space="0" w:color="auto"/>
        <w:bottom w:val="none" w:sz="0" w:space="0" w:color="auto"/>
        <w:right w:val="none" w:sz="0" w:space="0" w:color="auto"/>
      </w:divBdr>
    </w:div>
    <w:div w:id="2024699518">
      <w:marLeft w:val="0"/>
      <w:marRight w:val="0"/>
      <w:marTop w:val="0"/>
      <w:marBottom w:val="0"/>
      <w:divBdr>
        <w:top w:val="none" w:sz="0" w:space="0" w:color="auto"/>
        <w:left w:val="none" w:sz="0" w:space="0" w:color="auto"/>
        <w:bottom w:val="none" w:sz="0" w:space="0" w:color="auto"/>
        <w:right w:val="none" w:sz="0" w:space="0" w:color="auto"/>
      </w:divBdr>
    </w:div>
    <w:div w:id="2024699553">
      <w:marLeft w:val="0"/>
      <w:marRight w:val="0"/>
      <w:marTop w:val="0"/>
      <w:marBottom w:val="0"/>
      <w:divBdr>
        <w:top w:val="none" w:sz="0" w:space="0" w:color="auto"/>
        <w:left w:val="none" w:sz="0" w:space="0" w:color="auto"/>
        <w:bottom w:val="none" w:sz="0" w:space="0" w:color="auto"/>
        <w:right w:val="none" w:sz="0" w:space="0" w:color="auto"/>
      </w:divBdr>
      <w:divsChild>
        <w:div w:id="2024701926">
          <w:marLeft w:val="1166"/>
          <w:marRight w:val="0"/>
          <w:marTop w:val="106"/>
          <w:marBottom w:val="0"/>
          <w:divBdr>
            <w:top w:val="none" w:sz="0" w:space="0" w:color="auto"/>
            <w:left w:val="none" w:sz="0" w:space="0" w:color="auto"/>
            <w:bottom w:val="none" w:sz="0" w:space="0" w:color="auto"/>
            <w:right w:val="none" w:sz="0" w:space="0" w:color="auto"/>
          </w:divBdr>
        </w:div>
        <w:div w:id="2024703229">
          <w:marLeft w:val="1166"/>
          <w:marRight w:val="0"/>
          <w:marTop w:val="106"/>
          <w:marBottom w:val="0"/>
          <w:divBdr>
            <w:top w:val="none" w:sz="0" w:space="0" w:color="auto"/>
            <w:left w:val="none" w:sz="0" w:space="0" w:color="auto"/>
            <w:bottom w:val="none" w:sz="0" w:space="0" w:color="auto"/>
            <w:right w:val="none" w:sz="0" w:space="0" w:color="auto"/>
          </w:divBdr>
        </w:div>
        <w:div w:id="2024704310">
          <w:marLeft w:val="1166"/>
          <w:marRight w:val="0"/>
          <w:marTop w:val="106"/>
          <w:marBottom w:val="0"/>
          <w:divBdr>
            <w:top w:val="none" w:sz="0" w:space="0" w:color="auto"/>
            <w:left w:val="none" w:sz="0" w:space="0" w:color="auto"/>
            <w:bottom w:val="none" w:sz="0" w:space="0" w:color="auto"/>
            <w:right w:val="none" w:sz="0" w:space="0" w:color="auto"/>
          </w:divBdr>
        </w:div>
      </w:divsChild>
    </w:div>
    <w:div w:id="2024699607">
      <w:marLeft w:val="0"/>
      <w:marRight w:val="0"/>
      <w:marTop w:val="0"/>
      <w:marBottom w:val="0"/>
      <w:divBdr>
        <w:top w:val="none" w:sz="0" w:space="0" w:color="auto"/>
        <w:left w:val="none" w:sz="0" w:space="0" w:color="auto"/>
        <w:bottom w:val="none" w:sz="0" w:space="0" w:color="auto"/>
        <w:right w:val="none" w:sz="0" w:space="0" w:color="auto"/>
      </w:divBdr>
    </w:div>
    <w:div w:id="2024699637">
      <w:marLeft w:val="0"/>
      <w:marRight w:val="0"/>
      <w:marTop w:val="0"/>
      <w:marBottom w:val="0"/>
      <w:divBdr>
        <w:top w:val="none" w:sz="0" w:space="0" w:color="auto"/>
        <w:left w:val="none" w:sz="0" w:space="0" w:color="auto"/>
        <w:bottom w:val="none" w:sz="0" w:space="0" w:color="auto"/>
        <w:right w:val="none" w:sz="0" w:space="0" w:color="auto"/>
      </w:divBdr>
      <w:divsChild>
        <w:div w:id="2024703909">
          <w:marLeft w:val="0"/>
          <w:marRight w:val="0"/>
          <w:marTop w:val="0"/>
          <w:marBottom w:val="0"/>
          <w:divBdr>
            <w:top w:val="none" w:sz="0" w:space="0" w:color="auto"/>
            <w:left w:val="none" w:sz="0" w:space="0" w:color="auto"/>
            <w:bottom w:val="none" w:sz="0" w:space="0" w:color="auto"/>
            <w:right w:val="none" w:sz="0" w:space="0" w:color="auto"/>
          </w:divBdr>
        </w:div>
      </w:divsChild>
    </w:div>
    <w:div w:id="2024699714">
      <w:marLeft w:val="0"/>
      <w:marRight w:val="0"/>
      <w:marTop w:val="0"/>
      <w:marBottom w:val="0"/>
      <w:divBdr>
        <w:top w:val="none" w:sz="0" w:space="0" w:color="auto"/>
        <w:left w:val="none" w:sz="0" w:space="0" w:color="auto"/>
        <w:bottom w:val="none" w:sz="0" w:space="0" w:color="auto"/>
        <w:right w:val="none" w:sz="0" w:space="0" w:color="auto"/>
      </w:divBdr>
    </w:div>
    <w:div w:id="2024699799">
      <w:marLeft w:val="0"/>
      <w:marRight w:val="0"/>
      <w:marTop w:val="0"/>
      <w:marBottom w:val="0"/>
      <w:divBdr>
        <w:top w:val="none" w:sz="0" w:space="0" w:color="auto"/>
        <w:left w:val="none" w:sz="0" w:space="0" w:color="auto"/>
        <w:bottom w:val="none" w:sz="0" w:space="0" w:color="auto"/>
        <w:right w:val="none" w:sz="0" w:space="0" w:color="auto"/>
      </w:divBdr>
    </w:div>
    <w:div w:id="2024699803">
      <w:marLeft w:val="0"/>
      <w:marRight w:val="0"/>
      <w:marTop w:val="0"/>
      <w:marBottom w:val="0"/>
      <w:divBdr>
        <w:top w:val="none" w:sz="0" w:space="0" w:color="auto"/>
        <w:left w:val="none" w:sz="0" w:space="0" w:color="auto"/>
        <w:bottom w:val="none" w:sz="0" w:space="0" w:color="auto"/>
        <w:right w:val="none" w:sz="0" w:space="0" w:color="auto"/>
      </w:divBdr>
    </w:div>
    <w:div w:id="2024699823">
      <w:marLeft w:val="0"/>
      <w:marRight w:val="0"/>
      <w:marTop w:val="0"/>
      <w:marBottom w:val="0"/>
      <w:divBdr>
        <w:top w:val="none" w:sz="0" w:space="0" w:color="auto"/>
        <w:left w:val="none" w:sz="0" w:space="0" w:color="auto"/>
        <w:bottom w:val="none" w:sz="0" w:space="0" w:color="auto"/>
        <w:right w:val="none" w:sz="0" w:space="0" w:color="auto"/>
      </w:divBdr>
    </w:div>
    <w:div w:id="2024699842">
      <w:marLeft w:val="0"/>
      <w:marRight w:val="0"/>
      <w:marTop w:val="0"/>
      <w:marBottom w:val="0"/>
      <w:divBdr>
        <w:top w:val="none" w:sz="0" w:space="0" w:color="auto"/>
        <w:left w:val="none" w:sz="0" w:space="0" w:color="auto"/>
        <w:bottom w:val="none" w:sz="0" w:space="0" w:color="auto"/>
        <w:right w:val="none" w:sz="0" w:space="0" w:color="auto"/>
      </w:divBdr>
    </w:div>
    <w:div w:id="2024699845">
      <w:marLeft w:val="0"/>
      <w:marRight w:val="0"/>
      <w:marTop w:val="0"/>
      <w:marBottom w:val="0"/>
      <w:divBdr>
        <w:top w:val="none" w:sz="0" w:space="0" w:color="auto"/>
        <w:left w:val="none" w:sz="0" w:space="0" w:color="auto"/>
        <w:bottom w:val="none" w:sz="0" w:space="0" w:color="auto"/>
        <w:right w:val="none" w:sz="0" w:space="0" w:color="auto"/>
      </w:divBdr>
      <w:divsChild>
        <w:div w:id="2024699428">
          <w:marLeft w:val="0"/>
          <w:marRight w:val="0"/>
          <w:marTop w:val="0"/>
          <w:marBottom w:val="0"/>
          <w:divBdr>
            <w:top w:val="none" w:sz="0" w:space="0" w:color="auto"/>
            <w:left w:val="none" w:sz="0" w:space="0" w:color="auto"/>
            <w:bottom w:val="none" w:sz="0" w:space="0" w:color="auto"/>
            <w:right w:val="none" w:sz="0" w:space="0" w:color="auto"/>
          </w:divBdr>
        </w:div>
        <w:div w:id="2024699680">
          <w:marLeft w:val="0"/>
          <w:marRight w:val="0"/>
          <w:marTop w:val="0"/>
          <w:marBottom w:val="0"/>
          <w:divBdr>
            <w:top w:val="none" w:sz="0" w:space="0" w:color="auto"/>
            <w:left w:val="none" w:sz="0" w:space="0" w:color="auto"/>
            <w:bottom w:val="none" w:sz="0" w:space="0" w:color="auto"/>
            <w:right w:val="none" w:sz="0" w:space="0" w:color="auto"/>
          </w:divBdr>
        </w:div>
        <w:div w:id="2024700928">
          <w:marLeft w:val="0"/>
          <w:marRight w:val="0"/>
          <w:marTop w:val="0"/>
          <w:marBottom w:val="0"/>
          <w:divBdr>
            <w:top w:val="none" w:sz="0" w:space="0" w:color="auto"/>
            <w:left w:val="none" w:sz="0" w:space="0" w:color="auto"/>
            <w:bottom w:val="none" w:sz="0" w:space="0" w:color="auto"/>
            <w:right w:val="none" w:sz="0" w:space="0" w:color="auto"/>
          </w:divBdr>
        </w:div>
        <w:div w:id="2024701799">
          <w:marLeft w:val="0"/>
          <w:marRight w:val="0"/>
          <w:marTop w:val="0"/>
          <w:marBottom w:val="0"/>
          <w:divBdr>
            <w:top w:val="none" w:sz="0" w:space="0" w:color="auto"/>
            <w:left w:val="none" w:sz="0" w:space="0" w:color="auto"/>
            <w:bottom w:val="none" w:sz="0" w:space="0" w:color="auto"/>
            <w:right w:val="none" w:sz="0" w:space="0" w:color="auto"/>
          </w:divBdr>
        </w:div>
        <w:div w:id="2024702119">
          <w:marLeft w:val="0"/>
          <w:marRight w:val="0"/>
          <w:marTop w:val="0"/>
          <w:marBottom w:val="0"/>
          <w:divBdr>
            <w:top w:val="none" w:sz="0" w:space="0" w:color="auto"/>
            <w:left w:val="none" w:sz="0" w:space="0" w:color="auto"/>
            <w:bottom w:val="none" w:sz="0" w:space="0" w:color="auto"/>
            <w:right w:val="none" w:sz="0" w:space="0" w:color="auto"/>
          </w:divBdr>
        </w:div>
        <w:div w:id="2024704158">
          <w:marLeft w:val="0"/>
          <w:marRight w:val="0"/>
          <w:marTop w:val="0"/>
          <w:marBottom w:val="0"/>
          <w:divBdr>
            <w:top w:val="none" w:sz="0" w:space="0" w:color="auto"/>
            <w:left w:val="none" w:sz="0" w:space="0" w:color="auto"/>
            <w:bottom w:val="none" w:sz="0" w:space="0" w:color="auto"/>
            <w:right w:val="none" w:sz="0" w:space="0" w:color="auto"/>
          </w:divBdr>
        </w:div>
        <w:div w:id="2024704369">
          <w:marLeft w:val="0"/>
          <w:marRight w:val="0"/>
          <w:marTop w:val="0"/>
          <w:marBottom w:val="0"/>
          <w:divBdr>
            <w:top w:val="none" w:sz="0" w:space="0" w:color="auto"/>
            <w:left w:val="none" w:sz="0" w:space="0" w:color="auto"/>
            <w:bottom w:val="none" w:sz="0" w:space="0" w:color="auto"/>
            <w:right w:val="none" w:sz="0" w:space="0" w:color="auto"/>
          </w:divBdr>
        </w:div>
        <w:div w:id="2024705102">
          <w:marLeft w:val="0"/>
          <w:marRight w:val="0"/>
          <w:marTop w:val="0"/>
          <w:marBottom w:val="0"/>
          <w:divBdr>
            <w:top w:val="none" w:sz="0" w:space="0" w:color="auto"/>
            <w:left w:val="none" w:sz="0" w:space="0" w:color="auto"/>
            <w:bottom w:val="none" w:sz="0" w:space="0" w:color="auto"/>
            <w:right w:val="none" w:sz="0" w:space="0" w:color="auto"/>
          </w:divBdr>
        </w:div>
        <w:div w:id="2024705626">
          <w:marLeft w:val="0"/>
          <w:marRight w:val="0"/>
          <w:marTop w:val="0"/>
          <w:marBottom w:val="0"/>
          <w:divBdr>
            <w:top w:val="none" w:sz="0" w:space="0" w:color="auto"/>
            <w:left w:val="none" w:sz="0" w:space="0" w:color="auto"/>
            <w:bottom w:val="none" w:sz="0" w:space="0" w:color="auto"/>
            <w:right w:val="none" w:sz="0" w:space="0" w:color="auto"/>
          </w:divBdr>
        </w:div>
      </w:divsChild>
    </w:div>
    <w:div w:id="2024699860">
      <w:marLeft w:val="0"/>
      <w:marRight w:val="0"/>
      <w:marTop w:val="0"/>
      <w:marBottom w:val="0"/>
      <w:divBdr>
        <w:top w:val="none" w:sz="0" w:space="0" w:color="auto"/>
        <w:left w:val="none" w:sz="0" w:space="0" w:color="auto"/>
        <w:bottom w:val="none" w:sz="0" w:space="0" w:color="auto"/>
        <w:right w:val="none" w:sz="0" w:space="0" w:color="auto"/>
      </w:divBdr>
    </w:div>
    <w:div w:id="2024699885">
      <w:marLeft w:val="0"/>
      <w:marRight w:val="0"/>
      <w:marTop w:val="0"/>
      <w:marBottom w:val="0"/>
      <w:divBdr>
        <w:top w:val="none" w:sz="0" w:space="0" w:color="auto"/>
        <w:left w:val="none" w:sz="0" w:space="0" w:color="auto"/>
        <w:bottom w:val="none" w:sz="0" w:space="0" w:color="auto"/>
        <w:right w:val="none" w:sz="0" w:space="0" w:color="auto"/>
      </w:divBdr>
    </w:div>
    <w:div w:id="2024699922">
      <w:marLeft w:val="0"/>
      <w:marRight w:val="0"/>
      <w:marTop w:val="0"/>
      <w:marBottom w:val="0"/>
      <w:divBdr>
        <w:top w:val="none" w:sz="0" w:space="0" w:color="auto"/>
        <w:left w:val="none" w:sz="0" w:space="0" w:color="auto"/>
        <w:bottom w:val="none" w:sz="0" w:space="0" w:color="auto"/>
        <w:right w:val="none" w:sz="0" w:space="0" w:color="auto"/>
      </w:divBdr>
      <w:divsChild>
        <w:div w:id="2024704810">
          <w:marLeft w:val="0"/>
          <w:marRight w:val="0"/>
          <w:marTop w:val="0"/>
          <w:marBottom w:val="0"/>
          <w:divBdr>
            <w:top w:val="none" w:sz="0" w:space="0" w:color="auto"/>
            <w:left w:val="none" w:sz="0" w:space="0" w:color="auto"/>
            <w:bottom w:val="none" w:sz="0" w:space="0" w:color="auto"/>
            <w:right w:val="none" w:sz="0" w:space="0" w:color="auto"/>
          </w:divBdr>
        </w:div>
      </w:divsChild>
    </w:div>
    <w:div w:id="2024699976">
      <w:marLeft w:val="0"/>
      <w:marRight w:val="0"/>
      <w:marTop w:val="0"/>
      <w:marBottom w:val="0"/>
      <w:divBdr>
        <w:top w:val="none" w:sz="0" w:space="0" w:color="auto"/>
        <w:left w:val="none" w:sz="0" w:space="0" w:color="auto"/>
        <w:bottom w:val="none" w:sz="0" w:space="0" w:color="auto"/>
        <w:right w:val="none" w:sz="0" w:space="0" w:color="auto"/>
      </w:divBdr>
    </w:div>
    <w:div w:id="2024699988">
      <w:marLeft w:val="0"/>
      <w:marRight w:val="0"/>
      <w:marTop w:val="0"/>
      <w:marBottom w:val="0"/>
      <w:divBdr>
        <w:top w:val="none" w:sz="0" w:space="0" w:color="auto"/>
        <w:left w:val="none" w:sz="0" w:space="0" w:color="auto"/>
        <w:bottom w:val="none" w:sz="0" w:space="0" w:color="auto"/>
        <w:right w:val="none" w:sz="0" w:space="0" w:color="auto"/>
      </w:divBdr>
    </w:div>
    <w:div w:id="2024700032">
      <w:marLeft w:val="0"/>
      <w:marRight w:val="0"/>
      <w:marTop w:val="0"/>
      <w:marBottom w:val="0"/>
      <w:divBdr>
        <w:top w:val="none" w:sz="0" w:space="0" w:color="auto"/>
        <w:left w:val="none" w:sz="0" w:space="0" w:color="auto"/>
        <w:bottom w:val="none" w:sz="0" w:space="0" w:color="auto"/>
        <w:right w:val="none" w:sz="0" w:space="0" w:color="auto"/>
      </w:divBdr>
    </w:div>
    <w:div w:id="2024700061">
      <w:marLeft w:val="0"/>
      <w:marRight w:val="0"/>
      <w:marTop w:val="0"/>
      <w:marBottom w:val="0"/>
      <w:divBdr>
        <w:top w:val="none" w:sz="0" w:space="0" w:color="auto"/>
        <w:left w:val="none" w:sz="0" w:space="0" w:color="auto"/>
        <w:bottom w:val="none" w:sz="0" w:space="0" w:color="auto"/>
        <w:right w:val="none" w:sz="0" w:space="0" w:color="auto"/>
      </w:divBdr>
      <w:divsChild>
        <w:div w:id="2024702280">
          <w:marLeft w:val="1166"/>
          <w:marRight w:val="0"/>
          <w:marTop w:val="106"/>
          <w:marBottom w:val="0"/>
          <w:divBdr>
            <w:top w:val="none" w:sz="0" w:space="0" w:color="auto"/>
            <w:left w:val="none" w:sz="0" w:space="0" w:color="auto"/>
            <w:bottom w:val="none" w:sz="0" w:space="0" w:color="auto"/>
            <w:right w:val="none" w:sz="0" w:space="0" w:color="auto"/>
          </w:divBdr>
        </w:div>
      </w:divsChild>
    </w:div>
    <w:div w:id="2024700106">
      <w:marLeft w:val="0"/>
      <w:marRight w:val="0"/>
      <w:marTop w:val="0"/>
      <w:marBottom w:val="0"/>
      <w:divBdr>
        <w:top w:val="none" w:sz="0" w:space="0" w:color="auto"/>
        <w:left w:val="none" w:sz="0" w:space="0" w:color="auto"/>
        <w:bottom w:val="none" w:sz="0" w:space="0" w:color="auto"/>
        <w:right w:val="none" w:sz="0" w:space="0" w:color="auto"/>
      </w:divBdr>
    </w:div>
    <w:div w:id="2024700111">
      <w:marLeft w:val="0"/>
      <w:marRight w:val="0"/>
      <w:marTop w:val="0"/>
      <w:marBottom w:val="0"/>
      <w:divBdr>
        <w:top w:val="none" w:sz="0" w:space="0" w:color="auto"/>
        <w:left w:val="none" w:sz="0" w:space="0" w:color="auto"/>
        <w:bottom w:val="none" w:sz="0" w:space="0" w:color="auto"/>
        <w:right w:val="none" w:sz="0" w:space="0" w:color="auto"/>
      </w:divBdr>
      <w:divsChild>
        <w:div w:id="2024701081">
          <w:marLeft w:val="1166"/>
          <w:marRight w:val="0"/>
          <w:marTop w:val="106"/>
          <w:marBottom w:val="0"/>
          <w:divBdr>
            <w:top w:val="none" w:sz="0" w:space="0" w:color="auto"/>
            <w:left w:val="none" w:sz="0" w:space="0" w:color="auto"/>
            <w:bottom w:val="none" w:sz="0" w:space="0" w:color="auto"/>
            <w:right w:val="none" w:sz="0" w:space="0" w:color="auto"/>
          </w:divBdr>
        </w:div>
        <w:div w:id="2024701609">
          <w:marLeft w:val="1166"/>
          <w:marRight w:val="0"/>
          <w:marTop w:val="106"/>
          <w:marBottom w:val="0"/>
          <w:divBdr>
            <w:top w:val="none" w:sz="0" w:space="0" w:color="auto"/>
            <w:left w:val="none" w:sz="0" w:space="0" w:color="auto"/>
            <w:bottom w:val="none" w:sz="0" w:space="0" w:color="auto"/>
            <w:right w:val="none" w:sz="0" w:space="0" w:color="auto"/>
          </w:divBdr>
        </w:div>
      </w:divsChild>
    </w:div>
    <w:div w:id="2024700122">
      <w:marLeft w:val="0"/>
      <w:marRight w:val="0"/>
      <w:marTop w:val="0"/>
      <w:marBottom w:val="0"/>
      <w:divBdr>
        <w:top w:val="none" w:sz="0" w:space="0" w:color="auto"/>
        <w:left w:val="none" w:sz="0" w:space="0" w:color="auto"/>
        <w:bottom w:val="none" w:sz="0" w:space="0" w:color="auto"/>
        <w:right w:val="none" w:sz="0" w:space="0" w:color="auto"/>
      </w:divBdr>
    </w:div>
    <w:div w:id="2024700158">
      <w:marLeft w:val="0"/>
      <w:marRight w:val="0"/>
      <w:marTop w:val="0"/>
      <w:marBottom w:val="0"/>
      <w:divBdr>
        <w:top w:val="none" w:sz="0" w:space="0" w:color="auto"/>
        <w:left w:val="none" w:sz="0" w:space="0" w:color="auto"/>
        <w:bottom w:val="none" w:sz="0" w:space="0" w:color="auto"/>
        <w:right w:val="none" w:sz="0" w:space="0" w:color="auto"/>
      </w:divBdr>
    </w:div>
    <w:div w:id="2024700194">
      <w:marLeft w:val="0"/>
      <w:marRight w:val="0"/>
      <w:marTop w:val="0"/>
      <w:marBottom w:val="0"/>
      <w:divBdr>
        <w:top w:val="none" w:sz="0" w:space="0" w:color="auto"/>
        <w:left w:val="none" w:sz="0" w:space="0" w:color="auto"/>
        <w:bottom w:val="none" w:sz="0" w:space="0" w:color="auto"/>
        <w:right w:val="none" w:sz="0" w:space="0" w:color="auto"/>
      </w:divBdr>
    </w:div>
    <w:div w:id="2024700201">
      <w:marLeft w:val="0"/>
      <w:marRight w:val="0"/>
      <w:marTop w:val="0"/>
      <w:marBottom w:val="0"/>
      <w:divBdr>
        <w:top w:val="none" w:sz="0" w:space="0" w:color="auto"/>
        <w:left w:val="none" w:sz="0" w:space="0" w:color="auto"/>
        <w:bottom w:val="none" w:sz="0" w:space="0" w:color="auto"/>
        <w:right w:val="none" w:sz="0" w:space="0" w:color="auto"/>
      </w:divBdr>
      <w:divsChild>
        <w:div w:id="2024703433">
          <w:marLeft w:val="1166"/>
          <w:marRight w:val="0"/>
          <w:marTop w:val="106"/>
          <w:marBottom w:val="0"/>
          <w:divBdr>
            <w:top w:val="none" w:sz="0" w:space="0" w:color="auto"/>
            <w:left w:val="none" w:sz="0" w:space="0" w:color="auto"/>
            <w:bottom w:val="none" w:sz="0" w:space="0" w:color="auto"/>
            <w:right w:val="none" w:sz="0" w:space="0" w:color="auto"/>
          </w:divBdr>
        </w:div>
        <w:div w:id="2024706113">
          <w:marLeft w:val="1166"/>
          <w:marRight w:val="0"/>
          <w:marTop w:val="106"/>
          <w:marBottom w:val="0"/>
          <w:divBdr>
            <w:top w:val="none" w:sz="0" w:space="0" w:color="auto"/>
            <w:left w:val="none" w:sz="0" w:space="0" w:color="auto"/>
            <w:bottom w:val="none" w:sz="0" w:space="0" w:color="auto"/>
            <w:right w:val="none" w:sz="0" w:space="0" w:color="auto"/>
          </w:divBdr>
        </w:div>
      </w:divsChild>
    </w:div>
    <w:div w:id="2024700214">
      <w:marLeft w:val="0"/>
      <w:marRight w:val="0"/>
      <w:marTop w:val="0"/>
      <w:marBottom w:val="0"/>
      <w:divBdr>
        <w:top w:val="none" w:sz="0" w:space="0" w:color="auto"/>
        <w:left w:val="none" w:sz="0" w:space="0" w:color="auto"/>
        <w:bottom w:val="none" w:sz="0" w:space="0" w:color="auto"/>
        <w:right w:val="none" w:sz="0" w:space="0" w:color="auto"/>
      </w:divBdr>
    </w:div>
    <w:div w:id="2024700241">
      <w:marLeft w:val="0"/>
      <w:marRight w:val="0"/>
      <w:marTop w:val="0"/>
      <w:marBottom w:val="0"/>
      <w:divBdr>
        <w:top w:val="none" w:sz="0" w:space="0" w:color="auto"/>
        <w:left w:val="none" w:sz="0" w:space="0" w:color="auto"/>
        <w:bottom w:val="none" w:sz="0" w:space="0" w:color="auto"/>
        <w:right w:val="none" w:sz="0" w:space="0" w:color="auto"/>
      </w:divBdr>
      <w:divsChild>
        <w:div w:id="2024703807">
          <w:marLeft w:val="0"/>
          <w:marRight w:val="0"/>
          <w:marTop w:val="0"/>
          <w:marBottom w:val="0"/>
          <w:divBdr>
            <w:top w:val="none" w:sz="0" w:space="0" w:color="auto"/>
            <w:left w:val="none" w:sz="0" w:space="0" w:color="auto"/>
            <w:bottom w:val="none" w:sz="0" w:space="0" w:color="auto"/>
            <w:right w:val="none" w:sz="0" w:space="0" w:color="auto"/>
          </w:divBdr>
        </w:div>
      </w:divsChild>
    </w:div>
    <w:div w:id="2024700276">
      <w:marLeft w:val="0"/>
      <w:marRight w:val="0"/>
      <w:marTop w:val="0"/>
      <w:marBottom w:val="0"/>
      <w:divBdr>
        <w:top w:val="none" w:sz="0" w:space="0" w:color="auto"/>
        <w:left w:val="none" w:sz="0" w:space="0" w:color="auto"/>
        <w:bottom w:val="none" w:sz="0" w:space="0" w:color="auto"/>
        <w:right w:val="none" w:sz="0" w:space="0" w:color="auto"/>
      </w:divBdr>
    </w:div>
    <w:div w:id="2024700295">
      <w:marLeft w:val="0"/>
      <w:marRight w:val="0"/>
      <w:marTop w:val="0"/>
      <w:marBottom w:val="0"/>
      <w:divBdr>
        <w:top w:val="none" w:sz="0" w:space="0" w:color="auto"/>
        <w:left w:val="none" w:sz="0" w:space="0" w:color="auto"/>
        <w:bottom w:val="none" w:sz="0" w:space="0" w:color="auto"/>
        <w:right w:val="none" w:sz="0" w:space="0" w:color="auto"/>
      </w:divBdr>
    </w:div>
    <w:div w:id="2024700299">
      <w:marLeft w:val="0"/>
      <w:marRight w:val="0"/>
      <w:marTop w:val="0"/>
      <w:marBottom w:val="0"/>
      <w:divBdr>
        <w:top w:val="none" w:sz="0" w:space="0" w:color="auto"/>
        <w:left w:val="none" w:sz="0" w:space="0" w:color="auto"/>
        <w:bottom w:val="none" w:sz="0" w:space="0" w:color="auto"/>
        <w:right w:val="none" w:sz="0" w:space="0" w:color="auto"/>
      </w:divBdr>
      <w:divsChild>
        <w:div w:id="2024699482">
          <w:marLeft w:val="0"/>
          <w:marRight w:val="0"/>
          <w:marTop w:val="0"/>
          <w:marBottom w:val="0"/>
          <w:divBdr>
            <w:top w:val="none" w:sz="0" w:space="0" w:color="auto"/>
            <w:left w:val="none" w:sz="0" w:space="0" w:color="auto"/>
            <w:bottom w:val="none" w:sz="0" w:space="0" w:color="auto"/>
            <w:right w:val="none" w:sz="0" w:space="0" w:color="auto"/>
          </w:divBdr>
        </w:div>
        <w:div w:id="2024699918">
          <w:marLeft w:val="0"/>
          <w:marRight w:val="0"/>
          <w:marTop w:val="0"/>
          <w:marBottom w:val="0"/>
          <w:divBdr>
            <w:top w:val="none" w:sz="0" w:space="0" w:color="auto"/>
            <w:left w:val="none" w:sz="0" w:space="0" w:color="auto"/>
            <w:bottom w:val="none" w:sz="0" w:space="0" w:color="auto"/>
            <w:right w:val="none" w:sz="0" w:space="0" w:color="auto"/>
          </w:divBdr>
        </w:div>
        <w:div w:id="2024700303">
          <w:marLeft w:val="0"/>
          <w:marRight w:val="0"/>
          <w:marTop w:val="0"/>
          <w:marBottom w:val="0"/>
          <w:divBdr>
            <w:top w:val="none" w:sz="0" w:space="0" w:color="auto"/>
            <w:left w:val="none" w:sz="0" w:space="0" w:color="auto"/>
            <w:bottom w:val="none" w:sz="0" w:space="0" w:color="auto"/>
            <w:right w:val="none" w:sz="0" w:space="0" w:color="auto"/>
          </w:divBdr>
        </w:div>
        <w:div w:id="2024702361">
          <w:marLeft w:val="0"/>
          <w:marRight w:val="0"/>
          <w:marTop w:val="0"/>
          <w:marBottom w:val="0"/>
          <w:divBdr>
            <w:top w:val="none" w:sz="0" w:space="0" w:color="auto"/>
            <w:left w:val="none" w:sz="0" w:space="0" w:color="auto"/>
            <w:bottom w:val="none" w:sz="0" w:space="0" w:color="auto"/>
            <w:right w:val="none" w:sz="0" w:space="0" w:color="auto"/>
          </w:divBdr>
        </w:div>
        <w:div w:id="2024705645">
          <w:marLeft w:val="0"/>
          <w:marRight w:val="0"/>
          <w:marTop w:val="0"/>
          <w:marBottom w:val="0"/>
          <w:divBdr>
            <w:top w:val="none" w:sz="0" w:space="0" w:color="auto"/>
            <w:left w:val="none" w:sz="0" w:space="0" w:color="auto"/>
            <w:bottom w:val="none" w:sz="0" w:space="0" w:color="auto"/>
            <w:right w:val="none" w:sz="0" w:space="0" w:color="auto"/>
          </w:divBdr>
        </w:div>
        <w:div w:id="2024705929">
          <w:marLeft w:val="0"/>
          <w:marRight w:val="0"/>
          <w:marTop w:val="0"/>
          <w:marBottom w:val="0"/>
          <w:divBdr>
            <w:top w:val="none" w:sz="0" w:space="0" w:color="auto"/>
            <w:left w:val="none" w:sz="0" w:space="0" w:color="auto"/>
            <w:bottom w:val="none" w:sz="0" w:space="0" w:color="auto"/>
            <w:right w:val="none" w:sz="0" w:space="0" w:color="auto"/>
          </w:divBdr>
        </w:div>
      </w:divsChild>
    </w:div>
    <w:div w:id="2024700335">
      <w:marLeft w:val="0"/>
      <w:marRight w:val="0"/>
      <w:marTop w:val="0"/>
      <w:marBottom w:val="0"/>
      <w:divBdr>
        <w:top w:val="none" w:sz="0" w:space="0" w:color="auto"/>
        <w:left w:val="none" w:sz="0" w:space="0" w:color="auto"/>
        <w:bottom w:val="none" w:sz="0" w:space="0" w:color="auto"/>
        <w:right w:val="none" w:sz="0" w:space="0" w:color="auto"/>
      </w:divBdr>
    </w:div>
    <w:div w:id="2024700346">
      <w:marLeft w:val="0"/>
      <w:marRight w:val="0"/>
      <w:marTop w:val="0"/>
      <w:marBottom w:val="0"/>
      <w:divBdr>
        <w:top w:val="none" w:sz="0" w:space="0" w:color="auto"/>
        <w:left w:val="none" w:sz="0" w:space="0" w:color="auto"/>
        <w:bottom w:val="none" w:sz="0" w:space="0" w:color="auto"/>
        <w:right w:val="none" w:sz="0" w:space="0" w:color="auto"/>
      </w:divBdr>
    </w:div>
    <w:div w:id="2024700434">
      <w:marLeft w:val="0"/>
      <w:marRight w:val="0"/>
      <w:marTop w:val="0"/>
      <w:marBottom w:val="0"/>
      <w:divBdr>
        <w:top w:val="none" w:sz="0" w:space="0" w:color="auto"/>
        <w:left w:val="none" w:sz="0" w:space="0" w:color="auto"/>
        <w:bottom w:val="none" w:sz="0" w:space="0" w:color="auto"/>
        <w:right w:val="none" w:sz="0" w:space="0" w:color="auto"/>
      </w:divBdr>
    </w:div>
    <w:div w:id="2024700486">
      <w:marLeft w:val="0"/>
      <w:marRight w:val="0"/>
      <w:marTop w:val="0"/>
      <w:marBottom w:val="0"/>
      <w:divBdr>
        <w:top w:val="none" w:sz="0" w:space="0" w:color="auto"/>
        <w:left w:val="none" w:sz="0" w:space="0" w:color="auto"/>
        <w:bottom w:val="none" w:sz="0" w:space="0" w:color="auto"/>
        <w:right w:val="none" w:sz="0" w:space="0" w:color="auto"/>
      </w:divBdr>
      <w:divsChild>
        <w:div w:id="2024702541">
          <w:marLeft w:val="0"/>
          <w:marRight w:val="0"/>
          <w:marTop w:val="0"/>
          <w:marBottom w:val="0"/>
          <w:divBdr>
            <w:top w:val="none" w:sz="0" w:space="0" w:color="auto"/>
            <w:left w:val="none" w:sz="0" w:space="0" w:color="auto"/>
            <w:bottom w:val="none" w:sz="0" w:space="0" w:color="auto"/>
            <w:right w:val="none" w:sz="0" w:space="0" w:color="auto"/>
          </w:divBdr>
          <w:divsChild>
            <w:div w:id="2024702324">
              <w:marLeft w:val="0"/>
              <w:marRight w:val="0"/>
              <w:marTop w:val="0"/>
              <w:marBottom w:val="0"/>
              <w:divBdr>
                <w:top w:val="none" w:sz="0" w:space="0" w:color="auto"/>
                <w:left w:val="none" w:sz="0" w:space="0" w:color="auto"/>
                <w:bottom w:val="none" w:sz="0" w:space="0" w:color="auto"/>
                <w:right w:val="none" w:sz="0" w:space="0" w:color="auto"/>
              </w:divBdr>
              <w:divsChild>
                <w:div w:id="2024703309">
                  <w:marLeft w:val="0"/>
                  <w:marRight w:val="0"/>
                  <w:marTop w:val="0"/>
                  <w:marBottom w:val="0"/>
                  <w:divBdr>
                    <w:top w:val="none" w:sz="0" w:space="0" w:color="auto"/>
                    <w:left w:val="none" w:sz="0" w:space="0" w:color="auto"/>
                    <w:bottom w:val="none" w:sz="0" w:space="0" w:color="auto"/>
                    <w:right w:val="none" w:sz="0" w:space="0" w:color="auto"/>
                  </w:divBdr>
                  <w:divsChild>
                    <w:div w:id="2024704745">
                      <w:marLeft w:val="0"/>
                      <w:marRight w:val="0"/>
                      <w:marTop w:val="0"/>
                      <w:marBottom w:val="0"/>
                      <w:divBdr>
                        <w:top w:val="none" w:sz="0" w:space="0" w:color="auto"/>
                        <w:left w:val="none" w:sz="0" w:space="0" w:color="auto"/>
                        <w:bottom w:val="none" w:sz="0" w:space="0" w:color="auto"/>
                        <w:right w:val="none" w:sz="0" w:space="0" w:color="auto"/>
                      </w:divBdr>
                      <w:divsChild>
                        <w:div w:id="20247026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24700501">
      <w:marLeft w:val="0"/>
      <w:marRight w:val="0"/>
      <w:marTop w:val="0"/>
      <w:marBottom w:val="0"/>
      <w:divBdr>
        <w:top w:val="none" w:sz="0" w:space="0" w:color="auto"/>
        <w:left w:val="none" w:sz="0" w:space="0" w:color="auto"/>
        <w:bottom w:val="none" w:sz="0" w:space="0" w:color="auto"/>
        <w:right w:val="none" w:sz="0" w:space="0" w:color="auto"/>
      </w:divBdr>
    </w:div>
    <w:div w:id="2024700539">
      <w:marLeft w:val="0"/>
      <w:marRight w:val="0"/>
      <w:marTop w:val="0"/>
      <w:marBottom w:val="0"/>
      <w:divBdr>
        <w:top w:val="none" w:sz="0" w:space="0" w:color="auto"/>
        <w:left w:val="none" w:sz="0" w:space="0" w:color="auto"/>
        <w:bottom w:val="none" w:sz="0" w:space="0" w:color="auto"/>
        <w:right w:val="none" w:sz="0" w:space="0" w:color="auto"/>
      </w:divBdr>
      <w:divsChild>
        <w:div w:id="2024702427">
          <w:marLeft w:val="0"/>
          <w:marRight w:val="0"/>
          <w:marTop w:val="0"/>
          <w:marBottom w:val="0"/>
          <w:divBdr>
            <w:top w:val="none" w:sz="0" w:space="0" w:color="auto"/>
            <w:left w:val="none" w:sz="0" w:space="0" w:color="auto"/>
            <w:bottom w:val="none" w:sz="0" w:space="0" w:color="auto"/>
            <w:right w:val="none" w:sz="0" w:space="0" w:color="auto"/>
          </w:divBdr>
        </w:div>
      </w:divsChild>
    </w:div>
    <w:div w:id="2024700593">
      <w:marLeft w:val="0"/>
      <w:marRight w:val="0"/>
      <w:marTop w:val="0"/>
      <w:marBottom w:val="0"/>
      <w:divBdr>
        <w:top w:val="none" w:sz="0" w:space="0" w:color="auto"/>
        <w:left w:val="none" w:sz="0" w:space="0" w:color="auto"/>
        <w:bottom w:val="none" w:sz="0" w:space="0" w:color="auto"/>
        <w:right w:val="none" w:sz="0" w:space="0" w:color="auto"/>
      </w:divBdr>
    </w:div>
    <w:div w:id="2024700631">
      <w:marLeft w:val="0"/>
      <w:marRight w:val="0"/>
      <w:marTop w:val="0"/>
      <w:marBottom w:val="0"/>
      <w:divBdr>
        <w:top w:val="none" w:sz="0" w:space="0" w:color="auto"/>
        <w:left w:val="none" w:sz="0" w:space="0" w:color="auto"/>
        <w:bottom w:val="none" w:sz="0" w:space="0" w:color="auto"/>
        <w:right w:val="none" w:sz="0" w:space="0" w:color="auto"/>
      </w:divBdr>
    </w:div>
    <w:div w:id="2024700699">
      <w:marLeft w:val="0"/>
      <w:marRight w:val="0"/>
      <w:marTop w:val="0"/>
      <w:marBottom w:val="0"/>
      <w:divBdr>
        <w:top w:val="none" w:sz="0" w:space="0" w:color="auto"/>
        <w:left w:val="none" w:sz="0" w:space="0" w:color="auto"/>
        <w:bottom w:val="none" w:sz="0" w:space="0" w:color="auto"/>
        <w:right w:val="none" w:sz="0" w:space="0" w:color="auto"/>
      </w:divBdr>
    </w:div>
    <w:div w:id="2024700727">
      <w:marLeft w:val="0"/>
      <w:marRight w:val="0"/>
      <w:marTop w:val="0"/>
      <w:marBottom w:val="0"/>
      <w:divBdr>
        <w:top w:val="none" w:sz="0" w:space="0" w:color="auto"/>
        <w:left w:val="none" w:sz="0" w:space="0" w:color="auto"/>
        <w:bottom w:val="none" w:sz="0" w:space="0" w:color="auto"/>
        <w:right w:val="none" w:sz="0" w:space="0" w:color="auto"/>
      </w:divBdr>
      <w:divsChild>
        <w:div w:id="2024699716">
          <w:marLeft w:val="0"/>
          <w:marRight w:val="0"/>
          <w:marTop w:val="0"/>
          <w:marBottom w:val="0"/>
          <w:divBdr>
            <w:top w:val="none" w:sz="0" w:space="0" w:color="auto"/>
            <w:left w:val="none" w:sz="0" w:space="0" w:color="auto"/>
            <w:bottom w:val="none" w:sz="0" w:space="0" w:color="auto"/>
            <w:right w:val="none" w:sz="0" w:space="0" w:color="auto"/>
          </w:divBdr>
        </w:div>
      </w:divsChild>
    </w:div>
    <w:div w:id="2024700735">
      <w:marLeft w:val="0"/>
      <w:marRight w:val="0"/>
      <w:marTop w:val="0"/>
      <w:marBottom w:val="0"/>
      <w:divBdr>
        <w:top w:val="none" w:sz="0" w:space="0" w:color="auto"/>
        <w:left w:val="none" w:sz="0" w:space="0" w:color="auto"/>
        <w:bottom w:val="none" w:sz="0" w:space="0" w:color="auto"/>
        <w:right w:val="none" w:sz="0" w:space="0" w:color="auto"/>
      </w:divBdr>
    </w:div>
    <w:div w:id="2024700819">
      <w:marLeft w:val="0"/>
      <w:marRight w:val="0"/>
      <w:marTop w:val="0"/>
      <w:marBottom w:val="0"/>
      <w:divBdr>
        <w:top w:val="none" w:sz="0" w:space="0" w:color="auto"/>
        <w:left w:val="none" w:sz="0" w:space="0" w:color="auto"/>
        <w:bottom w:val="none" w:sz="0" w:space="0" w:color="auto"/>
        <w:right w:val="none" w:sz="0" w:space="0" w:color="auto"/>
      </w:divBdr>
    </w:div>
    <w:div w:id="2024700831">
      <w:marLeft w:val="0"/>
      <w:marRight w:val="0"/>
      <w:marTop w:val="0"/>
      <w:marBottom w:val="0"/>
      <w:divBdr>
        <w:top w:val="none" w:sz="0" w:space="0" w:color="auto"/>
        <w:left w:val="none" w:sz="0" w:space="0" w:color="auto"/>
        <w:bottom w:val="none" w:sz="0" w:space="0" w:color="auto"/>
        <w:right w:val="none" w:sz="0" w:space="0" w:color="auto"/>
      </w:divBdr>
    </w:div>
    <w:div w:id="2024700863">
      <w:marLeft w:val="0"/>
      <w:marRight w:val="0"/>
      <w:marTop w:val="0"/>
      <w:marBottom w:val="0"/>
      <w:divBdr>
        <w:top w:val="none" w:sz="0" w:space="0" w:color="auto"/>
        <w:left w:val="none" w:sz="0" w:space="0" w:color="auto"/>
        <w:bottom w:val="none" w:sz="0" w:space="0" w:color="auto"/>
        <w:right w:val="none" w:sz="0" w:space="0" w:color="auto"/>
      </w:divBdr>
    </w:div>
    <w:div w:id="2024700913">
      <w:marLeft w:val="0"/>
      <w:marRight w:val="0"/>
      <w:marTop w:val="0"/>
      <w:marBottom w:val="0"/>
      <w:divBdr>
        <w:top w:val="none" w:sz="0" w:space="0" w:color="auto"/>
        <w:left w:val="none" w:sz="0" w:space="0" w:color="auto"/>
        <w:bottom w:val="none" w:sz="0" w:space="0" w:color="auto"/>
        <w:right w:val="none" w:sz="0" w:space="0" w:color="auto"/>
      </w:divBdr>
    </w:div>
    <w:div w:id="2024700954">
      <w:marLeft w:val="0"/>
      <w:marRight w:val="0"/>
      <w:marTop w:val="0"/>
      <w:marBottom w:val="0"/>
      <w:divBdr>
        <w:top w:val="none" w:sz="0" w:space="0" w:color="auto"/>
        <w:left w:val="none" w:sz="0" w:space="0" w:color="auto"/>
        <w:bottom w:val="none" w:sz="0" w:space="0" w:color="auto"/>
        <w:right w:val="none" w:sz="0" w:space="0" w:color="auto"/>
      </w:divBdr>
    </w:div>
    <w:div w:id="2024701019">
      <w:marLeft w:val="0"/>
      <w:marRight w:val="0"/>
      <w:marTop w:val="0"/>
      <w:marBottom w:val="0"/>
      <w:divBdr>
        <w:top w:val="none" w:sz="0" w:space="0" w:color="auto"/>
        <w:left w:val="none" w:sz="0" w:space="0" w:color="auto"/>
        <w:bottom w:val="none" w:sz="0" w:space="0" w:color="auto"/>
        <w:right w:val="none" w:sz="0" w:space="0" w:color="auto"/>
      </w:divBdr>
      <w:divsChild>
        <w:div w:id="2024700324">
          <w:marLeft w:val="1166"/>
          <w:marRight w:val="0"/>
          <w:marTop w:val="106"/>
          <w:marBottom w:val="0"/>
          <w:divBdr>
            <w:top w:val="none" w:sz="0" w:space="0" w:color="auto"/>
            <w:left w:val="none" w:sz="0" w:space="0" w:color="auto"/>
            <w:bottom w:val="none" w:sz="0" w:space="0" w:color="auto"/>
            <w:right w:val="none" w:sz="0" w:space="0" w:color="auto"/>
          </w:divBdr>
        </w:div>
        <w:div w:id="2024700555">
          <w:marLeft w:val="1166"/>
          <w:marRight w:val="0"/>
          <w:marTop w:val="106"/>
          <w:marBottom w:val="0"/>
          <w:divBdr>
            <w:top w:val="none" w:sz="0" w:space="0" w:color="auto"/>
            <w:left w:val="none" w:sz="0" w:space="0" w:color="auto"/>
            <w:bottom w:val="none" w:sz="0" w:space="0" w:color="auto"/>
            <w:right w:val="none" w:sz="0" w:space="0" w:color="auto"/>
          </w:divBdr>
        </w:div>
        <w:div w:id="2024702410">
          <w:marLeft w:val="1166"/>
          <w:marRight w:val="0"/>
          <w:marTop w:val="106"/>
          <w:marBottom w:val="0"/>
          <w:divBdr>
            <w:top w:val="none" w:sz="0" w:space="0" w:color="auto"/>
            <w:left w:val="none" w:sz="0" w:space="0" w:color="auto"/>
            <w:bottom w:val="none" w:sz="0" w:space="0" w:color="auto"/>
            <w:right w:val="none" w:sz="0" w:space="0" w:color="auto"/>
          </w:divBdr>
        </w:div>
        <w:div w:id="2024703581">
          <w:marLeft w:val="1166"/>
          <w:marRight w:val="0"/>
          <w:marTop w:val="106"/>
          <w:marBottom w:val="0"/>
          <w:divBdr>
            <w:top w:val="none" w:sz="0" w:space="0" w:color="auto"/>
            <w:left w:val="none" w:sz="0" w:space="0" w:color="auto"/>
            <w:bottom w:val="none" w:sz="0" w:space="0" w:color="auto"/>
            <w:right w:val="none" w:sz="0" w:space="0" w:color="auto"/>
          </w:divBdr>
        </w:div>
      </w:divsChild>
    </w:div>
    <w:div w:id="2024701124">
      <w:marLeft w:val="0"/>
      <w:marRight w:val="0"/>
      <w:marTop w:val="0"/>
      <w:marBottom w:val="0"/>
      <w:divBdr>
        <w:top w:val="none" w:sz="0" w:space="0" w:color="auto"/>
        <w:left w:val="none" w:sz="0" w:space="0" w:color="auto"/>
        <w:bottom w:val="none" w:sz="0" w:space="0" w:color="auto"/>
        <w:right w:val="none" w:sz="0" w:space="0" w:color="auto"/>
      </w:divBdr>
      <w:divsChild>
        <w:div w:id="2024701150">
          <w:marLeft w:val="0"/>
          <w:marRight w:val="0"/>
          <w:marTop w:val="0"/>
          <w:marBottom w:val="0"/>
          <w:divBdr>
            <w:top w:val="none" w:sz="0" w:space="0" w:color="auto"/>
            <w:left w:val="none" w:sz="0" w:space="0" w:color="auto"/>
            <w:bottom w:val="none" w:sz="0" w:space="0" w:color="auto"/>
            <w:right w:val="none" w:sz="0" w:space="0" w:color="auto"/>
          </w:divBdr>
        </w:div>
      </w:divsChild>
    </w:div>
    <w:div w:id="2024701128">
      <w:marLeft w:val="0"/>
      <w:marRight w:val="0"/>
      <w:marTop w:val="0"/>
      <w:marBottom w:val="0"/>
      <w:divBdr>
        <w:top w:val="none" w:sz="0" w:space="0" w:color="auto"/>
        <w:left w:val="none" w:sz="0" w:space="0" w:color="auto"/>
        <w:bottom w:val="none" w:sz="0" w:space="0" w:color="auto"/>
        <w:right w:val="none" w:sz="0" w:space="0" w:color="auto"/>
      </w:divBdr>
    </w:div>
    <w:div w:id="2024701224">
      <w:marLeft w:val="0"/>
      <w:marRight w:val="0"/>
      <w:marTop w:val="0"/>
      <w:marBottom w:val="0"/>
      <w:divBdr>
        <w:top w:val="none" w:sz="0" w:space="0" w:color="auto"/>
        <w:left w:val="none" w:sz="0" w:space="0" w:color="auto"/>
        <w:bottom w:val="none" w:sz="0" w:space="0" w:color="auto"/>
        <w:right w:val="none" w:sz="0" w:space="0" w:color="auto"/>
      </w:divBdr>
    </w:div>
    <w:div w:id="2024701244">
      <w:marLeft w:val="0"/>
      <w:marRight w:val="0"/>
      <w:marTop w:val="0"/>
      <w:marBottom w:val="0"/>
      <w:divBdr>
        <w:top w:val="none" w:sz="0" w:space="0" w:color="auto"/>
        <w:left w:val="none" w:sz="0" w:space="0" w:color="auto"/>
        <w:bottom w:val="none" w:sz="0" w:space="0" w:color="auto"/>
        <w:right w:val="none" w:sz="0" w:space="0" w:color="auto"/>
      </w:divBdr>
    </w:div>
    <w:div w:id="2024701255">
      <w:marLeft w:val="0"/>
      <w:marRight w:val="0"/>
      <w:marTop w:val="0"/>
      <w:marBottom w:val="0"/>
      <w:divBdr>
        <w:top w:val="none" w:sz="0" w:space="0" w:color="auto"/>
        <w:left w:val="none" w:sz="0" w:space="0" w:color="auto"/>
        <w:bottom w:val="none" w:sz="0" w:space="0" w:color="auto"/>
        <w:right w:val="none" w:sz="0" w:space="0" w:color="auto"/>
      </w:divBdr>
    </w:div>
    <w:div w:id="2024701344">
      <w:marLeft w:val="0"/>
      <w:marRight w:val="0"/>
      <w:marTop w:val="0"/>
      <w:marBottom w:val="0"/>
      <w:divBdr>
        <w:top w:val="none" w:sz="0" w:space="0" w:color="auto"/>
        <w:left w:val="none" w:sz="0" w:space="0" w:color="auto"/>
        <w:bottom w:val="none" w:sz="0" w:space="0" w:color="auto"/>
        <w:right w:val="none" w:sz="0" w:space="0" w:color="auto"/>
      </w:divBdr>
    </w:div>
    <w:div w:id="2024701349">
      <w:marLeft w:val="0"/>
      <w:marRight w:val="0"/>
      <w:marTop w:val="0"/>
      <w:marBottom w:val="0"/>
      <w:divBdr>
        <w:top w:val="none" w:sz="0" w:space="0" w:color="auto"/>
        <w:left w:val="none" w:sz="0" w:space="0" w:color="auto"/>
        <w:bottom w:val="none" w:sz="0" w:space="0" w:color="auto"/>
        <w:right w:val="none" w:sz="0" w:space="0" w:color="auto"/>
      </w:divBdr>
    </w:div>
    <w:div w:id="2024701354">
      <w:marLeft w:val="0"/>
      <w:marRight w:val="0"/>
      <w:marTop w:val="0"/>
      <w:marBottom w:val="0"/>
      <w:divBdr>
        <w:top w:val="none" w:sz="0" w:space="0" w:color="auto"/>
        <w:left w:val="none" w:sz="0" w:space="0" w:color="auto"/>
        <w:bottom w:val="none" w:sz="0" w:space="0" w:color="auto"/>
        <w:right w:val="none" w:sz="0" w:space="0" w:color="auto"/>
      </w:divBdr>
    </w:div>
    <w:div w:id="2024701357">
      <w:marLeft w:val="0"/>
      <w:marRight w:val="0"/>
      <w:marTop w:val="0"/>
      <w:marBottom w:val="0"/>
      <w:divBdr>
        <w:top w:val="none" w:sz="0" w:space="0" w:color="auto"/>
        <w:left w:val="none" w:sz="0" w:space="0" w:color="auto"/>
        <w:bottom w:val="none" w:sz="0" w:space="0" w:color="auto"/>
        <w:right w:val="none" w:sz="0" w:space="0" w:color="auto"/>
      </w:divBdr>
    </w:div>
    <w:div w:id="2024701418">
      <w:marLeft w:val="0"/>
      <w:marRight w:val="0"/>
      <w:marTop w:val="0"/>
      <w:marBottom w:val="0"/>
      <w:divBdr>
        <w:top w:val="none" w:sz="0" w:space="0" w:color="auto"/>
        <w:left w:val="none" w:sz="0" w:space="0" w:color="auto"/>
        <w:bottom w:val="none" w:sz="0" w:space="0" w:color="auto"/>
        <w:right w:val="none" w:sz="0" w:space="0" w:color="auto"/>
      </w:divBdr>
    </w:div>
    <w:div w:id="2024701504">
      <w:marLeft w:val="0"/>
      <w:marRight w:val="0"/>
      <w:marTop w:val="0"/>
      <w:marBottom w:val="0"/>
      <w:divBdr>
        <w:top w:val="none" w:sz="0" w:space="0" w:color="auto"/>
        <w:left w:val="none" w:sz="0" w:space="0" w:color="auto"/>
        <w:bottom w:val="none" w:sz="0" w:space="0" w:color="auto"/>
        <w:right w:val="none" w:sz="0" w:space="0" w:color="auto"/>
      </w:divBdr>
      <w:divsChild>
        <w:div w:id="2024702268">
          <w:marLeft w:val="0"/>
          <w:marRight w:val="0"/>
          <w:marTop w:val="0"/>
          <w:marBottom w:val="0"/>
          <w:divBdr>
            <w:top w:val="none" w:sz="0" w:space="0" w:color="auto"/>
            <w:left w:val="none" w:sz="0" w:space="0" w:color="auto"/>
            <w:bottom w:val="none" w:sz="0" w:space="0" w:color="auto"/>
            <w:right w:val="none" w:sz="0" w:space="0" w:color="auto"/>
          </w:divBdr>
          <w:divsChild>
            <w:div w:id="2024705580">
              <w:marLeft w:val="0"/>
              <w:marRight w:val="0"/>
              <w:marTop w:val="0"/>
              <w:marBottom w:val="0"/>
              <w:divBdr>
                <w:top w:val="none" w:sz="0" w:space="0" w:color="auto"/>
                <w:left w:val="none" w:sz="0" w:space="0" w:color="auto"/>
                <w:bottom w:val="none" w:sz="0" w:space="0" w:color="auto"/>
                <w:right w:val="none" w:sz="0" w:space="0" w:color="auto"/>
              </w:divBdr>
              <w:divsChild>
                <w:div w:id="2024703729">
                  <w:marLeft w:val="0"/>
                  <w:marRight w:val="0"/>
                  <w:marTop w:val="0"/>
                  <w:marBottom w:val="0"/>
                  <w:divBdr>
                    <w:top w:val="none" w:sz="0" w:space="0" w:color="auto"/>
                    <w:left w:val="none" w:sz="0" w:space="0" w:color="auto"/>
                    <w:bottom w:val="none" w:sz="0" w:space="0" w:color="auto"/>
                    <w:right w:val="none" w:sz="0" w:space="0" w:color="auto"/>
                  </w:divBdr>
                  <w:divsChild>
                    <w:div w:id="2024703123">
                      <w:marLeft w:val="0"/>
                      <w:marRight w:val="0"/>
                      <w:marTop w:val="0"/>
                      <w:marBottom w:val="0"/>
                      <w:divBdr>
                        <w:top w:val="none" w:sz="0" w:space="0" w:color="auto"/>
                        <w:left w:val="none" w:sz="0" w:space="0" w:color="auto"/>
                        <w:bottom w:val="none" w:sz="0" w:space="0" w:color="auto"/>
                        <w:right w:val="none" w:sz="0" w:space="0" w:color="auto"/>
                      </w:divBdr>
                      <w:divsChild>
                        <w:div w:id="2024704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24701618">
      <w:marLeft w:val="0"/>
      <w:marRight w:val="0"/>
      <w:marTop w:val="0"/>
      <w:marBottom w:val="0"/>
      <w:divBdr>
        <w:top w:val="none" w:sz="0" w:space="0" w:color="auto"/>
        <w:left w:val="none" w:sz="0" w:space="0" w:color="auto"/>
        <w:bottom w:val="none" w:sz="0" w:space="0" w:color="auto"/>
        <w:right w:val="none" w:sz="0" w:space="0" w:color="auto"/>
      </w:divBdr>
      <w:divsChild>
        <w:div w:id="2024702969">
          <w:marLeft w:val="1166"/>
          <w:marRight w:val="0"/>
          <w:marTop w:val="106"/>
          <w:marBottom w:val="0"/>
          <w:divBdr>
            <w:top w:val="none" w:sz="0" w:space="0" w:color="auto"/>
            <w:left w:val="none" w:sz="0" w:space="0" w:color="auto"/>
            <w:bottom w:val="none" w:sz="0" w:space="0" w:color="auto"/>
            <w:right w:val="none" w:sz="0" w:space="0" w:color="auto"/>
          </w:divBdr>
        </w:div>
        <w:div w:id="2024704933">
          <w:marLeft w:val="1166"/>
          <w:marRight w:val="0"/>
          <w:marTop w:val="106"/>
          <w:marBottom w:val="0"/>
          <w:divBdr>
            <w:top w:val="none" w:sz="0" w:space="0" w:color="auto"/>
            <w:left w:val="none" w:sz="0" w:space="0" w:color="auto"/>
            <w:bottom w:val="none" w:sz="0" w:space="0" w:color="auto"/>
            <w:right w:val="none" w:sz="0" w:space="0" w:color="auto"/>
          </w:divBdr>
        </w:div>
      </w:divsChild>
    </w:div>
    <w:div w:id="2024701655">
      <w:marLeft w:val="0"/>
      <w:marRight w:val="0"/>
      <w:marTop w:val="0"/>
      <w:marBottom w:val="0"/>
      <w:divBdr>
        <w:top w:val="none" w:sz="0" w:space="0" w:color="auto"/>
        <w:left w:val="none" w:sz="0" w:space="0" w:color="auto"/>
        <w:bottom w:val="none" w:sz="0" w:space="0" w:color="auto"/>
        <w:right w:val="none" w:sz="0" w:space="0" w:color="auto"/>
      </w:divBdr>
    </w:div>
    <w:div w:id="2024701663">
      <w:marLeft w:val="0"/>
      <w:marRight w:val="0"/>
      <w:marTop w:val="0"/>
      <w:marBottom w:val="0"/>
      <w:divBdr>
        <w:top w:val="none" w:sz="0" w:space="0" w:color="auto"/>
        <w:left w:val="none" w:sz="0" w:space="0" w:color="auto"/>
        <w:bottom w:val="none" w:sz="0" w:space="0" w:color="auto"/>
        <w:right w:val="none" w:sz="0" w:space="0" w:color="auto"/>
      </w:divBdr>
    </w:div>
    <w:div w:id="2024701695">
      <w:marLeft w:val="0"/>
      <w:marRight w:val="0"/>
      <w:marTop w:val="0"/>
      <w:marBottom w:val="0"/>
      <w:divBdr>
        <w:top w:val="none" w:sz="0" w:space="0" w:color="auto"/>
        <w:left w:val="none" w:sz="0" w:space="0" w:color="auto"/>
        <w:bottom w:val="none" w:sz="0" w:space="0" w:color="auto"/>
        <w:right w:val="none" w:sz="0" w:space="0" w:color="auto"/>
      </w:divBdr>
    </w:div>
    <w:div w:id="2024701703">
      <w:marLeft w:val="0"/>
      <w:marRight w:val="0"/>
      <w:marTop w:val="0"/>
      <w:marBottom w:val="0"/>
      <w:divBdr>
        <w:top w:val="none" w:sz="0" w:space="0" w:color="auto"/>
        <w:left w:val="none" w:sz="0" w:space="0" w:color="auto"/>
        <w:bottom w:val="none" w:sz="0" w:space="0" w:color="auto"/>
        <w:right w:val="none" w:sz="0" w:space="0" w:color="auto"/>
      </w:divBdr>
      <w:divsChild>
        <w:div w:id="2024702229">
          <w:marLeft w:val="1166"/>
          <w:marRight w:val="0"/>
          <w:marTop w:val="115"/>
          <w:marBottom w:val="0"/>
          <w:divBdr>
            <w:top w:val="none" w:sz="0" w:space="0" w:color="auto"/>
            <w:left w:val="none" w:sz="0" w:space="0" w:color="auto"/>
            <w:bottom w:val="none" w:sz="0" w:space="0" w:color="auto"/>
            <w:right w:val="none" w:sz="0" w:space="0" w:color="auto"/>
          </w:divBdr>
        </w:div>
        <w:div w:id="2024703276">
          <w:marLeft w:val="1166"/>
          <w:marRight w:val="0"/>
          <w:marTop w:val="106"/>
          <w:marBottom w:val="0"/>
          <w:divBdr>
            <w:top w:val="none" w:sz="0" w:space="0" w:color="auto"/>
            <w:left w:val="none" w:sz="0" w:space="0" w:color="auto"/>
            <w:bottom w:val="none" w:sz="0" w:space="0" w:color="auto"/>
            <w:right w:val="none" w:sz="0" w:space="0" w:color="auto"/>
          </w:divBdr>
        </w:div>
      </w:divsChild>
    </w:div>
    <w:div w:id="2024701717">
      <w:marLeft w:val="0"/>
      <w:marRight w:val="0"/>
      <w:marTop w:val="0"/>
      <w:marBottom w:val="0"/>
      <w:divBdr>
        <w:top w:val="none" w:sz="0" w:space="0" w:color="auto"/>
        <w:left w:val="none" w:sz="0" w:space="0" w:color="auto"/>
        <w:bottom w:val="none" w:sz="0" w:space="0" w:color="auto"/>
        <w:right w:val="none" w:sz="0" w:space="0" w:color="auto"/>
      </w:divBdr>
    </w:div>
    <w:div w:id="2024701765">
      <w:marLeft w:val="0"/>
      <w:marRight w:val="0"/>
      <w:marTop w:val="0"/>
      <w:marBottom w:val="0"/>
      <w:divBdr>
        <w:top w:val="none" w:sz="0" w:space="0" w:color="auto"/>
        <w:left w:val="none" w:sz="0" w:space="0" w:color="auto"/>
        <w:bottom w:val="none" w:sz="0" w:space="0" w:color="auto"/>
        <w:right w:val="none" w:sz="0" w:space="0" w:color="auto"/>
      </w:divBdr>
    </w:div>
    <w:div w:id="2024701830">
      <w:marLeft w:val="0"/>
      <w:marRight w:val="0"/>
      <w:marTop w:val="0"/>
      <w:marBottom w:val="0"/>
      <w:divBdr>
        <w:top w:val="none" w:sz="0" w:space="0" w:color="auto"/>
        <w:left w:val="none" w:sz="0" w:space="0" w:color="auto"/>
        <w:bottom w:val="none" w:sz="0" w:space="0" w:color="auto"/>
        <w:right w:val="none" w:sz="0" w:space="0" w:color="auto"/>
      </w:divBdr>
      <w:divsChild>
        <w:div w:id="2024702872">
          <w:marLeft w:val="1166"/>
          <w:marRight w:val="0"/>
          <w:marTop w:val="106"/>
          <w:marBottom w:val="0"/>
          <w:divBdr>
            <w:top w:val="none" w:sz="0" w:space="0" w:color="auto"/>
            <w:left w:val="none" w:sz="0" w:space="0" w:color="auto"/>
            <w:bottom w:val="none" w:sz="0" w:space="0" w:color="auto"/>
            <w:right w:val="none" w:sz="0" w:space="0" w:color="auto"/>
          </w:divBdr>
        </w:div>
      </w:divsChild>
    </w:div>
    <w:div w:id="2024701872">
      <w:marLeft w:val="0"/>
      <w:marRight w:val="0"/>
      <w:marTop w:val="0"/>
      <w:marBottom w:val="0"/>
      <w:divBdr>
        <w:top w:val="none" w:sz="0" w:space="0" w:color="auto"/>
        <w:left w:val="none" w:sz="0" w:space="0" w:color="auto"/>
        <w:bottom w:val="none" w:sz="0" w:space="0" w:color="auto"/>
        <w:right w:val="none" w:sz="0" w:space="0" w:color="auto"/>
      </w:divBdr>
    </w:div>
    <w:div w:id="2024701990">
      <w:marLeft w:val="0"/>
      <w:marRight w:val="0"/>
      <w:marTop w:val="0"/>
      <w:marBottom w:val="0"/>
      <w:divBdr>
        <w:top w:val="none" w:sz="0" w:space="0" w:color="auto"/>
        <w:left w:val="none" w:sz="0" w:space="0" w:color="auto"/>
        <w:bottom w:val="none" w:sz="0" w:space="0" w:color="auto"/>
        <w:right w:val="none" w:sz="0" w:space="0" w:color="auto"/>
      </w:divBdr>
    </w:div>
    <w:div w:id="2024702004">
      <w:marLeft w:val="0"/>
      <w:marRight w:val="0"/>
      <w:marTop w:val="0"/>
      <w:marBottom w:val="0"/>
      <w:divBdr>
        <w:top w:val="none" w:sz="0" w:space="0" w:color="auto"/>
        <w:left w:val="none" w:sz="0" w:space="0" w:color="auto"/>
        <w:bottom w:val="none" w:sz="0" w:space="0" w:color="auto"/>
        <w:right w:val="none" w:sz="0" w:space="0" w:color="auto"/>
      </w:divBdr>
    </w:div>
    <w:div w:id="2024702104">
      <w:marLeft w:val="0"/>
      <w:marRight w:val="0"/>
      <w:marTop w:val="0"/>
      <w:marBottom w:val="0"/>
      <w:divBdr>
        <w:top w:val="none" w:sz="0" w:space="0" w:color="auto"/>
        <w:left w:val="none" w:sz="0" w:space="0" w:color="auto"/>
        <w:bottom w:val="none" w:sz="0" w:space="0" w:color="auto"/>
        <w:right w:val="none" w:sz="0" w:space="0" w:color="auto"/>
      </w:divBdr>
    </w:div>
    <w:div w:id="2024702129">
      <w:marLeft w:val="0"/>
      <w:marRight w:val="0"/>
      <w:marTop w:val="0"/>
      <w:marBottom w:val="0"/>
      <w:divBdr>
        <w:top w:val="none" w:sz="0" w:space="0" w:color="auto"/>
        <w:left w:val="none" w:sz="0" w:space="0" w:color="auto"/>
        <w:bottom w:val="none" w:sz="0" w:space="0" w:color="auto"/>
        <w:right w:val="none" w:sz="0" w:space="0" w:color="auto"/>
      </w:divBdr>
    </w:div>
    <w:div w:id="2024702155">
      <w:marLeft w:val="0"/>
      <w:marRight w:val="0"/>
      <w:marTop w:val="0"/>
      <w:marBottom w:val="0"/>
      <w:divBdr>
        <w:top w:val="none" w:sz="0" w:space="0" w:color="auto"/>
        <w:left w:val="none" w:sz="0" w:space="0" w:color="auto"/>
        <w:bottom w:val="none" w:sz="0" w:space="0" w:color="auto"/>
        <w:right w:val="none" w:sz="0" w:space="0" w:color="auto"/>
      </w:divBdr>
    </w:div>
    <w:div w:id="2024702211">
      <w:marLeft w:val="0"/>
      <w:marRight w:val="0"/>
      <w:marTop w:val="0"/>
      <w:marBottom w:val="0"/>
      <w:divBdr>
        <w:top w:val="none" w:sz="0" w:space="0" w:color="auto"/>
        <w:left w:val="none" w:sz="0" w:space="0" w:color="auto"/>
        <w:bottom w:val="none" w:sz="0" w:space="0" w:color="auto"/>
        <w:right w:val="none" w:sz="0" w:space="0" w:color="auto"/>
      </w:divBdr>
      <w:divsChild>
        <w:div w:id="2024705128">
          <w:marLeft w:val="1166"/>
          <w:marRight w:val="0"/>
          <w:marTop w:val="106"/>
          <w:marBottom w:val="0"/>
          <w:divBdr>
            <w:top w:val="none" w:sz="0" w:space="0" w:color="auto"/>
            <w:left w:val="none" w:sz="0" w:space="0" w:color="auto"/>
            <w:bottom w:val="none" w:sz="0" w:space="0" w:color="auto"/>
            <w:right w:val="none" w:sz="0" w:space="0" w:color="auto"/>
          </w:divBdr>
        </w:div>
      </w:divsChild>
    </w:div>
    <w:div w:id="2024702226">
      <w:marLeft w:val="0"/>
      <w:marRight w:val="0"/>
      <w:marTop w:val="0"/>
      <w:marBottom w:val="0"/>
      <w:divBdr>
        <w:top w:val="none" w:sz="0" w:space="0" w:color="auto"/>
        <w:left w:val="none" w:sz="0" w:space="0" w:color="auto"/>
        <w:bottom w:val="none" w:sz="0" w:space="0" w:color="auto"/>
        <w:right w:val="none" w:sz="0" w:space="0" w:color="auto"/>
      </w:divBdr>
    </w:div>
    <w:div w:id="2024702236">
      <w:marLeft w:val="0"/>
      <w:marRight w:val="0"/>
      <w:marTop w:val="0"/>
      <w:marBottom w:val="0"/>
      <w:divBdr>
        <w:top w:val="none" w:sz="0" w:space="0" w:color="auto"/>
        <w:left w:val="none" w:sz="0" w:space="0" w:color="auto"/>
        <w:bottom w:val="none" w:sz="0" w:space="0" w:color="auto"/>
        <w:right w:val="none" w:sz="0" w:space="0" w:color="auto"/>
      </w:divBdr>
    </w:div>
    <w:div w:id="2024702293">
      <w:marLeft w:val="0"/>
      <w:marRight w:val="0"/>
      <w:marTop w:val="0"/>
      <w:marBottom w:val="0"/>
      <w:divBdr>
        <w:top w:val="none" w:sz="0" w:space="0" w:color="auto"/>
        <w:left w:val="none" w:sz="0" w:space="0" w:color="auto"/>
        <w:bottom w:val="none" w:sz="0" w:space="0" w:color="auto"/>
        <w:right w:val="none" w:sz="0" w:space="0" w:color="auto"/>
      </w:divBdr>
    </w:div>
    <w:div w:id="2024702328">
      <w:marLeft w:val="0"/>
      <w:marRight w:val="0"/>
      <w:marTop w:val="0"/>
      <w:marBottom w:val="0"/>
      <w:divBdr>
        <w:top w:val="none" w:sz="0" w:space="0" w:color="auto"/>
        <w:left w:val="none" w:sz="0" w:space="0" w:color="auto"/>
        <w:bottom w:val="none" w:sz="0" w:space="0" w:color="auto"/>
        <w:right w:val="none" w:sz="0" w:space="0" w:color="auto"/>
      </w:divBdr>
      <w:divsChild>
        <w:div w:id="2024703029">
          <w:marLeft w:val="1166"/>
          <w:marRight w:val="0"/>
          <w:marTop w:val="106"/>
          <w:marBottom w:val="0"/>
          <w:divBdr>
            <w:top w:val="none" w:sz="0" w:space="0" w:color="auto"/>
            <w:left w:val="none" w:sz="0" w:space="0" w:color="auto"/>
            <w:bottom w:val="none" w:sz="0" w:space="0" w:color="auto"/>
            <w:right w:val="none" w:sz="0" w:space="0" w:color="auto"/>
          </w:divBdr>
        </w:div>
        <w:div w:id="2024704988">
          <w:marLeft w:val="1166"/>
          <w:marRight w:val="0"/>
          <w:marTop w:val="106"/>
          <w:marBottom w:val="0"/>
          <w:divBdr>
            <w:top w:val="none" w:sz="0" w:space="0" w:color="auto"/>
            <w:left w:val="none" w:sz="0" w:space="0" w:color="auto"/>
            <w:bottom w:val="none" w:sz="0" w:space="0" w:color="auto"/>
            <w:right w:val="none" w:sz="0" w:space="0" w:color="auto"/>
          </w:divBdr>
        </w:div>
        <w:div w:id="2024705054">
          <w:marLeft w:val="1166"/>
          <w:marRight w:val="0"/>
          <w:marTop w:val="106"/>
          <w:marBottom w:val="0"/>
          <w:divBdr>
            <w:top w:val="none" w:sz="0" w:space="0" w:color="auto"/>
            <w:left w:val="none" w:sz="0" w:space="0" w:color="auto"/>
            <w:bottom w:val="none" w:sz="0" w:space="0" w:color="auto"/>
            <w:right w:val="none" w:sz="0" w:space="0" w:color="auto"/>
          </w:divBdr>
        </w:div>
      </w:divsChild>
    </w:div>
    <w:div w:id="2024702337">
      <w:marLeft w:val="0"/>
      <w:marRight w:val="0"/>
      <w:marTop w:val="0"/>
      <w:marBottom w:val="0"/>
      <w:divBdr>
        <w:top w:val="none" w:sz="0" w:space="0" w:color="auto"/>
        <w:left w:val="none" w:sz="0" w:space="0" w:color="auto"/>
        <w:bottom w:val="none" w:sz="0" w:space="0" w:color="auto"/>
        <w:right w:val="none" w:sz="0" w:space="0" w:color="auto"/>
      </w:divBdr>
    </w:div>
    <w:div w:id="2024702357">
      <w:marLeft w:val="0"/>
      <w:marRight w:val="0"/>
      <w:marTop w:val="0"/>
      <w:marBottom w:val="0"/>
      <w:divBdr>
        <w:top w:val="none" w:sz="0" w:space="0" w:color="auto"/>
        <w:left w:val="none" w:sz="0" w:space="0" w:color="auto"/>
        <w:bottom w:val="none" w:sz="0" w:space="0" w:color="auto"/>
        <w:right w:val="none" w:sz="0" w:space="0" w:color="auto"/>
      </w:divBdr>
    </w:div>
    <w:div w:id="2024702436">
      <w:marLeft w:val="0"/>
      <w:marRight w:val="0"/>
      <w:marTop w:val="0"/>
      <w:marBottom w:val="0"/>
      <w:divBdr>
        <w:top w:val="none" w:sz="0" w:space="0" w:color="auto"/>
        <w:left w:val="none" w:sz="0" w:space="0" w:color="auto"/>
        <w:bottom w:val="none" w:sz="0" w:space="0" w:color="auto"/>
        <w:right w:val="none" w:sz="0" w:space="0" w:color="auto"/>
      </w:divBdr>
    </w:div>
    <w:div w:id="2024702471">
      <w:marLeft w:val="0"/>
      <w:marRight w:val="0"/>
      <w:marTop w:val="0"/>
      <w:marBottom w:val="0"/>
      <w:divBdr>
        <w:top w:val="none" w:sz="0" w:space="0" w:color="auto"/>
        <w:left w:val="none" w:sz="0" w:space="0" w:color="auto"/>
        <w:bottom w:val="none" w:sz="0" w:space="0" w:color="auto"/>
        <w:right w:val="none" w:sz="0" w:space="0" w:color="auto"/>
      </w:divBdr>
    </w:div>
    <w:div w:id="2024702505">
      <w:marLeft w:val="0"/>
      <w:marRight w:val="0"/>
      <w:marTop w:val="0"/>
      <w:marBottom w:val="0"/>
      <w:divBdr>
        <w:top w:val="none" w:sz="0" w:space="0" w:color="auto"/>
        <w:left w:val="none" w:sz="0" w:space="0" w:color="auto"/>
        <w:bottom w:val="none" w:sz="0" w:space="0" w:color="auto"/>
        <w:right w:val="none" w:sz="0" w:space="0" w:color="auto"/>
      </w:divBdr>
    </w:div>
    <w:div w:id="2024702562">
      <w:marLeft w:val="0"/>
      <w:marRight w:val="0"/>
      <w:marTop w:val="0"/>
      <w:marBottom w:val="0"/>
      <w:divBdr>
        <w:top w:val="none" w:sz="0" w:space="0" w:color="auto"/>
        <w:left w:val="none" w:sz="0" w:space="0" w:color="auto"/>
        <w:bottom w:val="none" w:sz="0" w:space="0" w:color="auto"/>
        <w:right w:val="none" w:sz="0" w:space="0" w:color="auto"/>
      </w:divBdr>
    </w:div>
    <w:div w:id="2024702565">
      <w:marLeft w:val="0"/>
      <w:marRight w:val="0"/>
      <w:marTop w:val="0"/>
      <w:marBottom w:val="0"/>
      <w:divBdr>
        <w:top w:val="none" w:sz="0" w:space="0" w:color="auto"/>
        <w:left w:val="none" w:sz="0" w:space="0" w:color="auto"/>
        <w:bottom w:val="none" w:sz="0" w:space="0" w:color="auto"/>
        <w:right w:val="none" w:sz="0" w:space="0" w:color="auto"/>
      </w:divBdr>
      <w:divsChild>
        <w:div w:id="2024701585">
          <w:marLeft w:val="0"/>
          <w:marRight w:val="0"/>
          <w:marTop w:val="0"/>
          <w:marBottom w:val="0"/>
          <w:divBdr>
            <w:top w:val="none" w:sz="0" w:space="0" w:color="auto"/>
            <w:left w:val="none" w:sz="0" w:space="0" w:color="auto"/>
            <w:bottom w:val="none" w:sz="0" w:space="0" w:color="auto"/>
            <w:right w:val="none" w:sz="0" w:space="0" w:color="auto"/>
          </w:divBdr>
        </w:div>
        <w:div w:id="2024701749">
          <w:marLeft w:val="0"/>
          <w:marRight w:val="0"/>
          <w:marTop w:val="0"/>
          <w:marBottom w:val="0"/>
          <w:divBdr>
            <w:top w:val="none" w:sz="0" w:space="0" w:color="auto"/>
            <w:left w:val="none" w:sz="0" w:space="0" w:color="auto"/>
            <w:bottom w:val="none" w:sz="0" w:space="0" w:color="auto"/>
            <w:right w:val="none" w:sz="0" w:space="0" w:color="auto"/>
          </w:divBdr>
        </w:div>
        <w:div w:id="2024703703">
          <w:marLeft w:val="0"/>
          <w:marRight w:val="0"/>
          <w:marTop w:val="0"/>
          <w:marBottom w:val="0"/>
          <w:divBdr>
            <w:top w:val="none" w:sz="0" w:space="0" w:color="auto"/>
            <w:left w:val="none" w:sz="0" w:space="0" w:color="auto"/>
            <w:bottom w:val="none" w:sz="0" w:space="0" w:color="auto"/>
            <w:right w:val="none" w:sz="0" w:space="0" w:color="auto"/>
          </w:divBdr>
        </w:div>
        <w:div w:id="2024705166">
          <w:marLeft w:val="0"/>
          <w:marRight w:val="0"/>
          <w:marTop w:val="0"/>
          <w:marBottom w:val="0"/>
          <w:divBdr>
            <w:top w:val="none" w:sz="0" w:space="0" w:color="auto"/>
            <w:left w:val="none" w:sz="0" w:space="0" w:color="auto"/>
            <w:bottom w:val="none" w:sz="0" w:space="0" w:color="auto"/>
            <w:right w:val="none" w:sz="0" w:space="0" w:color="auto"/>
          </w:divBdr>
        </w:div>
      </w:divsChild>
    </w:div>
    <w:div w:id="2024702592">
      <w:marLeft w:val="0"/>
      <w:marRight w:val="0"/>
      <w:marTop w:val="0"/>
      <w:marBottom w:val="0"/>
      <w:divBdr>
        <w:top w:val="none" w:sz="0" w:space="0" w:color="auto"/>
        <w:left w:val="none" w:sz="0" w:space="0" w:color="auto"/>
        <w:bottom w:val="none" w:sz="0" w:space="0" w:color="auto"/>
        <w:right w:val="none" w:sz="0" w:space="0" w:color="auto"/>
      </w:divBdr>
      <w:divsChild>
        <w:div w:id="2024701419">
          <w:marLeft w:val="1166"/>
          <w:marRight w:val="0"/>
          <w:marTop w:val="106"/>
          <w:marBottom w:val="0"/>
          <w:divBdr>
            <w:top w:val="none" w:sz="0" w:space="0" w:color="auto"/>
            <w:left w:val="none" w:sz="0" w:space="0" w:color="auto"/>
            <w:bottom w:val="none" w:sz="0" w:space="0" w:color="auto"/>
            <w:right w:val="none" w:sz="0" w:space="0" w:color="auto"/>
          </w:divBdr>
        </w:div>
        <w:div w:id="2024703290">
          <w:marLeft w:val="1166"/>
          <w:marRight w:val="0"/>
          <w:marTop w:val="106"/>
          <w:marBottom w:val="0"/>
          <w:divBdr>
            <w:top w:val="none" w:sz="0" w:space="0" w:color="auto"/>
            <w:left w:val="none" w:sz="0" w:space="0" w:color="auto"/>
            <w:bottom w:val="none" w:sz="0" w:space="0" w:color="auto"/>
            <w:right w:val="none" w:sz="0" w:space="0" w:color="auto"/>
          </w:divBdr>
        </w:div>
      </w:divsChild>
    </w:div>
    <w:div w:id="2024702657">
      <w:marLeft w:val="0"/>
      <w:marRight w:val="0"/>
      <w:marTop w:val="0"/>
      <w:marBottom w:val="0"/>
      <w:divBdr>
        <w:top w:val="none" w:sz="0" w:space="0" w:color="auto"/>
        <w:left w:val="none" w:sz="0" w:space="0" w:color="auto"/>
        <w:bottom w:val="none" w:sz="0" w:space="0" w:color="auto"/>
        <w:right w:val="none" w:sz="0" w:space="0" w:color="auto"/>
      </w:divBdr>
      <w:divsChild>
        <w:div w:id="2024704665">
          <w:marLeft w:val="1166"/>
          <w:marRight w:val="0"/>
          <w:marTop w:val="106"/>
          <w:marBottom w:val="0"/>
          <w:divBdr>
            <w:top w:val="none" w:sz="0" w:space="0" w:color="auto"/>
            <w:left w:val="none" w:sz="0" w:space="0" w:color="auto"/>
            <w:bottom w:val="none" w:sz="0" w:space="0" w:color="auto"/>
            <w:right w:val="none" w:sz="0" w:space="0" w:color="auto"/>
          </w:divBdr>
        </w:div>
      </w:divsChild>
    </w:div>
    <w:div w:id="2024702752">
      <w:marLeft w:val="0"/>
      <w:marRight w:val="0"/>
      <w:marTop w:val="0"/>
      <w:marBottom w:val="0"/>
      <w:divBdr>
        <w:top w:val="none" w:sz="0" w:space="0" w:color="auto"/>
        <w:left w:val="none" w:sz="0" w:space="0" w:color="auto"/>
        <w:bottom w:val="none" w:sz="0" w:space="0" w:color="auto"/>
        <w:right w:val="none" w:sz="0" w:space="0" w:color="auto"/>
      </w:divBdr>
    </w:div>
    <w:div w:id="2024702821">
      <w:marLeft w:val="0"/>
      <w:marRight w:val="0"/>
      <w:marTop w:val="0"/>
      <w:marBottom w:val="0"/>
      <w:divBdr>
        <w:top w:val="none" w:sz="0" w:space="0" w:color="auto"/>
        <w:left w:val="none" w:sz="0" w:space="0" w:color="auto"/>
        <w:bottom w:val="none" w:sz="0" w:space="0" w:color="auto"/>
        <w:right w:val="none" w:sz="0" w:space="0" w:color="auto"/>
      </w:divBdr>
    </w:div>
    <w:div w:id="2024702840">
      <w:marLeft w:val="0"/>
      <w:marRight w:val="0"/>
      <w:marTop w:val="0"/>
      <w:marBottom w:val="0"/>
      <w:divBdr>
        <w:top w:val="none" w:sz="0" w:space="0" w:color="auto"/>
        <w:left w:val="none" w:sz="0" w:space="0" w:color="auto"/>
        <w:bottom w:val="none" w:sz="0" w:space="0" w:color="auto"/>
        <w:right w:val="none" w:sz="0" w:space="0" w:color="auto"/>
      </w:divBdr>
    </w:div>
    <w:div w:id="2024702877">
      <w:marLeft w:val="0"/>
      <w:marRight w:val="0"/>
      <w:marTop w:val="0"/>
      <w:marBottom w:val="0"/>
      <w:divBdr>
        <w:top w:val="none" w:sz="0" w:space="0" w:color="auto"/>
        <w:left w:val="none" w:sz="0" w:space="0" w:color="auto"/>
        <w:bottom w:val="none" w:sz="0" w:space="0" w:color="auto"/>
        <w:right w:val="none" w:sz="0" w:space="0" w:color="auto"/>
      </w:divBdr>
    </w:div>
    <w:div w:id="2024702906">
      <w:marLeft w:val="0"/>
      <w:marRight w:val="0"/>
      <w:marTop w:val="0"/>
      <w:marBottom w:val="0"/>
      <w:divBdr>
        <w:top w:val="none" w:sz="0" w:space="0" w:color="auto"/>
        <w:left w:val="none" w:sz="0" w:space="0" w:color="auto"/>
        <w:bottom w:val="none" w:sz="0" w:space="0" w:color="auto"/>
        <w:right w:val="none" w:sz="0" w:space="0" w:color="auto"/>
      </w:divBdr>
    </w:div>
    <w:div w:id="2024702987">
      <w:marLeft w:val="0"/>
      <w:marRight w:val="0"/>
      <w:marTop w:val="0"/>
      <w:marBottom w:val="0"/>
      <w:divBdr>
        <w:top w:val="none" w:sz="0" w:space="0" w:color="auto"/>
        <w:left w:val="none" w:sz="0" w:space="0" w:color="auto"/>
        <w:bottom w:val="none" w:sz="0" w:space="0" w:color="auto"/>
        <w:right w:val="none" w:sz="0" w:space="0" w:color="auto"/>
      </w:divBdr>
    </w:div>
    <w:div w:id="2024703040">
      <w:marLeft w:val="0"/>
      <w:marRight w:val="0"/>
      <w:marTop w:val="0"/>
      <w:marBottom w:val="0"/>
      <w:divBdr>
        <w:top w:val="none" w:sz="0" w:space="0" w:color="auto"/>
        <w:left w:val="none" w:sz="0" w:space="0" w:color="auto"/>
        <w:bottom w:val="none" w:sz="0" w:space="0" w:color="auto"/>
        <w:right w:val="none" w:sz="0" w:space="0" w:color="auto"/>
      </w:divBdr>
    </w:div>
    <w:div w:id="2024703100">
      <w:marLeft w:val="0"/>
      <w:marRight w:val="0"/>
      <w:marTop w:val="0"/>
      <w:marBottom w:val="0"/>
      <w:divBdr>
        <w:top w:val="none" w:sz="0" w:space="0" w:color="auto"/>
        <w:left w:val="none" w:sz="0" w:space="0" w:color="auto"/>
        <w:bottom w:val="none" w:sz="0" w:space="0" w:color="auto"/>
        <w:right w:val="none" w:sz="0" w:space="0" w:color="auto"/>
      </w:divBdr>
    </w:div>
    <w:div w:id="2024703148">
      <w:marLeft w:val="0"/>
      <w:marRight w:val="0"/>
      <w:marTop w:val="0"/>
      <w:marBottom w:val="0"/>
      <w:divBdr>
        <w:top w:val="none" w:sz="0" w:space="0" w:color="auto"/>
        <w:left w:val="none" w:sz="0" w:space="0" w:color="auto"/>
        <w:bottom w:val="none" w:sz="0" w:space="0" w:color="auto"/>
        <w:right w:val="none" w:sz="0" w:space="0" w:color="auto"/>
      </w:divBdr>
    </w:div>
    <w:div w:id="2024703153">
      <w:marLeft w:val="0"/>
      <w:marRight w:val="0"/>
      <w:marTop w:val="0"/>
      <w:marBottom w:val="0"/>
      <w:divBdr>
        <w:top w:val="none" w:sz="0" w:space="0" w:color="auto"/>
        <w:left w:val="none" w:sz="0" w:space="0" w:color="auto"/>
        <w:bottom w:val="none" w:sz="0" w:space="0" w:color="auto"/>
        <w:right w:val="none" w:sz="0" w:space="0" w:color="auto"/>
      </w:divBdr>
      <w:divsChild>
        <w:div w:id="2024704785">
          <w:marLeft w:val="1166"/>
          <w:marRight w:val="0"/>
          <w:marTop w:val="106"/>
          <w:marBottom w:val="0"/>
          <w:divBdr>
            <w:top w:val="none" w:sz="0" w:space="0" w:color="auto"/>
            <w:left w:val="none" w:sz="0" w:space="0" w:color="auto"/>
            <w:bottom w:val="none" w:sz="0" w:space="0" w:color="auto"/>
            <w:right w:val="none" w:sz="0" w:space="0" w:color="auto"/>
          </w:divBdr>
        </w:div>
      </w:divsChild>
    </w:div>
    <w:div w:id="2024703185">
      <w:marLeft w:val="0"/>
      <w:marRight w:val="0"/>
      <w:marTop w:val="0"/>
      <w:marBottom w:val="0"/>
      <w:divBdr>
        <w:top w:val="none" w:sz="0" w:space="0" w:color="auto"/>
        <w:left w:val="none" w:sz="0" w:space="0" w:color="auto"/>
        <w:bottom w:val="none" w:sz="0" w:space="0" w:color="auto"/>
        <w:right w:val="none" w:sz="0" w:space="0" w:color="auto"/>
      </w:divBdr>
    </w:div>
    <w:div w:id="2024703193">
      <w:marLeft w:val="0"/>
      <w:marRight w:val="0"/>
      <w:marTop w:val="0"/>
      <w:marBottom w:val="0"/>
      <w:divBdr>
        <w:top w:val="none" w:sz="0" w:space="0" w:color="auto"/>
        <w:left w:val="none" w:sz="0" w:space="0" w:color="auto"/>
        <w:bottom w:val="none" w:sz="0" w:space="0" w:color="auto"/>
        <w:right w:val="none" w:sz="0" w:space="0" w:color="auto"/>
      </w:divBdr>
    </w:div>
    <w:div w:id="2024703210">
      <w:marLeft w:val="0"/>
      <w:marRight w:val="0"/>
      <w:marTop w:val="0"/>
      <w:marBottom w:val="0"/>
      <w:divBdr>
        <w:top w:val="none" w:sz="0" w:space="0" w:color="auto"/>
        <w:left w:val="none" w:sz="0" w:space="0" w:color="auto"/>
        <w:bottom w:val="none" w:sz="0" w:space="0" w:color="auto"/>
        <w:right w:val="none" w:sz="0" w:space="0" w:color="auto"/>
      </w:divBdr>
      <w:divsChild>
        <w:div w:id="2024701582">
          <w:marLeft w:val="1166"/>
          <w:marRight w:val="0"/>
          <w:marTop w:val="106"/>
          <w:marBottom w:val="0"/>
          <w:divBdr>
            <w:top w:val="none" w:sz="0" w:space="0" w:color="auto"/>
            <w:left w:val="none" w:sz="0" w:space="0" w:color="auto"/>
            <w:bottom w:val="none" w:sz="0" w:space="0" w:color="auto"/>
            <w:right w:val="none" w:sz="0" w:space="0" w:color="auto"/>
          </w:divBdr>
        </w:div>
      </w:divsChild>
    </w:div>
    <w:div w:id="2024703224">
      <w:marLeft w:val="0"/>
      <w:marRight w:val="0"/>
      <w:marTop w:val="0"/>
      <w:marBottom w:val="0"/>
      <w:divBdr>
        <w:top w:val="none" w:sz="0" w:space="0" w:color="auto"/>
        <w:left w:val="none" w:sz="0" w:space="0" w:color="auto"/>
        <w:bottom w:val="none" w:sz="0" w:space="0" w:color="auto"/>
        <w:right w:val="none" w:sz="0" w:space="0" w:color="auto"/>
      </w:divBdr>
    </w:div>
    <w:div w:id="2024703260">
      <w:marLeft w:val="0"/>
      <w:marRight w:val="0"/>
      <w:marTop w:val="0"/>
      <w:marBottom w:val="0"/>
      <w:divBdr>
        <w:top w:val="none" w:sz="0" w:space="0" w:color="auto"/>
        <w:left w:val="none" w:sz="0" w:space="0" w:color="auto"/>
        <w:bottom w:val="none" w:sz="0" w:space="0" w:color="auto"/>
        <w:right w:val="none" w:sz="0" w:space="0" w:color="auto"/>
      </w:divBdr>
      <w:divsChild>
        <w:div w:id="2024700493">
          <w:marLeft w:val="1382"/>
          <w:marRight w:val="0"/>
          <w:marTop w:val="106"/>
          <w:marBottom w:val="0"/>
          <w:divBdr>
            <w:top w:val="none" w:sz="0" w:space="0" w:color="auto"/>
            <w:left w:val="none" w:sz="0" w:space="0" w:color="auto"/>
            <w:bottom w:val="none" w:sz="0" w:space="0" w:color="auto"/>
            <w:right w:val="none" w:sz="0" w:space="0" w:color="auto"/>
          </w:divBdr>
        </w:div>
        <w:div w:id="2024705264">
          <w:marLeft w:val="1382"/>
          <w:marRight w:val="0"/>
          <w:marTop w:val="106"/>
          <w:marBottom w:val="0"/>
          <w:divBdr>
            <w:top w:val="none" w:sz="0" w:space="0" w:color="auto"/>
            <w:left w:val="none" w:sz="0" w:space="0" w:color="auto"/>
            <w:bottom w:val="none" w:sz="0" w:space="0" w:color="auto"/>
            <w:right w:val="none" w:sz="0" w:space="0" w:color="auto"/>
          </w:divBdr>
        </w:div>
      </w:divsChild>
    </w:div>
    <w:div w:id="2024703261">
      <w:marLeft w:val="0"/>
      <w:marRight w:val="0"/>
      <w:marTop w:val="0"/>
      <w:marBottom w:val="0"/>
      <w:divBdr>
        <w:top w:val="none" w:sz="0" w:space="0" w:color="auto"/>
        <w:left w:val="none" w:sz="0" w:space="0" w:color="auto"/>
        <w:bottom w:val="none" w:sz="0" w:space="0" w:color="auto"/>
        <w:right w:val="none" w:sz="0" w:space="0" w:color="auto"/>
      </w:divBdr>
      <w:divsChild>
        <w:div w:id="2024705329">
          <w:marLeft w:val="1166"/>
          <w:marRight w:val="0"/>
          <w:marTop w:val="106"/>
          <w:marBottom w:val="0"/>
          <w:divBdr>
            <w:top w:val="none" w:sz="0" w:space="0" w:color="auto"/>
            <w:left w:val="none" w:sz="0" w:space="0" w:color="auto"/>
            <w:bottom w:val="none" w:sz="0" w:space="0" w:color="auto"/>
            <w:right w:val="none" w:sz="0" w:space="0" w:color="auto"/>
          </w:divBdr>
        </w:div>
      </w:divsChild>
    </w:div>
    <w:div w:id="2024703297">
      <w:marLeft w:val="0"/>
      <w:marRight w:val="0"/>
      <w:marTop w:val="0"/>
      <w:marBottom w:val="0"/>
      <w:divBdr>
        <w:top w:val="none" w:sz="0" w:space="0" w:color="auto"/>
        <w:left w:val="none" w:sz="0" w:space="0" w:color="auto"/>
        <w:bottom w:val="none" w:sz="0" w:space="0" w:color="auto"/>
        <w:right w:val="none" w:sz="0" w:space="0" w:color="auto"/>
      </w:divBdr>
    </w:div>
    <w:div w:id="2024703361">
      <w:marLeft w:val="0"/>
      <w:marRight w:val="0"/>
      <w:marTop w:val="0"/>
      <w:marBottom w:val="0"/>
      <w:divBdr>
        <w:top w:val="none" w:sz="0" w:space="0" w:color="auto"/>
        <w:left w:val="none" w:sz="0" w:space="0" w:color="auto"/>
        <w:bottom w:val="none" w:sz="0" w:space="0" w:color="auto"/>
        <w:right w:val="none" w:sz="0" w:space="0" w:color="auto"/>
      </w:divBdr>
    </w:div>
    <w:div w:id="2024703423">
      <w:marLeft w:val="0"/>
      <w:marRight w:val="0"/>
      <w:marTop w:val="0"/>
      <w:marBottom w:val="0"/>
      <w:divBdr>
        <w:top w:val="none" w:sz="0" w:space="0" w:color="auto"/>
        <w:left w:val="none" w:sz="0" w:space="0" w:color="auto"/>
        <w:bottom w:val="none" w:sz="0" w:space="0" w:color="auto"/>
        <w:right w:val="none" w:sz="0" w:space="0" w:color="auto"/>
      </w:divBdr>
      <w:divsChild>
        <w:div w:id="2024704257">
          <w:marLeft w:val="0"/>
          <w:marRight w:val="0"/>
          <w:marTop w:val="0"/>
          <w:marBottom w:val="0"/>
          <w:divBdr>
            <w:top w:val="none" w:sz="0" w:space="0" w:color="auto"/>
            <w:left w:val="none" w:sz="0" w:space="0" w:color="auto"/>
            <w:bottom w:val="none" w:sz="0" w:space="0" w:color="auto"/>
            <w:right w:val="none" w:sz="0" w:space="0" w:color="auto"/>
          </w:divBdr>
        </w:div>
      </w:divsChild>
    </w:div>
    <w:div w:id="2024703441">
      <w:marLeft w:val="0"/>
      <w:marRight w:val="0"/>
      <w:marTop w:val="0"/>
      <w:marBottom w:val="0"/>
      <w:divBdr>
        <w:top w:val="none" w:sz="0" w:space="0" w:color="auto"/>
        <w:left w:val="none" w:sz="0" w:space="0" w:color="auto"/>
        <w:bottom w:val="none" w:sz="0" w:space="0" w:color="auto"/>
        <w:right w:val="none" w:sz="0" w:space="0" w:color="auto"/>
      </w:divBdr>
      <w:divsChild>
        <w:div w:id="2024702913">
          <w:marLeft w:val="1166"/>
          <w:marRight w:val="0"/>
          <w:marTop w:val="106"/>
          <w:marBottom w:val="0"/>
          <w:divBdr>
            <w:top w:val="none" w:sz="0" w:space="0" w:color="auto"/>
            <w:left w:val="none" w:sz="0" w:space="0" w:color="auto"/>
            <w:bottom w:val="none" w:sz="0" w:space="0" w:color="auto"/>
            <w:right w:val="none" w:sz="0" w:space="0" w:color="auto"/>
          </w:divBdr>
        </w:div>
      </w:divsChild>
    </w:div>
    <w:div w:id="2024703463">
      <w:marLeft w:val="0"/>
      <w:marRight w:val="0"/>
      <w:marTop w:val="0"/>
      <w:marBottom w:val="0"/>
      <w:divBdr>
        <w:top w:val="none" w:sz="0" w:space="0" w:color="auto"/>
        <w:left w:val="none" w:sz="0" w:space="0" w:color="auto"/>
        <w:bottom w:val="none" w:sz="0" w:space="0" w:color="auto"/>
        <w:right w:val="none" w:sz="0" w:space="0" w:color="auto"/>
      </w:divBdr>
    </w:div>
    <w:div w:id="2024703539">
      <w:marLeft w:val="0"/>
      <w:marRight w:val="0"/>
      <w:marTop w:val="0"/>
      <w:marBottom w:val="0"/>
      <w:divBdr>
        <w:top w:val="none" w:sz="0" w:space="0" w:color="auto"/>
        <w:left w:val="none" w:sz="0" w:space="0" w:color="auto"/>
        <w:bottom w:val="none" w:sz="0" w:space="0" w:color="auto"/>
        <w:right w:val="none" w:sz="0" w:space="0" w:color="auto"/>
      </w:divBdr>
    </w:div>
    <w:div w:id="2024703673">
      <w:marLeft w:val="0"/>
      <w:marRight w:val="0"/>
      <w:marTop w:val="0"/>
      <w:marBottom w:val="0"/>
      <w:divBdr>
        <w:top w:val="none" w:sz="0" w:space="0" w:color="auto"/>
        <w:left w:val="none" w:sz="0" w:space="0" w:color="auto"/>
        <w:bottom w:val="none" w:sz="0" w:space="0" w:color="auto"/>
        <w:right w:val="none" w:sz="0" w:space="0" w:color="auto"/>
      </w:divBdr>
      <w:divsChild>
        <w:div w:id="2024699343">
          <w:marLeft w:val="0"/>
          <w:marRight w:val="0"/>
          <w:marTop w:val="0"/>
          <w:marBottom w:val="0"/>
          <w:divBdr>
            <w:top w:val="none" w:sz="0" w:space="0" w:color="auto"/>
            <w:left w:val="none" w:sz="0" w:space="0" w:color="auto"/>
            <w:bottom w:val="none" w:sz="0" w:space="0" w:color="auto"/>
            <w:right w:val="none" w:sz="0" w:space="0" w:color="auto"/>
          </w:divBdr>
        </w:div>
        <w:div w:id="2024699344">
          <w:marLeft w:val="0"/>
          <w:marRight w:val="0"/>
          <w:marTop w:val="0"/>
          <w:marBottom w:val="0"/>
          <w:divBdr>
            <w:top w:val="none" w:sz="0" w:space="0" w:color="auto"/>
            <w:left w:val="none" w:sz="0" w:space="0" w:color="auto"/>
            <w:bottom w:val="none" w:sz="0" w:space="0" w:color="auto"/>
            <w:right w:val="none" w:sz="0" w:space="0" w:color="auto"/>
          </w:divBdr>
        </w:div>
        <w:div w:id="2024699345">
          <w:marLeft w:val="0"/>
          <w:marRight w:val="0"/>
          <w:marTop w:val="0"/>
          <w:marBottom w:val="0"/>
          <w:divBdr>
            <w:top w:val="none" w:sz="0" w:space="0" w:color="auto"/>
            <w:left w:val="none" w:sz="0" w:space="0" w:color="auto"/>
            <w:bottom w:val="none" w:sz="0" w:space="0" w:color="auto"/>
            <w:right w:val="none" w:sz="0" w:space="0" w:color="auto"/>
          </w:divBdr>
        </w:div>
        <w:div w:id="2024699346">
          <w:marLeft w:val="0"/>
          <w:marRight w:val="0"/>
          <w:marTop w:val="0"/>
          <w:marBottom w:val="0"/>
          <w:divBdr>
            <w:top w:val="none" w:sz="0" w:space="0" w:color="auto"/>
            <w:left w:val="none" w:sz="0" w:space="0" w:color="auto"/>
            <w:bottom w:val="none" w:sz="0" w:space="0" w:color="auto"/>
            <w:right w:val="none" w:sz="0" w:space="0" w:color="auto"/>
          </w:divBdr>
        </w:div>
        <w:div w:id="2024699347">
          <w:marLeft w:val="0"/>
          <w:marRight w:val="0"/>
          <w:marTop w:val="0"/>
          <w:marBottom w:val="0"/>
          <w:divBdr>
            <w:top w:val="none" w:sz="0" w:space="0" w:color="auto"/>
            <w:left w:val="none" w:sz="0" w:space="0" w:color="auto"/>
            <w:bottom w:val="none" w:sz="0" w:space="0" w:color="auto"/>
            <w:right w:val="none" w:sz="0" w:space="0" w:color="auto"/>
          </w:divBdr>
        </w:div>
        <w:div w:id="2024699348">
          <w:marLeft w:val="0"/>
          <w:marRight w:val="0"/>
          <w:marTop w:val="0"/>
          <w:marBottom w:val="0"/>
          <w:divBdr>
            <w:top w:val="none" w:sz="0" w:space="0" w:color="auto"/>
            <w:left w:val="none" w:sz="0" w:space="0" w:color="auto"/>
            <w:bottom w:val="none" w:sz="0" w:space="0" w:color="auto"/>
            <w:right w:val="none" w:sz="0" w:space="0" w:color="auto"/>
          </w:divBdr>
        </w:div>
        <w:div w:id="2024699349">
          <w:marLeft w:val="0"/>
          <w:marRight w:val="0"/>
          <w:marTop w:val="0"/>
          <w:marBottom w:val="0"/>
          <w:divBdr>
            <w:top w:val="none" w:sz="0" w:space="0" w:color="auto"/>
            <w:left w:val="none" w:sz="0" w:space="0" w:color="auto"/>
            <w:bottom w:val="none" w:sz="0" w:space="0" w:color="auto"/>
            <w:right w:val="none" w:sz="0" w:space="0" w:color="auto"/>
          </w:divBdr>
        </w:div>
        <w:div w:id="2024699350">
          <w:marLeft w:val="0"/>
          <w:marRight w:val="0"/>
          <w:marTop w:val="0"/>
          <w:marBottom w:val="0"/>
          <w:divBdr>
            <w:top w:val="none" w:sz="0" w:space="0" w:color="auto"/>
            <w:left w:val="none" w:sz="0" w:space="0" w:color="auto"/>
            <w:bottom w:val="none" w:sz="0" w:space="0" w:color="auto"/>
            <w:right w:val="none" w:sz="0" w:space="0" w:color="auto"/>
          </w:divBdr>
        </w:div>
        <w:div w:id="2024699351">
          <w:marLeft w:val="0"/>
          <w:marRight w:val="0"/>
          <w:marTop w:val="0"/>
          <w:marBottom w:val="0"/>
          <w:divBdr>
            <w:top w:val="none" w:sz="0" w:space="0" w:color="auto"/>
            <w:left w:val="none" w:sz="0" w:space="0" w:color="auto"/>
            <w:bottom w:val="none" w:sz="0" w:space="0" w:color="auto"/>
            <w:right w:val="none" w:sz="0" w:space="0" w:color="auto"/>
          </w:divBdr>
        </w:div>
        <w:div w:id="2024699352">
          <w:marLeft w:val="0"/>
          <w:marRight w:val="0"/>
          <w:marTop w:val="0"/>
          <w:marBottom w:val="0"/>
          <w:divBdr>
            <w:top w:val="none" w:sz="0" w:space="0" w:color="auto"/>
            <w:left w:val="none" w:sz="0" w:space="0" w:color="auto"/>
            <w:bottom w:val="none" w:sz="0" w:space="0" w:color="auto"/>
            <w:right w:val="none" w:sz="0" w:space="0" w:color="auto"/>
          </w:divBdr>
        </w:div>
        <w:div w:id="2024699353">
          <w:marLeft w:val="0"/>
          <w:marRight w:val="0"/>
          <w:marTop w:val="0"/>
          <w:marBottom w:val="0"/>
          <w:divBdr>
            <w:top w:val="none" w:sz="0" w:space="0" w:color="auto"/>
            <w:left w:val="none" w:sz="0" w:space="0" w:color="auto"/>
            <w:bottom w:val="none" w:sz="0" w:space="0" w:color="auto"/>
            <w:right w:val="none" w:sz="0" w:space="0" w:color="auto"/>
          </w:divBdr>
        </w:div>
        <w:div w:id="2024699354">
          <w:marLeft w:val="0"/>
          <w:marRight w:val="0"/>
          <w:marTop w:val="0"/>
          <w:marBottom w:val="0"/>
          <w:divBdr>
            <w:top w:val="none" w:sz="0" w:space="0" w:color="auto"/>
            <w:left w:val="none" w:sz="0" w:space="0" w:color="auto"/>
            <w:bottom w:val="none" w:sz="0" w:space="0" w:color="auto"/>
            <w:right w:val="none" w:sz="0" w:space="0" w:color="auto"/>
          </w:divBdr>
        </w:div>
        <w:div w:id="2024699355">
          <w:marLeft w:val="0"/>
          <w:marRight w:val="0"/>
          <w:marTop w:val="0"/>
          <w:marBottom w:val="0"/>
          <w:divBdr>
            <w:top w:val="none" w:sz="0" w:space="0" w:color="auto"/>
            <w:left w:val="none" w:sz="0" w:space="0" w:color="auto"/>
            <w:bottom w:val="none" w:sz="0" w:space="0" w:color="auto"/>
            <w:right w:val="none" w:sz="0" w:space="0" w:color="auto"/>
          </w:divBdr>
        </w:div>
        <w:div w:id="2024699356">
          <w:marLeft w:val="0"/>
          <w:marRight w:val="0"/>
          <w:marTop w:val="0"/>
          <w:marBottom w:val="0"/>
          <w:divBdr>
            <w:top w:val="none" w:sz="0" w:space="0" w:color="auto"/>
            <w:left w:val="none" w:sz="0" w:space="0" w:color="auto"/>
            <w:bottom w:val="none" w:sz="0" w:space="0" w:color="auto"/>
            <w:right w:val="none" w:sz="0" w:space="0" w:color="auto"/>
          </w:divBdr>
        </w:div>
        <w:div w:id="2024699357">
          <w:marLeft w:val="0"/>
          <w:marRight w:val="0"/>
          <w:marTop w:val="0"/>
          <w:marBottom w:val="0"/>
          <w:divBdr>
            <w:top w:val="none" w:sz="0" w:space="0" w:color="auto"/>
            <w:left w:val="none" w:sz="0" w:space="0" w:color="auto"/>
            <w:bottom w:val="none" w:sz="0" w:space="0" w:color="auto"/>
            <w:right w:val="none" w:sz="0" w:space="0" w:color="auto"/>
          </w:divBdr>
        </w:div>
        <w:div w:id="2024699358">
          <w:marLeft w:val="0"/>
          <w:marRight w:val="0"/>
          <w:marTop w:val="0"/>
          <w:marBottom w:val="0"/>
          <w:divBdr>
            <w:top w:val="none" w:sz="0" w:space="0" w:color="auto"/>
            <w:left w:val="none" w:sz="0" w:space="0" w:color="auto"/>
            <w:bottom w:val="none" w:sz="0" w:space="0" w:color="auto"/>
            <w:right w:val="none" w:sz="0" w:space="0" w:color="auto"/>
          </w:divBdr>
        </w:div>
        <w:div w:id="2024699359">
          <w:marLeft w:val="0"/>
          <w:marRight w:val="0"/>
          <w:marTop w:val="0"/>
          <w:marBottom w:val="0"/>
          <w:divBdr>
            <w:top w:val="none" w:sz="0" w:space="0" w:color="auto"/>
            <w:left w:val="none" w:sz="0" w:space="0" w:color="auto"/>
            <w:bottom w:val="none" w:sz="0" w:space="0" w:color="auto"/>
            <w:right w:val="none" w:sz="0" w:space="0" w:color="auto"/>
          </w:divBdr>
        </w:div>
        <w:div w:id="2024699360">
          <w:marLeft w:val="0"/>
          <w:marRight w:val="0"/>
          <w:marTop w:val="0"/>
          <w:marBottom w:val="0"/>
          <w:divBdr>
            <w:top w:val="none" w:sz="0" w:space="0" w:color="auto"/>
            <w:left w:val="none" w:sz="0" w:space="0" w:color="auto"/>
            <w:bottom w:val="none" w:sz="0" w:space="0" w:color="auto"/>
            <w:right w:val="none" w:sz="0" w:space="0" w:color="auto"/>
          </w:divBdr>
        </w:div>
        <w:div w:id="2024699361">
          <w:marLeft w:val="0"/>
          <w:marRight w:val="0"/>
          <w:marTop w:val="0"/>
          <w:marBottom w:val="0"/>
          <w:divBdr>
            <w:top w:val="none" w:sz="0" w:space="0" w:color="auto"/>
            <w:left w:val="none" w:sz="0" w:space="0" w:color="auto"/>
            <w:bottom w:val="none" w:sz="0" w:space="0" w:color="auto"/>
            <w:right w:val="none" w:sz="0" w:space="0" w:color="auto"/>
          </w:divBdr>
        </w:div>
        <w:div w:id="2024699362">
          <w:marLeft w:val="0"/>
          <w:marRight w:val="0"/>
          <w:marTop w:val="0"/>
          <w:marBottom w:val="0"/>
          <w:divBdr>
            <w:top w:val="none" w:sz="0" w:space="0" w:color="auto"/>
            <w:left w:val="none" w:sz="0" w:space="0" w:color="auto"/>
            <w:bottom w:val="none" w:sz="0" w:space="0" w:color="auto"/>
            <w:right w:val="none" w:sz="0" w:space="0" w:color="auto"/>
          </w:divBdr>
        </w:div>
        <w:div w:id="2024699363">
          <w:marLeft w:val="0"/>
          <w:marRight w:val="0"/>
          <w:marTop w:val="0"/>
          <w:marBottom w:val="0"/>
          <w:divBdr>
            <w:top w:val="none" w:sz="0" w:space="0" w:color="auto"/>
            <w:left w:val="none" w:sz="0" w:space="0" w:color="auto"/>
            <w:bottom w:val="none" w:sz="0" w:space="0" w:color="auto"/>
            <w:right w:val="none" w:sz="0" w:space="0" w:color="auto"/>
          </w:divBdr>
        </w:div>
        <w:div w:id="2024699365">
          <w:marLeft w:val="0"/>
          <w:marRight w:val="0"/>
          <w:marTop w:val="0"/>
          <w:marBottom w:val="0"/>
          <w:divBdr>
            <w:top w:val="none" w:sz="0" w:space="0" w:color="auto"/>
            <w:left w:val="none" w:sz="0" w:space="0" w:color="auto"/>
            <w:bottom w:val="none" w:sz="0" w:space="0" w:color="auto"/>
            <w:right w:val="none" w:sz="0" w:space="0" w:color="auto"/>
          </w:divBdr>
        </w:div>
        <w:div w:id="2024699366">
          <w:marLeft w:val="0"/>
          <w:marRight w:val="0"/>
          <w:marTop w:val="0"/>
          <w:marBottom w:val="0"/>
          <w:divBdr>
            <w:top w:val="none" w:sz="0" w:space="0" w:color="auto"/>
            <w:left w:val="none" w:sz="0" w:space="0" w:color="auto"/>
            <w:bottom w:val="none" w:sz="0" w:space="0" w:color="auto"/>
            <w:right w:val="none" w:sz="0" w:space="0" w:color="auto"/>
          </w:divBdr>
        </w:div>
        <w:div w:id="2024699367">
          <w:marLeft w:val="0"/>
          <w:marRight w:val="0"/>
          <w:marTop w:val="0"/>
          <w:marBottom w:val="0"/>
          <w:divBdr>
            <w:top w:val="none" w:sz="0" w:space="0" w:color="auto"/>
            <w:left w:val="none" w:sz="0" w:space="0" w:color="auto"/>
            <w:bottom w:val="none" w:sz="0" w:space="0" w:color="auto"/>
            <w:right w:val="none" w:sz="0" w:space="0" w:color="auto"/>
          </w:divBdr>
        </w:div>
        <w:div w:id="2024699368">
          <w:marLeft w:val="0"/>
          <w:marRight w:val="0"/>
          <w:marTop w:val="0"/>
          <w:marBottom w:val="0"/>
          <w:divBdr>
            <w:top w:val="none" w:sz="0" w:space="0" w:color="auto"/>
            <w:left w:val="none" w:sz="0" w:space="0" w:color="auto"/>
            <w:bottom w:val="none" w:sz="0" w:space="0" w:color="auto"/>
            <w:right w:val="none" w:sz="0" w:space="0" w:color="auto"/>
          </w:divBdr>
        </w:div>
        <w:div w:id="2024699369">
          <w:marLeft w:val="0"/>
          <w:marRight w:val="0"/>
          <w:marTop w:val="0"/>
          <w:marBottom w:val="0"/>
          <w:divBdr>
            <w:top w:val="none" w:sz="0" w:space="0" w:color="auto"/>
            <w:left w:val="none" w:sz="0" w:space="0" w:color="auto"/>
            <w:bottom w:val="none" w:sz="0" w:space="0" w:color="auto"/>
            <w:right w:val="none" w:sz="0" w:space="0" w:color="auto"/>
          </w:divBdr>
        </w:div>
        <w:div w:id="2024699370">
          <w:marLeft w:val="0"/>
          <w:marRight w:val="0"/>
          <w:marTop w:val="0"/>
          <w:marBottom w:val="0"/>
          <w:divBdr>
            <w:top w:val="none" w:sz="0" w:space="0" w:color="auto"/>
            <w:left w:val="none" w:sz="0" w:space="0" w:color="auto"/>
            <w:bottom w:val="none" w:sz="0" w:space="0" w:color="auto"/>
            <w:right w:val="none" w:sz="0" w:space="0" w:color="auto"/>
          </w:divBdr>
        </w:div>
        <w:div w:id="2024699371">
          <w:marLeft w:val="0"/>
          <w:marRight w:val="0"/>
          <w:marTop w:val="0"/>
          <w:marBottom w:val="0"/>
          <w:divBdr>
            <w:top w:val="none" w:sz="0" w:space="0" w:color="auto"/>
            <w:left w:val="none" w:sz="0" w:space="0" w:color="auto"/>
            <w:bottom w:val="none" w:sz="0" w:space="0" w:color="auto"/>
            <w:right w:val="none" w:sz="0" w:space="0" w:color="auto"/>
          </w:divBdr>
        </w:div>
        <w:div w:id="2024699372">
          <w:marLeft w:val="0"/>
          <w:marRight w:val="0"/>
          <w:marTop w:val="0"/>
          <w:marBottom w:val="0"/>
          <w:divBdr>
            <w:top w:val="none" w:sz="0" w:space="0" w:color="auto"/>
            <w:left w:val="none" w:sz="0" w:space="0" w:color="auto"/>
            <w:bottom w:val="none" w:sz="0" w:space="0" w:color="auto"/>
            <w:right w:val="none" w:sz="0" w:space="0" w:color="auto"/>
          </w:divBdr>
        </w:div>
        <w:div w:id="2024699373">
          <w:marLeft w:val="0"/>
          <w:marRight w:val="0"/>
          <w:marTop w:val="0"/>
          <w:marBottom w:val="0"/>
          <w:divBdr>
            <w:top w:val="none" w:sz="0" w:space="0" w:color="auto"/>
            <w:left w:val="none" w:sz="0" w:space="0" w:color="auto"/>
            <w:bottom w:val="none" w:sz="0" w:space="0" w:color="auto"/>
            <w:right w:val="none" w:sz="0" w:space="0" w:color="auto"/>
          </w:divBdr>
        </w:div>
        <w:div w:id="2024699374">
          <w:marLeft w:val="0"/>
          <w:marRight w:val="0"/>
          <w:marTop w:val="0"/>
          <w:marBottom w:val="0"/>
          <w:divBdr>
            <w:top w:val="none" w:sz="0" w:space="0" w:color="auto"/>
            <w:left w:val="none" w:sz="0" w:space="0" w:color="auto"/>
            <w:bottom w:val="none" w:sz="0" w:space="0" w:color="auto"/>
            <w:right w:val="none" w:sz="0" w:space="0" w:color="auto"/>
          </w:divBdr>
        </w:div>
        <w:div w:id="2024699375">
          <w:marLeft w:val="0"/>
          <w:marRight w:val="0"/>
          <w:marTop w:val="0"/>
          <w:marBottom w:val="0"/>
          <w:divBdr>
            <w:top w:val="none" w:sz="0" w:space="0" w:color="auto"/>
            <w:left w:val="none" w:sz="0" w:space="0" w:color="auto"/>
            <w:bottom w:val="none" w:sz="0" w:space="0" w:color="auto"/>
            <w:right w:val="none" w:sz="0" w:space="0" w:color="auto"/>
          </w:divBdr>
        </w:div>
        <w:div w:id="2024699376">
          <w:marLeft w:val="0"/>
          <w:marRight w:val="0"/>
          <w:marTop w:val="0"/>
          <w:marBottom w:val="0"/>
          <w:divBdr>
            <w:top w:val="none" w:sz="0" w:space="0" w:color="auto"/>
            <w:left w:val="none" w:sz="0" w:space="0" w:color="auto"/>
            <w:bottom w:val="none" w:sz="0" w:space="0" w:color="auto"/>
            <w:right w:val="none" w:sz="0" w:space="0" w:color="auto"/>
          </w:divBdr>
        </w:div>
        <w:div w:id="2024699377">
          <w:marLeft w:val="0"/>
          <w:marRight w:val="0"/>
          <w:marTop w:val="0"/>
          <w:marBottom w:val="0"/>
          <w:divBdr>
            <w:top w:val="none" w:sz="0" w:space="0" w:color="auto"/>
            <w:left w:val="none" w:sz="0" w:space="0" w:color="auto"/>
            <w:bottom w:val="none" w:sz="0" w:space="0" w:color="auto"/>
            <w:right w:val="none" w:sz="0" w:space="0" w:color="auto"/>
          </w:divBdr>
        </w:div>
        <w:div w:id="2024699378">
          <w:marLeft w:val="0"/>
          <w:marRight w:val="0"/>
          <w:marTop w:val="0"/>
          <w:marBottom w:val="0"/>
          <w:divBdr>
            <w:top w:val="none" w:sz="0" w:space="0" w:color="auto"/>
            <w:left w:val="none" w:sz="0" w:space="0" w:color="auto"/>
            <w:bottom w:val="none" w:sz="0" w:space="0" w:color="auto"/>
            <w:right w:val="none" w:sz="0" w:space="0" w:color="auto"/>
          </w:divBdr>
        </w:div>
        <w:div w:id="2024699379">
          <w:marLeft w:val="0"/>
          <w:marRight w:val="0"/>
          <w:marTop w:val="0"/>
          <w:marBottom w:val="0"/>
          <w:divBdr>
            <w:top w:val="none" w:sz="0" w:space="0" w:color="auto"/>
            <w:left w:val="none" w:sz="0" w:space="0" w:color="auto"/>
            <w:bottom w:val="none" w:sz="0" w:space="0" w:color="auto"/>
            <w:right w:val="none" w:sz="0" w:space="0" w:color="auto"/>
          </w:divBdr>
        </w:div>
        <w:div w:id="2024699380">
          <w:marLeft w:val="0"/>
          <w:marRight w:val="0"/>
          <w:marTop w:val="0"/>
          <w:marBottom w:val="0"/>
          <w:divBdr>
            <w:top w:val="none" w:sz="0" w:space="0" w:color="auto"/>
            <w:left w:val="none" w:sz="0" w:space="0" w:color="auto"/>
            <w:bottom w:val="none" w:sz="0" w:space="0" w:color="auto"/>
            <w:right w:val="none" w:sz="0" w:space="0" w:color="auto"/>
          </w:divBdr>
        </w:div>
        <w:div w:id="2024699381">
          <w:marLeft w:val="0"/>
          <w:marRight w:val="0"/>
          <w:marTop w:val="0"/>
          <w:marBottom w:val="0"/>
          <w:divBdr>
            <w:top w:val="none" w:sz="0" w:space="0" w:color="auto"/>
            <w:left w:val="none" w:sz="0" w:space="0" w:color="auto"/>
            <w:bottom w:val="none" w:sz="0" w:space="0" w:color="auto"/>
            <w:right w:val="none" w:sz="0" w:space="0" w:color="auto"/>
          </w:divBdr>
        </w:div>
        <w:div w:id="2024699382">
          <w:marLeft w:val="0"/>
          <w:marRight w:val="0"/>
          <w:marTop w:val="0"/>
          <w:marBottom w:val="0"/>
          <w:divBdr>
            <w:top w:val="none" w:sz="0" w:space="0" w:color="auto"/>
            <w:left w:val="none" w:sz="0" w:space="0" w:color="auto"/>
            <w:bottom w:val="none" w:sz="0" w:space="0" w:color="auto"/>
            <w:right w:val="none" w:sz="0" w:space="0" w:color="auto"/>
          </w:divBdr>
        </w:div>
        <w:div w:id="2024699383">
          <w:marLeft w:val="0"/>
          <w:marRight w:val="0"/>
          <w:marTop w:val="0"/>
          <w:marBottom w:val="0"/>
          <w:divBdr>
            <w:top w:val="none" w:sz="0" w:space="0" w:color="auto"/>
            <w:left w:val="none" w:sz="0" w:space="0" w:color="auto"/>
            <w:bottom w:val="none" w:sz="0" w:space="0" w:color="auto"/>
            <w:right w:val="none" w:sz="0" w:space="0" w:color="auto"/>
          </w:divBdr>
        </w:div>
        <w:div w:id="2024699384">
          <w:marLeft w:val="0"/>
          <w:marRight w:val="0"/>
          <w:marTop w:val="0"/>
          <w:marBottom w:val="0"/>
          <w:divBdr>
            <w:top w:val="none" w:sz="0" w:space="0" w:color="auto"/>
            <w:left w:val="none" w:sz="0" w:space="0" w:color="auto"/>
            <w:bottom w:val="none" w:sz="0" w:space="0" w:color="auto"/>
            <w:right w:val="none" w:sz="0" w:space="0" w:color="auto"/>
          </w:divBdr>
        </w:div>
        <w:div w:id="2024699385">
          <w:marLeft w:val="0"/>
          <w:marRight w:val="0"/>
          <w:marTop w:val="0"/>
          <w:marBottom w:val="0"/>
          <w:divBdr>
            <w:top w:val="none" w:sz="0" w:space="0" w:color="auto"/>
            <w:left w:val="none" w:sz="0" w:space="0" w:color="auto"/>
            <w:bottom w:val="none" w:sz="0" w:space="0" w:color="auto"/>
            <w:right w:val="none" w:sz="0" w:space="0" w:color="auto"/>
          </w:divBdr>
        </w:div>
        <w:div w:id="2024699386">
          <w:marLeft w:val="0"/>
          <w:marRight w:val="0"/>
          <w:marTop w:val="0"/>
          <w:marBottom w:val="0"/>
          <w:divBdr>
            <w:top w:val="none" w:sz="0" w:space="0" w:color="auto"/>
            <w:left w:val="none" w:sz="0" w:space="0" w:color="auto"/>
            <w:bottom w:val="none" w:sz="0" w:space="0" w:color="auto"/>
            <w:right w:val="none" w:sz="0" w:space="0" w:color="auto"/>
          </w:divBdr>
        </w:div>
        <w:div w:id="2024699387">
          <w:marLeft w:val="0"/>
          <w:marRight w:val="0"/>
          <w:marTop w:val="0"/>
          <w:marBottom w:val="0"/>
          <w:divBdr>
            <w:top w:val="none" w:sz="0" w:space="0" w:color="auto"/>
            <w:left w:val="none" w:sz="0" w:space="0" w:color="auto"/>
            <w:bottom w:val="none" w:sz="0" w:space="0" w:color="auto"/>
            <w:right w:val="none" w:sz="0" w:space="0" w:color="auto"/>
          </w:divBdr>
        </w:div>
        <w:div w:id="2024699388">
          <w:marLeft w:val="0"/>
          <w:marRight w:val="0"/>
          <w:marTop w:val="0"/>
          <w:marBottom w:val="0"/>
          <w:divBdr>
            <w:top w:val="none" w:sz="0" w:space="0" w:color="auto"/>
            <w:left w:val="none" w:sz="0" w:space="0" w:color="auto"/>
            <w:bottom w:val="none" w:sz="0" w:space="0" w:color="auto"/>
            <w:right w:val="none" w:sz="0" w:space="0" w:color="auto"/>
          </w:divBdr>
        </w:div>
        <w:div w:id="2024699389">
          <w:marLeft w:val="0"/>
          <w:marRight w:val="0"/>
          <w:marTop w:val="0"/>
          <w:marBottom w:val="0"/>
          <w:divBdr>
            <w:top w:val="none" w:sz="0" w:space="0" w:color="auto"/>
            <w:left w:val="none" w:sz="0" w:space="0" w:color="auto"/>
            <w:bottom w:val="none" w:sz="0" w:space="0" w:color="auto"/>
            <w:right w:val="none" w:sz="0" w:space="0" w:color="auto"/>
          </w:divBdr>
        </w:div>
        <w:div w:id="2024699390">
          <w:marLeft w:val="0"/>
          <w:marRight w:val="0"/>
          <w:marTop w:val="0"/>
          <w:marBottom w:val="0"/>
          <w:divBdr>
            <w:top w:val="none" w:sz="0" w:space="0" w:color="auto"/>
            <w:left w:val="none" w:sz="0" w:space="0" w:color="auto"/>
            <w:bottom w:val="none" w:sz="0" w:space="0" w:color="auto"/>
            <w:right w:val="none" w:sz="0" w:space="0" w:color="auto"/>
          </w:divBdr>
        </w:div>
        <w:div w:id="2024699391">
          <w:marLeft w:val="0"/>
          <w:marRight w:val="0"/>
          <w:marTop w:val="0"/>
          <w:marBottom w:val="0"/>
          <w:divBdr>
            <w:top w:val="none" w:sz="0" w:space="0" w:color="auto"/>
            <w:left w:val="none" w:sz="0" w:space="0" w:color="auto"/>
            <w:bottom w:val="none" w:sz="0" w:space="0" w:color="auto"/>
            <w:right w:val="none" w:sz="0" w:space="0" w:color="auto"/>
          </w:divBdr>
        </w:div>
        <w:div w:id="2024699392">
          <w:marLeft w:val="0"/>
          <w:marRight w:val="0"/>
          <w:marTop w:val="0"/>
          <w:marBottom w:val="0"/>
          <w:divBdr>
            <w:top w:val="none" w:sz="0" w:space="0" w:color="auto"/>
            <w:left w:val="none" w:sz="0" w:space="0" w:color="auto"/>
            <w:bottom w:val="none" w:sz="0" w:space="0" w:color="auto"/>
            <w:right w:val="none" w:sz="0" w:space="0" w:color="auto"/>
          </w:divBdr>
        </w:div>
        <w:div w:id="2024699393">
          <w:marLeft w:val="0"/>
          <w:marRight w:val="0"/>
          <w:marTop w:val="0"/>
          <w:marBottom w:val="0"/>
          <w:divBdr>
            <w:top w:val="none" w:sz="0" w:space="0" w:color="auto"/>
            <w:left w:val="none" w:sz="0" w:space="0" w:color="auto"/>
            <w:bottom w:val="none" w:sz="0" w:space="0" w:color="auto"/>
            <w:right w:val="none" w:sz="0" w:space="0" w:color="auto"/>
          </w:divBdr>
        </w:div>
        <w:div w:id="2024699394">
          <w:marLeft w:val="0"/>
          <w:marRight w:val="0"/>
          <w:marTop w:val="0"/>
          <w:marBottom w:val="0"/>
          <w:divBdr>
            <w:top w:val="none" w:sz="0" w:space="0" w:color="auto"/>
            <w:left w:val="none" w:sz="0" w:space="0" w:color="auto"/>
            <w:bottom w:val="none" w:sz="0" w:space="0" w:color="auto"/>
            <w:right w:val="none" w:sz="0" w:space="0" w:color="auto"/>
          </w:divBdr>
        </w:div>
        <w:div w:id="2024699395">
          <w:marLeft w:val="0"/>
          <w:marRight w:val="0"/>
          <w:marTop w:val="0"/>
          <w:marBottom w:val="0"/>
          <w:divBdr>
            <w:top w:val="none" w:sz="0" w:space="0" w:color="auto"/>
            <w:left w:val="none" w:sz="0" w:space="0" w:color="auto"/>
            <w:bottom w:val="none" w:sz="0" w:space="0" w:color="auto"/>
            <w:right w:val="none" w:sz="0" w:space="0" w:color="auto"/>
          </w:divBdr>
        </w:div>
        <w:div w:id="2024699396">
          <w:marLeft w:val="0"/>
          <w:marRight w:val="0"/>
          <w:marTop w:val="0"/>
          <w:marBottom w:val="0"/>
          <w:divBdr>
            <w:top w:val="none" w:sz="0" w:space="0" w:color="auto"/>
            <w:left w:val="none" w:sz="0" w:space="0" w:color="auto"/>
            <w:bottom w:val="none" w:sz="0" w:space="0" w:color="auto"/>
            <w:right w:val="none" w:sz="0" w:space="0" w:color="auto"/>
          </w:divBdr>
        </w:div>
        <w:div w:id="2024699397">
          <w:marLeft w:val="0"/>
          <w:marRight w:val="0"/>
          <w:marTop w:val="0"/>
          <w:marBottom w:val="0"/>
          <w:divBdr>
            <w:top w:val="none" w:sz="0" w:space="0" w:color="auto"/>
            <w:left w:val="none" w:sz="0" w:space="0" w:color="auto"/>
            <w:bottom w:val="none" w:sz="0" w:space="0" w:color="auto"/>
            <w:right w:val="none" w:sz="0" w:space="0" w:color="auto"/>
          </w:divBdr>
        </w:div>
        <w:div w:id="2024699398">
          <w:marLeft w:val="0"/>
          <w:marRight w:val="0"/>
          <w:marTop w:val="0"/>
          <w:marBottom w:val="0"/>
          <w:divBdr>
            <w:top w:val="none" w:sz="0" w:space="0" w:color="auto"/>
            <w:left w:val="none" w:sz="0" w:space="0" w:color="auto"/>
            <w:bottom w:val="none" w:sz="0" w:space="0" w:color="auto"/>
            <w:right w:val="none" w:sz="0" w:space="0" w:color="auto"/>
          </w:divBdr>
        </w:div>
        <w:div w:id="2024699399">
          <w:marLeft w:val="0"/>
          <w:marRight w:val="0"/>
          <w:marTop w:val="0"/>
          <w:marBottom w:val="0"/>
          <w:divBdr>
            <w:top w:val="none" w:sz="0" w:space="0" w:color="auto"/>
            <w:left w:val="none" w:sz="0" w:space="0" w:color="auto"/>
            <w:bottom w:val="none" w:sz="0" w:space="0" w:color="auto"/>
            <w:right w:val="none" w:sz="0" w:space="0" w:color="auto"/>
          </w:divBdr>
        </w:div>
        <w:div w:id="2024699400">
          <w:marLeft w:val="0"/>
          <w:marRight w:val="0"/>
          <w:marTop w:val="0"/>
          <w:marBottom w:val="0"/>
          <w:divBdr>
            <w:top w:val="none" w:sz="0" w:space="0" w:color="auto"/>
            <w:left w:val="none" w:sz="0" w:space="0" w:color="auto"/>
            <w:bottom w:val="none" w:sz="0" w:space="0" w:color="auto"/>
            <w:right w:val="none" w:sz="0" w:space="0" w:color="auto"/>
          </w:divBdr>
        </w:div>
        <w:div w:id="2024699401">
          <w:marLeft w:val="0"/>
          <w:marRight w:val="0"/>
          <w:marTop w:val="0"/>
          <w:marBottom w:val="0"/>
          <w:divBdr>
            <w:top w:val="none" w:sz="0" w:space="0" w:color="auto"/>
            <w:left w:val="none" w:sz="0" w:space="0" w:color="auto"/>
            <w:bottom w:val="none" w:sz="0" w:space="0" w:color="auto"/>
            <w:right w:val="none" w:sz="0" w:space="0" w:color="auto"/>
          </w:divBdr>
        </w:div>
        <w:div w:id="2024699402">
          <w:marLeft w:val="0"/>
          <w:marRight w:val="0"/>
          <w:marTop w:val="0"/>
          <w:marBottom w:val="0"/>
          <w:divBdr>
            <w:top w:val="none" w:sz="0" w:space="0" w:color="auto"/>
            <w:left w:val="none" w:sz="0" w:space="0" w:color="auto"/>
            <w:bottom w:val="none" w:sz="0" w:space="0" w:color="auto"/>
            <w:right w:val="none" w:sz="0" w:space="0" w:color="auto"/>
          </w:divBdr>
        </w:div>
        <w:div w:id="2024699403">
          <w:marLeft w:val="0"/>
          <w:marRight w:val="0"/>
          <w:marTop w:val="0"/>
          <w:marBottom w:val="0"/>
          <w:divBdr>
            <w:top w:val="none" w:sz="0" w:space="0" w:color="auto"/>
            <w:left w:val="none" w:sz="0" w:space="0" w:color="auto"/>
            <w:bottom w:val="none" w:sz="0" w:space="0" w:color="auto"/>
            <w:right w:val="none" w:sz="0" w:space="0" w:color="auto"/>
          </w:divBdr>
        </w:div>
        <w:div w:id="2024699405">
          <w:marLeft w:val="0"/>
          <w:marRight w:val="0"/>
          <w:marTop w:val="0"/>
          <w:marBottom w:val="0"/>
          <w:divBdr>
            <w:top w:val="none" w:sz="0" w:space="0" w:color="auto"/>
            <w:left w:val="none" w:sz="0" w:space="0" w:color="auto"/>
            <w:bottom w:val="none" w:sz="0" w:space="0" w:color="auto"/>
            <w:right w:val="none" w:sz="0" w:space="0" w:color="auto"/>
          </w:divBdr>
        </w:div>
        <w:div w:id="2024699406">
          <w:marLeft w:val="0"/>
          <w:marRight w:val="0"/>
          <w:marTop w:val="0"/>
          <w:marBottom w:val="0"/>
          <w:divBdr>
            <w:top w:val="none" w:sz="0" w:space="0" w:color="auto"/>
            <w:left w:val="none" w:sz="0" w:space="0" w:color="auto"/>
            <w:bottom w:val="none" w:sz="0" w:space="0" w:color="auto"/>
            <w:right w:val="none" w:sz="0" w:space="0" w:color="auto"/>
          </w:divBdr>
        </w:div>
        <w:div w:id="2024699407">
          <w:marLeft w:val="0"/>
          <w:marRight w:val="0"/>
          <w:marTop w:val="0"/>
          <w:marBottom w:val="0"/>
          <w:divBdr>
            <w:top w:val="none" w:sz="0" w:space="0" w:color="auto"/>
            <w:left w:val="none" w:sz="0" w:space="0" w:color="auto"/>
            <w:bottom w:val="none" w:sz="0" w:space="0" w:color="auto"/>
            <w:right w:val="none" w:sz="0" w:space="0" w:color="auto"/>
          </w:divBdr>
        </w:div>
        <w:div w:id="2024699408">
          <w:marLeft w:val="0"/>
          <w:marRight w:val="0"/>
          <w:marTop w:val="0"/>
          <w:marBottom w:val="0"/>
          <w:divBdr>
            <w:top w:val="none" w:sz="0" w:space="0" w:color="auto"/>
            <w:left w:val="none" w:sz="0" w:space="0" w:color="auto"/>
            <w:bottom w:val="none" w:sz="0" w:space="0" w:color="auto"/>
            <w:right w:val="none" w:sz="0" w:space="0" w:color="auto"/>
          </w:divBdr>
        </w:div>
        <w:div w:id="2024699409">
          <w:marLeft w:val="0"/>
          <w:marRight w:val="0"/>
          <w:marTop w:val="0"/>
          <w:marBottom w:val="0"/>
          <w:divBdr>
            <w:top w:val="none" w:sz="0" w:space="0" w:color="auto"/>
            <w:left w:val="none" w:sz="0" w:space="0" w:color="auto"/>
            <w:bottom w:val="none" w:sz="0" w:space="0" w:color="auto"/>
            <w:right w:val="none" w:sz="0" w:space="0" w:color="auto"/>
          </w:divBdr>
        </w:div>
        <w:div w:id="2024699410">
          <w:marLeft w:val="0"/>
          <w:marRight w:val="0"/>
          <w:marTop w:val="0"/>
          <w:marBottom w:val="0"/>
          <w:divBdr>
            <w:top w:val="none" w:sz="0" w:space="0" w:color="auto"/>
            <w:left w:val="none" w:sz="0" w:space="0" w:color="auto"/>
            <w:bottom w:val="none" w:sz="0" w:space="0" w:color="auto"/>
            <w:right w:val="none" w:sz="0" w:space="0" w:color="auto"/>
          </w:divBdr>
        </w:div>
        <w:div w:id="2024699411">
          <w:marLeft w:val="0"/>
          <w:marRight w:val="0"/>
          <w:marTop w:val="0"/>
          <w:marBottom w:val="0"/>
          <w:divBdr>
            <w:top w:val="none" w:sz="0" w:space="0" w:color="auto"/>
            <w:left w:val="none" w:sz="0" w:space="0" w:color="auto"/>
            <w:bottom w:val="none" w:sz="0" w:space="0" w:color="auto"/>
            <w:right w:val="none" w:sz="0" w:space="0" w:color="auto"/>
          </w:divBdr>
        </w:div>
        <w:div w:id="2024699412">
          <w:marLeft w:val="0"/>
          <w:marRight w:val="0"/>
          <w:marTop w:val="0"/>
          <w:marBottom w:val="0"/>
          <w:divBdr>
            <w:top w:val="none" w:sz="0" w:space="0" w:color="auto"/>
            <w:left w:val="none" w:sz="0" w:space="0" w:color="auto"/>
            <w:bottom w:val="none" w:sz="0" w:space="0" w:color="auto"/>
            <w:right w:val="none" w:sz="0" w:space="0" w:color="auto"/>
          </w:divBdr>
        </w:div>
        <w:div w:id="2024699413">
          <w:marLeft w:val="0"/>
          <w:marRight w:val="0"/>
          <w:marTop w:val="0"/>
          <w:marBottom w:val="0"/>
          <w:divBdr>
            <w:top w:val="none" w:sz="0" w:space="0" w:color="auto"/>
            <w:left w:val="none" w:sz="0" w:space="0" w:color="auto"/>
            <w:bottom w:val="none" w:sz="0" w:space="0" w:color="auto"/>
            <w:right w:val="none" w:sz="0" w:space="0" w:color="auto"/>
          </w:divBdr>
        </w:div>
        <w:div w:id="2024699414">
          <w:marLeft w:val="0"/>
          <w:marRight w:val="0"/>
          <w:marTop w:val="0"/>
          <w:marBottom w:val="0"/>
          <w:divBdr>
            <w:top w:val="none" w:sz="0" w:space="0" w:color="auto"/>
            <w:left w:val="none" w:sz="0" w:space="0" w:color="auto"/>
            <w:bottom w:val="none" w:sz="0" w:space="0" w:color="auto"/>
            <w:right w:val="none" w:sz="0" w:space="0" w:color="auto"/>
          </w:divBdr>
          <w:divsChild>
            <w:div w:id="2024699726">
              <w:marLeft w:val="0"/>
              <w:marRight w:val="0"/>
              <w:marTop w:val="0"/>
              <w:marBottom w:val="0"/>
              <w:divBdr>
                <w:top w:val="none" w:sz="0" w:space="0" w:color="auto"/>
                <w:left w:val="none" w:sz="0" w:space="0" w:color="auto"/>
                <w:bottom w:val="none" w:sz="0" w:space="0" w:color="auto"/>
                <w:right w:val="none" w:sz="0" w:space="0" w:color="auto"/>
              </w:divBdr>
            </w:div>
            <w:div w:id="2024703087">
              <w:marLeft w:val="0"/>
              <w:marRight w:val="0"/>
              <w:marTop w:val="0"/>
              <w:marBottom w:val="0"/>
              <w:divBdr>
                <w:top w:val="none" w:sz="0" w:space="0" w:color="auto"/>
                <w:left w:val="none" w:sz="0" w:space="0" w:color="auto"/>
                <w:bottom w:val="none" w:sz="0" w:space="0" w:color="auto"/>
                <w:right w:val="none" w:sz="0" w:space="0" w:color="auto"/>
              </w:divBdr>
            </w:div>
            <w:div w:id="2024703161">
              <w:marLeft w:val="0"/>
              <w:marRight w:val="0"/>
              <w:marTop w:val="0"/>
              <w:marBottom w:val="0"/>
              <w:divBdr>
                <w:top w:val="none" w:sz="0" w:space="0" w:color="auto"/>
                <w:left w:val="none" w:sz="0" w:space="0" w:color="auto"/>
                <w:bottom w:val="none" w:sz="0" w:space="0" w:color="auto"/>
                <w:right w:val="none" w:sz="0" w:space="0" w:color="auto"/>
              </w:divBdr>
            </w:div>
            <w:div w:id="2024703315">
              <w:marLeft w:val="0"/>
              <w:marRight w:val="0"/>
              <w:marTop w:val="0"/>
              <w:marBottom w:val="0"/>
              <w:divBdr>
                <w:top w:val="none" w:sz="0" w:space="0" w:color="auto"/>
                <w:left w:val="none" w:sz="0" w:space="0" w:color="auto"/>
                <w:bottom w:val="none" w:sz="0" w:space="0" w:color="auto"/>
                <w:right w:val="none" w:sz="0" w:space="0" w:color="auto"/>
              </w:divBdr>
            </w:div>
            <w:div w:id="2024704533">
              <w:marLeft w:val="0"/>
              <w:marRight w:val="0"/>
              <w:marTop w:val="0"/>
              <w:marBottom w:val="0"/>
              <w:divBdr>
                <w:top w:val="none" w:sz="0" w:space="0" w:color="auto"/>
                <w:left w:val="none" w:sz="0" w:space="0" w:color="auto"/>
                <w:bottom w:val="none" w:sz="0" w:space="0" w:color="auto"/>
                <w:right w:val="none" w:sz="0" w:space="0" w:color="auto"/>
              </w:divBdr>
            </w:div>
            <w:div w:id="2024705151">
              <w:marLeft w:val="0"/>
              <w:marRight w:val="0"/>
              <w:marTop w:val="0"/>
              <w:marBottom w:val="0"/>
              <w:divBdr>
                <w:top w:val="none" w:sz="0" w:space="0" w:color="auto"/>
                <w:left w:val="none" w:sz="0" w:space="0" w:color="auto"/>
                <w:bottom w:val="none" w:sz="0" w:space="0" w:color="auto"/>
                <w:right w:val="none" w:sz="0" w:space="0" w:color="auto"/>
              </w:divBdr>
            </w:div>
            <w:div w:id="2024705931">
              <w:marLeft w:val="0"/>
              <w:marRight w:val="0"/>
              <w:marTop w:val="0"/>
              <w:marBottom w:val="0"/>
              <w:divBdr>
                <w:top w:val="none" w:sz="0" w:space="0" w:color="auto"/>
                <w:left w:val="none" w:sz="0" w:space="0" w:color="auto"/>
                <w:bottom w:val="none" w:sz="0" w:space="0" w:color="auto"/>
                <w:right w:val="none" w:sz="0" w:space="0" w:color="auto"/>
              </w:divBdr>
            </w:div>
          </w:divsChild>
        </w:div>
        <w:div w:id="2024699415">
          <w:marLeft w:val="0"/>
          <w:marRight w:val="0"/>
          <w:marTop w:val="0"/>
          <w:marBottom w:val="0"/>
          <w:divBdr>
            <w:top w:val="none" w:sz="0" w:space="0" w:color="auto"/>
            <w:left w:val="none" w:sz="0" w:space="0" w:color="auto"/>
            <w:bottom w:val="none" w:sz="0" w:space="0" w:color="auto"/>
            <w:right w:val="none" w:sz="0" w:space="0" w:color="auto"/>
          </w:divBdr>
        </w:div>
        <w:div w:id="2024699417">
          <w:marLeft w:val="0"/>
          <w:marRight w:val="0"/>
          <w:marTop w:val="0"/>
          <w:marBottom w:val="0"/>
          <w:divBdr>
            <w:top w:val="none" w:sz="0" w:space="0" w:color="auto"/>
            <w:left w:val="none" w:sz="0" w:space="0" w:color="auto"/>
            <w:bottom w:val="none" w:sz="0" w:space="0" w:color="auto"/>
            <w:right w:val="none" w:sz="0" w:space="0" w:color="auto"/>
          </w:divBdr>
        </w:div>
        <w:div w:id="2024699418">
          <w:marLeft w:val="0"/>
          <w:marRight w:val="0"/>
          <w:marTop w:val="0"/>
          <w:marBottom w:val="0"/>
          <w:divBdr>
            <w:top w:val="none" w:sz="0" w:space="0" w:color="auto"/>
            <w:left w:val="none" w:sz="0" w:space="0" w:color="auto"/>
            <w:bottom w:val="none" w:sz="0" w:space="0" w:color="auto"/>
            <w:right w:val="none" w:sz="0" w:space="0" w:color="auto"/>
          </w:divBdr>
        </w:div>
        <w:div w:id="2024699419">
          <w:marLeft w:val="0"/>
          <w:marRight w:val="0"/>
          <w:marTop w:val="0"/>
          <w:marBottom w:val="0"/>
          <w:divBdr>
            <w:top w:val="none" w:sz="0" w:space="0" w:color="auto"/>
            <w:left w:val="none" w:sz="0" w:space="0" w:color="auto"/>
            <w:bottom w:val="none" w:sz="0" w:space="0" w:color="auto"/>
            <w:right w:val="none" w:sz="0" w:space="0" w:color="auto"/>
          </w:divBdr>
        </w:div>
        <w:div w:id="2024699420">
          <w:marLeft w:val="0"/>
          <w:marRight w:val="0"/>
          <w:marTop w:val="0"/>
          <w:marBottom w:val="0"/>
          <w:divBdr>
            <w:top w:val="none" w:sz="0" w:space="0" w:color="auto"/>
            <w:left w:val="none" w:sz="0" w:space="0" w:color="auto"/>
            <w:bottom w:val="none" w:sz="0" w:space="0" w:color="auto"/>
            <w:right w:val="none" w:sz="0" w:space="0" w:color="auto"/>
          </w:divBdr>
        </w:div>
        <w:div w:id="2024699421">
          <w:marLeft w:val="0"/>
          <w:marRight w:val="0"/>
          <w:marTop w:val="0"/>
          <w:marBottom w:val="0"/>
          <w:divBdr>
            <w:top w:val="none" w:sz="0" w:space="0" w:color="auto"/>
            <w:left w:val="none" w:sz="0" w:space="0" w:color="auto"/>
            <w:bottom w:val="none" w:sz="0" w:space="0" w:color="auto"/>
            <w:right w:val="none" w:sz="0" w:space="0" w:color="auto"/>
          </w:divBdr>
        </w:div>
        <w:div w:id="2024699422">
          <w:marLeft w:val="0"/>
          <w:marRight w:val="0"/>
          <w:marTop w:val="0"/>
          <w:marBottom w:val="0"/>
          <w:divBdr>
            <w:top w:val="none" w:sz="0" w:space="0" w:color="auto"/>
            <w:left w:val="none" w:sz="0" w:space="0" w:color="auto"/>
            <w:bottom w:val="none" w:sz="0" w:space="0" w:color="auto"/>
            <w:right w:val="none" w:sz="0" w:space="0" w:color="auto"/>
          </w:divBdr>
        </w:div>
        <w:div w:id="2024699423">
          <w:marLeft w:val="0"/>
          <w:marRight w:val="0"/>
          <w:marTop w:val="0"/>
          <w:marBottom w:val="0"/>
          <w:divBdr>
            <w:top w:val="none" w:sz="0" w:space="0" w:color="auto"/>
            <w:left w:val="none" w:sz="0" w:space="0" w:color="auto"/>
            <w:bottom w:val="none" w:sz="0" w:space="0" w:color="auto"/>
            <w:right w:val="none" w:sz="0" w:space="0" w:color="auto"/>
          </w:divBdr>
        </w:div>
        <w:div w:id="2024699424">
          <w:marLeft w:val="0"/>
          <w:marRight w:val="0"/>
          <w:marTop w:val="0"/>
          <w:marBottom w:val="0"/>
          <w:divBdr>
            <w:top w:val="none" w:sz="0" w:space="0" w:color="auto"/>
            <w:left w:val="none" w:sz="0" w:space="0" w:color="auto"/>
            <w:bottom w:val="none" w:sz="0" w:space="0" w:color="auto"/>
            <w:right w:val="none" w:sz="0" w:space="0" w:color="auto"/>
          </w:divBdr>
        </w:div>
        <w:div w:id="2024699425">
          <w:marLeft w:val="0"/>
          <w:marRight w:val="0"/>
          <w:marTop w:val="0"/>
          <w:marBottom w:val="0"/>
          <w:divBdr>
            <w:top w:val="none" w:sz="0" w:space="0" w:color="auto"/>
            <w:left w:val="none" w:sz="0" w:space="0" w:color="auto"/>
            <w:bottom w:val="none" w:sz="0" w:space="0" w:color="auto"/>
            <w:right w:val="none" w:sz="0" w:space="0" w:color="auto"/>
          </w:divBdr>
        </w:div>
        <w:div w:id="2024699426">
          <w:marLeft w:val="0"/>
          <w:marRight w:val="0"/>
          <w:marTop w:val="0"/>
          <w:marBottom w:val="0"/>
          <w:divBdr>
            <w:top w:val="none" w:sz="0" w:space="0" w:color="auto"/>
            <w:left w:val="none" w:sz="0" w:space="0" w:color="auto"/>
            <w:bottom w:val="none" w:sz="0" w:space="0" w:color="auto"/>
            <w:right w:val="none" w:sz="0" w:space="0" w:color="auto"/>
          </w:divBdr>
        </w:div>
        <w:div w:id="2024699427">
          <w:marLeft w:val="0"/>
          <w:marRight w:val="0"/>
          <w:marTop w:val="0"/>
          <w:marBottom w:val="0"/>
          <w:divBdr>
            <w:top w:val="none" w:sz="0" w:space="0" w:color="auto"/>
            <w:left w:val="none" w:sz="0" w:space="0" w:color="auto"/>
            <w:bottom w:val="none" w:sz="0" w:space="0" w:color="auto"/>
            <w:right w:val="none" w:sz="0" w:space="0" w:color="auto"/>
          </w:divBdr>
        </w:div>
        <w:div w:id="2024699429">
          <w:marLeft w:val="0"/>
          <w:marRight w:val="0"/>
          <w:marTop w:val="0"/>
          <w:marBottom w:val="0"/>
          <w:divBdr>
            <w:top w:val="none" w:sz="0" w:space="0" w:color="auto"/>
            <w:left w:val="none" w:sz="0" w:space="0" w:color="auto"/>
            <w:bottom w:val="none" w:sz="0" w:space="0" w:color="auto"/>
            <w:right w:val="none" w:sz="0" w:space="0" w:color="auto"/>
          </w:divBdr>
        </w:div>
        <w:div w:id="2024699430">
          <w:marLeft w:val="0"/>
          <w:marRight w:val="0"/>
          <w:marTop w:val="0"/>
          <w:marBottom w:val="0"/>
          <w:divBdr>
            <w:top w:val="none" w:sz="0" w:space="0" w:color="auto"/>
            <w:left w:val="none" w:sz="0" w:space="0" w:color="auto"/>
            <w:bottom w:val="none" w:sz="0" w:space="0" w:color="auto"/>
            <w:right w:val="none" w:sz="0" w:space="0" w:color="auto"/>
          </w:divBdr>
        </w:div>
        <w:div w:id="2024699431">
          <w:marLeft w:val="0"/>
          <w:marRight w:val="0"/>
          <w:marTop w:val="0"/>
          <w:marBottom w:val="0"/>
          <w:divBdr>
            <w:top w:val="none" w:sz="0" w:space="0" w:color="auto"/>
            <w:left w:val="none" w:sz="0" w:space="0" w:color="auto"/>
            <w:bottom w:val="none" w:sz="0" w:space="0" w:color="auto"/>
            <w:right w:val="none" w:sz="0" w:space="0" w:color="auto"/>
          </w:divBdr>
        </w:div>
        <w:div w:id="2024699432">
          <w:marLeft w:val="0"/>
          <w:marRight w:val="0"/>
          <w:marTop w:val="0"/>
          <w:marBottom w:val="0"/>
          <w:divBdr>
            <w:top w:val="none" w:sz="0" w:space="0" w:color="auto"/>
            <w:left w:val="none" w:sz="0" w:space="0" w:color="auto"/>
            <w:bottom w:val="none" w:sz="0" w:space="0" w:color="auto"/>
            <w:right w:val="none" w:sz="0" w:space="0" w:color="auto"/>
          </w:divBdr>
        </w:div>
        <w:div w:id="2024699433">
          <w:marLeft w:val="0"/>
          <w:marRight w:val="0"/>
          <w:marTop w:val="0"/>
          <w:marBottom w:val="0"/>
          <w:divBdr>
            <w:top w:val="none" w:sz="0" w:space="0" w:color="auto"/>
            <w:left w:val="none" w:sz="0" w:space="0" w:color="auto"/>
            <w:bottom w:val="none" w:sz="0" w:space="0" w:color="auto"/>
            <w:right w:val="none" w:sz="0" w:space="0" w:color="auto"/>
          </w:divBdr>
        </w:div>
        <w:div w:id="2024699434">
          <w:marLeft w:val="0"/>
          <w:marRight w:val="0"/>
          <w:marTop w:val="0"/>
          <w:marBottom w:val="0"/>
          <w:divBdr>
            <w:top w:val="none" w:sz="0" w:space="0" w:color="auto"/>
            <w:left w:val="none" w:sz="0" w:space="0" w:color="auto"/>
            <w:bottom w:val="none" w:sz="0" w:space="0" w:color="auto"/>
            <w:right w:val="none" w:sz="0" w:space="0" w:color="auto"/>
          </w:divBdr>
        </w:div>
        <w:div w:id="2024699435">
          <w:marLeft w:val="0"/>
          <w:marRight w:val="0"/>
          <w:marTop w:val="0"/>
          <w:marBottom w:val="0"/>
          <w:divBdr>
            <w:top w:val="none" w:sz="0" w:space="0" w:color="auto"/>
            <w:left w:val="none" w:sz="0" w:space="0" w:color="auto"/>
            <w:bottom w:val="none" w:sz="0" w:space="0" w:color="auto"/>
            <w:right w:val="none" w:sz="0" w:space="0" w:color="auto"/>
          </w:divBdr>
        </w:div>
        <w:div w:id="2024699436">
          <w:marLeft w:val="0"/>
          <w:marRight w:val="0"/>
          <w:marTop w:val="0"/>
          <w:marBottom w:val="0"/>
          <w:divBdr>
            <w:top w:val="none" w:sz="0" w:space="0" w:color="auto"/>
            <w:left w:val="none" w:sz="0" w:space="0" w:color="auto"/>
            <w:bottom w:val="none" w:sz="0" w:space="0" w:color="auto"/>
            <w:right w:val="none" w:sz="0" w:space="0" w:color="auto"/>
          </w:divBdr>
        </w:div>
        <w:div w:id="2024699437">
          <w:marLeft w:val="0"/>
          <w:marRight w:val="0"/>
          <w:marTop w:val="0"/>
          <w:marBottom w:val="0"/>
          <w:divBdr>
            <w:top w:val="none" w:sz="0" w:space="0" w:color="auto"/>
            <w:left w:val="none" w:sz="0" w:space="0" w:color="auto"/>
            <w:bottom w:val="none" w:sz="0" w:space="0" w:color="auto"/>
            <w:right w:val="none" w:sz="0" w:space="0" w:color="auto"/>
          </w:divBdr>
        </w:div>
        <w:div w:id="2024699439">
          <w:marLeft w:val="0"/>
          <w:marRight w:val="0"/>
          <w:marTop w:val="0"/>
          <w:marBottom w:val="0"/>
          <w:divBdr>
            <w:top w:val="none" w:sz="0" w:space="0" w:color="auto"/>
            <w:left w:val="none" w:sz="0" w:space="0" w:color="auto"/>
            <w:bottom w:val="none" w:sz="0" w:space="0" w:color="auto"/>
            <w:right w:val="none" w:sz="0" w:space="0" w:color="auto"/>
          </w:divBdr>
        </w:div>
        <w:div w:id="2024699440">
          <w:marLeft w:val="0"/>
          <w:marRight w:val="0"/>
          <w:marTop w:val="0"/>
          <w:marBottom w:val="0"/>
          <w:divBdr>
            <w:top w:val="none" w:sz="0" w:space="0" w:color="auto"/>
            <w:left w:val="none" w:sz="0" w:space="0" w:color="auto"/>
            <w:bottom w:val="none" w:sz="0" w:space="0" w:color="auto"/>
            <w:right w:val="none" w:sz="0" w:space="0" w:color="auto"/>
          </w:divBdr>
        </w:div>
        <w:div w:id="2024699441">
          <w:marLeft w:val="0"/>
          <w:marRight w:val="0"/>
          <w:marTop w:val="0"/>
          <w:marBottom w:val="0"/>
          <w:divBdr>
            <w:top w:val="none" w:sz="0" w:space="0" w:color="auto"/>
            <w:left w:val="none" w:sz="0" w:space="0" w:color="auto"/>
            <w:bottom w:val="none" w:sz="0" w:space="0" w:color="auto"/>
            <w:right w:val="none" w:sz="0" w:space="0" w:color="auto"/>
          </w:divBdr>
        </w:div>
        <w:div w:id="2024699442">
          <w:marLeft w:val="0"/>
          <w:marRight w:val="0"/>
          <w:marTop w:val="0"/>
          <w:marBottom w:val="0"/>
          <w:divBdr>
            <w:top w:val="none" w:sz="0" w:space="0" w:color="auto"/>
            <w:left w:val="none" w:sz="0" w:space="0" w:color="auto"/>
            <w:bottom w:val="none" w:sz="0" w:space="0" w:color="auto"/>
            <w:right w:val="none" w:sz="0" w:space="0" w:color="auto"/>
          </w:divBdr>
        </w:div>
        <w:div w:id="2024699443">
          <w:marLeft w:val="0"/>
          <w:marRight w:val="0"/>
          <w:marTop w:val="0"/>
          <w:marBottom w:val="0"/>
          <w:divBdr>
            <w:top w:val="none" w:sz="0" w:space="0" w:color="auto"/>
            <w:left w:val="none" w:sz="0" w:space="0" w:color="auto"/>
            <w:bottom w:val="none" w:sz="0" w:space="0" w:color="auto"/>
            <w:right w:val="none" w:sz="0" w:space="0" w:color="auto"/>
          </w:divBdr>
        </w:div>
        <w:div w:id="2024699444">
          <w:marLeft w:val="0"/>
          <w:marRight w:val="0"/>
          <w:marTop w:val="0"/>
          <w:marBottom w:val="0"/>
          <w:divBdr>
            <w:top w:val="none" w:sz="0" w:space="0" w:color="auto"/>
            <w:left w:val="none" w:sz="0" w:space="0" w:color="auto"/>
            <w:bottom w:val="none" w:sz="0" w:space="0" w:color="auto"/>
            <w:right w:val="none" w:sz="0" w:space="0" w:color="auto"/>
          </w:divBdr>
        </w:div>
        <w:div w:id="2024699445">
          <w:marLeft w:val="0"/>
          <w:marRight w:val="0"/>
          <w:marTop w:val="0"/>
          <w:marBottom w:val="0"/>
          <w:divBdr>
            <w:top w:val="none" w:sz="0" w:space="0" w:color="auto"/>
            <w:left w:val="none" w:sz="0" w:space="0" w:color="auto"/>
            <w:bottom w:val="none" w:sz="0" w:space="0" w:color="auto"/>
            <w:right w:val="none" w:sz="0" w:space="0" w:color="auto"/>
          </w:divBdr>
        </w:div>
        <w:div w:id="2024699446">
          <w:marLeft w:val="0"/>
          <w:marRight w:val="0"/>
          <w:marTop w:val="0"/>
          <w:marBottom w:val="0"/>
          <w:divBdr>
            <w:top w:val="none" w:sz="0" w:space="0" w:color="auto"/>
            <w:left w:val="none" w:sz="0" w:space="0" w:color="auto"/>
            <w:bottom w:val="none" w:sz="0" w:space="0" w:color="auto"/>
            <w:right w:val="none" w:sz="0" w:space="0" w:color="auto"/>
          </w:divBdr>
        </w:div>
        <w:div w:id="2024699447">
          <w:marLeft w:val="0"/>
          <w:marRight w:val="0"/>
          <w:marTop w:val="0"/>
          <w:marBottom w:val="0"/>
          <w:divBdr>
            <w:top w:val="none" w:sz="0" w:space="0" w:color="auto"/>
            <w:left w:val="none" w:sz="0" w:space="0" w:color="auto"/>
            <w:bottom w:val="none" w:sz="0" w:space="0" w:color="auto"/>
            <w:right w:val="none" w:sz="0" w:space="0" w:color="auto"/>
          </w:divBdr>
        </w:div>
        <w:div w:id="2024699448">
          <w:marLeft w:val="0"/>
          <w:marRight w:val="0"/>
          <w:marTop w:val="0"/>
          <w:marBottom w:val="0"/>
          <w:divBdr>
            <w:top w:val="none" w:sz="0" w:space="0" w:color="auto"/>
            <w:left w:val="none" w:sz="0" w:space="0" w:color="auto"/>
            <w:bottom w:val="none" w:sz="0" w:space="0" w:color="auto"/>
            <w:right w:val="none" w:sz="0" w:space="0" w:color="auto"/>
          </w:divBdr>
        </w:div>
        <w:div w:id="2024699449">
          <w:marLeft w:val="0"/>
          <w:marRight w:val="0"/>
          <w:marTop w:val="0"/>
          <w:marBottom w:val="0"/>
          <w:divBdr>
            <w:top w:val="none" w:sz="0" w:space="0" w:color="auto"/>
            <w:left w:val="none" w:sz="0" w:space="0" w:color="auto"/>
            <w:bottom w:val="none" w:sz="0" w:space="0" w:color="auto"/>
            <w:right w:val="none" w:sz="0" w:space="0" w:color="auto"/>
          </w:divBdr>
        </w:div>
        <w:div w:id="2024699450">
          <w:marLeft w:val="0"/>
          <w:marRight w:val="0"/>
          <w:marTop w:val="0"/>
          <w:marBottom w:val="0"/>
          <w:divBdr>
            <w:top w:val="none" w:sz="0" w:space="0" w:color="auto"/>
            <w:left w:val="none" w:sz="0" w:space="0" w:color="auto"/>
            <w:bottom w:val="none" w:sz="0" w:space="0" w:color="auto"/>
            <w:right w:val="none" w:sz="0" w:space="0" w:color="auto"/>
          </w:divBdr>
        </w:div>
        <w:div w:id="2024699452">
          <w:marLeft w:val="0"/>
          <w:marRight w:val="0"/>
          <w:marTop w:val="0"/>
          <w:marBottom w:val="0"/>
          <w:divBdr>
            <w:top w:val="none" w:sz="0" w:space="0" w:color="auto"/>
            <w:left w:val="none" w:sz="0" w:space="0" w:color="auto"/>
            <w:bottom w:val="none" w:sz="0" w:space="0" w:color="auto"/>
            <w:right w:val="none" w:sz="0" w:space="0" w:color="auto"/>
          </w:divBdr>
        </w:div>
        <w:div w:id="2024699453">
          <w:marLeft w:val="0"/>
          <w:marRight w:val="0"/>
          <w:marTop w:val="0"/>
          <w:marBottom w:val="0"/>
          <w:divBdr>
            <w:top w:val="none" w:sz="0" w:space="0" w:color="auto"/>
            <w:left w:val="none" w:sz="0" w:space="0" w:color="auto"/>
            <w:bottom w:val="none" w:sz="0" w:space="0" w:color="auto"/>
            <w:right w:val="none" w:sz="0" w:space="0" w:color="auto"/>
          </w:divBdr>
        </w:div>
        <w:div w:id="2024699454">
          <w:marLeft w:val="0"/>
          <w:marRight w:val="0"/>
          <w:marTop w:val="0"/>
          <w:marBottom w:val="0"/>
          <w:divBdr>
            <w:top w:val="none" w:sz="0" w:space="0" w:color="auto"/>
            <w:left w:val="none" w:sz="0" w:space="0" w:color="auto"/>
            <w:bottom w:val="none" w:sz="0" w:space="0" w:color="auto"/>
            <w:right w:val="none" w:sz="0" w:space="0" w:color="auto"/>
          </w:divBdr>
        </w:div>
        <w:div w:id="2024699455">
          <w:marLeft w:val="0"/>
          <w:marRight w:val="0"/>
          <w:marTop w:val="0"/>
          <w:marBottom w:val="0"/>
          <w:divBdr>
            <w:top w:val="none" w:sz="0" w:space="0" w:color="auto"/>
            <w:left w:val="none" w:sz="0" w:space="0" w:color="auto"/>
            <w:bottom w:val="none" w:sz="0" w:space="0" w:color="auto"/>
            <w:right w:val="none" w:sz="0" w:space="0" w:color="auto"/>
          </w:divBdr>
        </w:div>
        <w:div w:id="2024699456">
          <w:marLeft w:val="0"/>
          <w:marRight w:val="0"/>
          <w:marTop w:val="0"/>
          <w:marBottom w:val="0"/>
          <w:divBdr>
            <w:top w:val="none" w:sz="0" w:space="0" w:color="auto"/>
            <w:left w:val="none" w:sz="0" w:space="0" w:color="auto"/>
            <w:bottom w:val="none" w:sz="0" w:space="0" w:color="auto"/>
            <w:right w:val="none" w:sz="0" w:space="0" w:color="auto"/>
          </w:divBdr>
        </w:div>
        <w:div w:id="2024699457">
          <w:marLeft w:val="0"/>
          <w:marRight w:val="0"/>
          <w:marTop w:val="0"/>
          <w:marBottom w:val="0"/>
          <w:divBdr>
            <w:top w:val="none" w:sz="0" w:space="0" w:color="auto"/>
            <w:left w:val="none" w:sz="0" w:space="0" w:color="auto"/>
            <w:bottom w:val="none" w:sz="0" w:space="0" w:color="auto"/>
            <w:right w:val="none" w:sz="0" w:space="0" w:color="auto"/>
          </w:divBdr>
        </w:div>
        <w:div w:id="2024699458">
          <w:marLeft w:val="0"/>
          <w:marRight w:val="0"/>
          <w:marTop w:val="0"/>
          <w:marBottom w:val="0"/>
          <w:divBdr>
            <w:top w:val="none" w:sz="0" w:space="0" w:color="auto"/>
            <w:left w:val="none" w:sz="0" w:space="0" w:color="auto"/>
            <w:bottom w:val="none" w:sz="0" w:space="0" w:color="auto"/>
            <w:right w:val="none" w:sz="0" w:space="0" w:color="auto"/>
          </w:divBdr>
        </w:div>
        <w:div w:id="2024699459">
          <w:marLeft w:val="0"/>
          <w:marRight w:val="0"/>
          <w:marTop w:val="0"/>
          <w:marBottom w:val="0"/>
          <w:divBdr>
            <w:top w:val="none" w:sz="0" w:space="0" w:color="auto"/>
            <w:left w:val="none" w:sz="0" w:space="0" w:color="auto"/>
            <w:bottom w:val="none" w:sz="0" w:space="0" w:color="auto"/>
            <w:right w:val="none" w:sz="0" w:space="0" w:color="auto"/>
          </w:divBdr>
        </w:div>
        <w:div w:id="2024699460">
          <w:marLeft w:val="0"/>
          <w:marRight w:val="0"/>
          <w:marTop w:val="0"/>
          <w:marBottom w:val="0"/>
          <w:divBdr>
            <w:top w:val="none" w:sz="0" w:space="0" w:color="auto"/>
            <w:left w:val="none" w:sz="0" w:space="0" w:color="auto"/>
            <w:bottom w:val="none" w:sz="0" w:space="0" w:color="auto"/>
            <w:right w:val="none" w:sz="0" w:space="0" w:color="auto"/>
          </w:divBdr>
        </w:div>
        <w:div w:id="2024699461">
          <w:marLeft w:val="0"/>
          <w:marRight w:val="0"/>
          <w:marTop w:val="0"/>
          <w:marBottom w:val="0"/>
          <w:divBdr>
            <w:top w:val="none" w:sz="0" w:space="0" w:color="auto"/>
            <w:left w:val="none" w:sz="0" w:space="0" w:color="auto"/>
            <w:bottom w:val="none" w:sz="0" w:space="0" w:color="auto"/>
            <w:right w:val="none" w:sz="0" w:space="0" w:color="auto"/>
          </w:divBdr>
        </w:div>
        <w:div w:id="2024699462">
          <w:marLeft w:val="0"/>
          <w:marRight w:val="0"/>
          <w:marTop w:val="0"/>
          <w:marBottom w:val="0"/>
          <w:divBdr>
            <w:top w:val="none" w:sz="0" w:space="0" w:color="auto"/>
            <w:left w:val="none" w:sz="0" w:space="0" w:color="auto"/>
            <w:bottom w:val="none" w:sz="0" w:space="0" w:color="auto"/>
            <w:right w:val="none" w:sz="0" w:space="0" w:color="auto"/>
          </w:divBdr>
        </w:div>
        <w:div w:id="2024699463">
          <w:marLeft w:val="0"/>
          <w:marRight w:val="0"/>
          <w:marTop w:val="0"/>
          <w:marBottom w:val="0"/>
          <w:divBdr>
            <w:top w:val="none" w:sz="0" w:space="0" w:color="auto"/>
            <w:left w:val="none" w:sz="0" w:space="0" w:color="auto"/>
            <w:bottom w:val="none" w:sz="0" w:space="0" w:color="auto"/>
            <w:right w:val="none" w:sz="0" w:space="0" w:color="auto"/>
          </w:divBdr>
        </w:div>
        <w:div w:id="2024699464">
          <w:marLeft w:val="0"/>
          <w:marRight w:val="0"/>
          <w:marTop w:val="0"/>
          <w:marBottom w:val="0"/>
          <w:divBdr>
            <w:top w:val="none" w:sz="0" w:space="0" w:color="auto"/>
            <w:left w:val="none" w:sz="0" w:space="0" w:color="auto"/>
            <w:bottom w:val="none" w:sz="0" w:space="0" w:color="auto"/>
            <w:right w:val="none" w:sz="0" w:space="0" w:color="auto"/>
          </w:divBdr>
        </w:div>
        <w:div w:id="2024699465">
          <w:marLeft w:val="0"/>
          <w:marRight w:val="0"/>
          <w:marTop w:val="0"/>
          <w:marBottom w:val="0"/>
          <w:divBdr>
            <w:top w:val="none" w:sz="0" w:space="0" w:color="auto"/>
            <w:left w:val="none" w:sz="0" w:space="0" w:color="auto"/>
            <w:bottom w:val="none" w:sz="0" w:space="0" w:color="auto"/>
            <w:right w:val="none" w:sz="0" w:space="0" w:color="auto"/>
          </w:divBdr>
        </w:div>
        <w:div w:id="2024699466">
          <w:marLeft w:val="0"/>
          <w:marRight w:val="0"/>
          <w:marTop w:val="0"/>
          <w:marBottom w:val="0"/>
          <w:divBdr>
            <w:top w:val="none" w:sz="0" w:space="0" w:color="auto"/>
            <w:left w:val="none" w:sz="0" w:space="0" w:color="auto"/>
            <w:bottom w:val="none" w:sz="0" w:space="0" w:color="auto"/>
            <w:right w:val="none" w:sz="0" w:space="0" w:color="auto"/>
          </w:divBdr>
        </w:div>
        <w:div w:id="2024699467">
          <w:marLeft w:val="0"/>
          <w:marRight w:val="0"/>
          <w:marTop w:val="0"/>
          <w:marBottom w:val="0"/>
          <w:divBdr>
            <w:top w:val="none" w:sz="0" w:space="0" w:color="auto"/>
            <w:left w:val="none" w:sz="0" w:space="0" w:color="auto"/>
            <w:bottom w:val="none" w:sz="0" w:space="0" w:color="auto"/>
            <w:right w:val="none" w:sz="0" w:space="0" w:color="auto"/>
          </w:divBdr>
        </w:div>
        <w:div w:id="2024699469">
          <w:marLeft w:val="0"/>
          <w:marRight w:val="0"/>
          <w:marTop w:val="0"/>
          <w:marBottom w:val="0"/>
          <w:divBdr>
            <w:top w:val="none" w:sz="0" w:space="0" w:color="auto"/>
            <w:left w:val="none" w:sz="0" w:space="0" w:color="auto"/>
            <w:bottom w:val="none" w:sz="0" w:space="0" w:color="auto"/>
            <w:right w:val="none" w:sz="0" w:space="0" w:color="auto"/>
          </w:divBdr>
        </w:div>
        <w:div w:id="2024699470">
          <w:marLeft w:val="0"/>
          <w:marRight w:val="0"/>
          <w:marTop w:val="0"/>
          <w:marBottom w:val="0"/>
          <w:divBdr>
            <w:top w:val="none" w:sz="0" w:space="0" w:color="auto"/>
            <w:left w:val="none" w:sz="0" w:space="0" w:color="auto"/>
            <w:bottom w:val="none" w:sz="0" w:space="0" w:color="auto"/>
            <w:right w:val="none" w:sz="0" w:space="0" w:color="auto"/>
          </w:divBdr>
        </w:div>
        <w:div w:id="2024699471">
          <w:marLeft w:val="0"/>
          <w:marRight w:val="0"/>
          <w:marTop w:val="0"/>
          <w:marBottom w:val="0"/>
          <w:divBdr>
            <w:top w:val="none" w:sz="0" w:space="0" w:color="auto"/>
            <w:left w:val="none" w:sz="0" w:space="0" w:color="auto"/>
            <w:bottom w:val="none" w:sz="0" w:space="0" w:color="auto"/>
            <w:right w:val="none" w:sz="0" w:space="0" w:color="auto"/>
          </w:divBdr>
        </w:div>
        <w:div w:id="2024699472">
          <w:marLeft w:val="0"/>
          <w:marRight w:val="0"/>
          <w:marTop w:val="0"/>
          <w:marBottom w:val="0"/>
          <w:divBdr>
            <w:top w:val="none" w:sz="0" w:space="0" w:color="auto"/>
            <w:left w:val="none" w:sz="0" w:space="0" w:color="auto"/>
            <w:bottom w:val="none" w:sz="0" w:space="0" w:color="auto"/>
            <w:right w:val="none" w:sz="0" w:space="0" w:color="auto"/>
          </w:divBdr>
        </w:div>
        <w:div w:id="2024699473">
          <w:marLeft w:val="0"/>
          <w:marRight w:val="0"/>
          <w:marTop w:val="0"/>
          <w:marBottom w:val="0"/>
          <w:divBdr>
            <w:top w:val="none" w:sz="0" w:space="0" w:color="auto"/>
            <w:left w:val="none" w:sz="0" w:space="0" w:color="auto"/>
            <w:bottom w:val="none" w:sz="0" w:space="0" w:color="auto"/>
            <w:right w:val="none" w:sz="0" w:space="0" w:color="auto"/>
          </w:divBdr>
        </w:div>
        <w:div w:id="2024699474">
          <w:marLeft w:val="0"/>
          <w:marRight w:val="0"/>
          <w:marTop w:val="0"/>
          <w:marBottom w:val="0"/>
          <w:divBdr>
            <w:top w:val="none" w:sz="0" w:space="0" w:color="auto"/>
            <w:left w:val="none" w:sz="0" w:space="0" w:color="auto"/>
            <w:bottom w:val="none" w:sz="0" w:space="0" w:color="auto"/>
            <w:right w:val="none" w:sz="0" w:space="0" w:color="auto"/>
          </w:divBdr>
        </w:div>
        <w:div w:id="2024699475">
          <w:marLeft w:val="0"/>
          <w:marRight w:val="0"/>
          <w:marTop w:val="0"/>
          <w:marBottom w:val="0"/>
          <w:divBdr>
            <w:top w:val="none" w:sz="0" w:space="0" w:color="auto"/>
            <w:left w:val="none" w:sz="0" w:space="0" w:color="auto"/>
            <w:bottom w:val="none" w:sz="0" w:space="0" w:color="auto"/>
            <w:right w:val="none" w:sz="0" w:space="0" w:color="auto"/>
          </w:divBdr>
        </w:div>
        <w:div w:id="2024699476">
          <w:marLeft w:val="0"/>
          <w:marRight w:val="0"/>
          <w:marTop w:val="0"/>
          <w:marBottom w:val="0"/>
          <w:divBdr>
            <w:top w:val="none" w:sz="0" w:space="0" w:color="auto"/>
            <w:left w:val="none" w:sz="0" w:space="0" w:color="auto"/>
            <w:bottom w:val="none" w:sz="0" w:space="0" w:color="auto"/>
            <w:right w:val="none" w:sz="0" w:space="0" w:color="auto"/>
          </w:divBdr>
        </w:div>
        <w:div w:id="2024699477">
          <w:marLeft w:val="0"/>
          <w:marRight w:val="0"/>
          <w:marTop w:val="0"/>
          <w:marBottom w:val="0"/>
          <w:divBdr>
            <w:top w:val="none" w:sz="0" w:space="0" w:color="auto"/>
            <w:left w:val="none" w:sz="0" w:space="0" w:color="auto"/>
            <w:bottom w:val="none" w:sz="0" w:space="0" w:color="auto"/>
            <w:right w:val="none" w:sz="0" w:space="0" w:color="auto"/>
          </w:divBdr>
        </w:div>
        <w:div w:id="2024699478">
          <w:marLeft w:val="0"/>
          <w:marRight w:val="0"/>
          <w:marTop w:val="0"/>
          <w:marBottom w:val="0"/>
          <w:divBdr>
            <w:top w:val="none" w:sz="0" w:space="0" w:color="auto"/>
            <w:left w:val="none" w:sz="0" w:space="0" w:color="auto"/>
            <w:bottom w:val="none" w:sz="0" w:space="0" w:color="auto"/>
            <w:right w:val="none" w:sz="0" w:space="0" w:color="auto"/>
          </w:divBdr>
        </w:div>
        <w:div w:id="2024699479">
          <w:marLeft w:val="0"/>
          <w:marRight w:val="0"/>
          <w:marTop w:val="0"/>
          <w:marBottom w:val="0"/>
          <w:divBdr>
            <w:top w:val="none" w:sz="0" w:space="0" w:color="auto"/>
            <w:left w:val="none" w:sz="0" w:space="0" w:color="auto"/>
            <w:bottom w:val="none" w:sz="0" w:space="0" w:color="auto"/>
            <w:right w:val="none" w:sz="0" w:space="0" w:color="auto"/>
          </w:divBdr>
        </w:div>
        <w:div w:id="2024699480">
          <w:marLeft w:val="0"/>
          <w:marRight w:val="0"/>
          <w:marTop w:val="0"/>
          <w:marBottom w:val="0"/>
          <w:divBdr>
            <w:top w:val="none" w:sz="0" w:space="0" w:color="auto"/>
            <w:left w:val="none" w:sz="0" w:space="0" w:color="auto"/>
            <w:bottom w:val="none" w:sz="0" w:space="0" w:color="auto"/>
            <w:right w:val="none" w:sz="0" w:space="0" w:color="auto"/>
          </w:divBdr>
        </w:div>
        <w:div w:id="2024699481">
          <w:marLeft w:val="0"/>
          <w:marRight w:val="0"/>
          <w:marTop w:val="0"/>
          <w:marBottom w:val="0"/>
          <w:divBdr>
            <w:top w:val="none" w:sz="0" w:space="0" w:color="auto"/>
            <w:left w:val="none" w:sz="0" w:space="0" w:color="auto"/>
            <w:bottom w:val="none" w:sz="0" w:space="0" w:color="auto"/>
            <w:right w:val="none" w:sz="0" w:space="0" w:color="auto"/>
          </w:divBdr>
        </w:div>
        <w:div w:id="2024699483">
          <w:marLeft w:val="0"/>
          <w:marRight w:val="0"/>
          <w:marTop w:val="0"/>
          <w:marBottom w:val="0"/>
          <w:divBdr>
            <w:top w:val="none" w:sz="0" w:space="0" w:color="auto"/>
            <w:left w:val="none" w:sz="0" w:space="0" w:color="auto"/>
            <w:bottom w:val="none" w:sz="0" w:space="0" w:color="auto"/>
            <w:right w:val="none" w:sz="0" w:space="0" w:color="auto"/>
          </w:divBdr>
        </w:div>
        <w:div w:id="2024699484">
          <w:marLeft w:val="0"/>
          <w:marRight w:val="0"/>
          <w:marTop w:val="0"/>
          <w:marBottom w:val="0"/>
          <w:divBdr>
            <w:top w:val="none" w:sz="0" w:space="0" w:color="auto"/>
            <w:left w:val="none" w:sz="0" w:space="0" w:color="auto"/>
            <w:bottom w:val="none" w:sz="0" w:space="0" w:color="auto"/>
            <w:right w:val="none" w:sz="0" w:space="0" w:color="auto"/>
          </w:divBdr>
        </w:div>
        <w:div w:id="2024699485">
          <w:marLeft w:val="0"/>
          <w:marRight w:val="0"/>
          <w:marTop w:val="0"/>
          <w:marBottom w:val="0"/>
          <w:divBdr>
            <w:top w:val="none" w:sz="0" w:space="0" w:color="auto"/>
            <w:left w:val="none" w:sz="0" w:space="0" w:color="auto"/>
            <w:bottom w:val="none" w:sz="0" w:space="0" w:color="auto"/>
            <w:right w:val="none" w:sz="0" w:space="0" w:color="auto"/>
          </w:divBdr>
        </w:div>
        <w:div w:id="2024699486">
          <w:marLeft w:val="0"/>
          <w:marRight w:val="0"/>
          <w:marTop w:val="0"/>
          <w:marBottom w:val="0"/>
          <w:divBdr>
            <w:top w:val="none" w:sz="0" w:space="0" w:color="auto"/>
            <w:left w:val="none" w:sz="0" w:space="0" w:color="auto"/>
            <w:bottom w:val="none" w:sz="0" w:space="0" w:color="auto"/>
            <w:right w:val="none" w:sz="0" w:space="0" w:color="auto"/>
          </w:divBdr>
        </w:div>
        <w:div w:id="2024699487">
          <w:marLeft w:val="0"/>
          <w:marRight w:val="0"/>
          <w:marTop w:val="0"/>
          <w:marBottom w:val="0"/>
          <w:divBdr>
            <w:top w:val="none" w:sz="0" w:space="0" w:color="auto"/>
            <w:left w:val="none" w:sz="0" w:space="0" w:color="auto"/>
            <w:bottom w:val="none" w:sz="0" w:space="0" w:color="auto"/>
            <w:right w:val="none" w:sz="0" w:space="0" w:color="auto"/>
          </w:divBdr>
        </w:div>
        <w:div w:id="2024699488">
          <w:marLeft w:val="0"/>
          <w:marRight w:val="0"/>
          <w:marTop w:val="0"/>
          <w:marBottom w:val="0"/>
          <w:divBdr>
            <w:top w:val="none" w:sz="0" w:space="0" w:color="auto"/>
            <w:left w:val="none" w:sz="0" w:space="0" w:color="auto"/>
            <w:bottom w:val="none" w:sz="0" w:space="0" w:color="auto"/>
            <w:right w:val="none" w:sz="0" w:space="0" w:color="auto"/>
          </w:divBdr>
        </w:div>
        <w:div w:id="2024699489">
          <w:marLeft w:val="0"/>
          <w:marRight w:val="0"/>
          <w:marTop w:val="0"/>
          <w:marBottom w:val="0"/>
          <w:divBdr>
            <w:top w:val="none" w:sz="0" w:space="0" w:color="auto"/>
            <w:left w:val="none" w:sz="0" w:space="0" w:color="auto"/>
            <w:bottom w:val="none" w:sz="0" w:space="0" w:color="auto"/>
            <w:right w:val="none" w:sz="0" w:space="0" w:color="auto"/>
          </w:divBdr>
        </w:div>
        <w:div w:id="2024699490">
          <w:marLeft w:val="0"/>
          <w:marRight w:val="0"/>
          <w:marTop w:val="0"/>
          <w:marBottom w:val="0"/>
          <w:divBdr>
            <w:top w:val="none" w:sz="0" w:space="0" w:color="auto"/>
            <w:left w:val="none" w:sz="0" w:space="0" w:color="auto"/>
            <w:bottom w:val="none" w:sz="0" w:space="0" w:color="auto"/>
            <w:right w:val="none" w:sz="0" w:space="0" w:color="auto"/>
          </w:divBdr>
        </w:div>
        <w:div w:id="2024699491">
          <w:marLeft w:val="0"/>
          <w:marRight w:val="0"/>
          <w:marTop w:val="0"/>
          <w:marBottom w:val="0"/>
          <w:divBdr>
            <w:top w:val="none" w:sz="0" w:space="0" w:color="auto"/>
            <w:left w:val="none" w:sz="0" w:space="0" w:color="auto"/>
            <w:bottom w:val="none" w:sz="0" w:space="0" w:color="auto"/>
            <w:right w:val="none" w:sz="0" w:space="0" w:color="auto"/>
          </w:divBdr>
        </w:div>
        <w:div w:id="2024699492">
          <w:marLeft w:val="0"/>
          <w:marRight w:val="0"/>
          <w:marTop w:val="0"/>
          <w:marBottom w:val="0"/>
          <w:divBdr>
            <w:top w:val="none" w:sz="0" w:space="0" w:color="auto"/>
            <w:left w:val="none" w:sz="0" w:space="0" w:color="auto"/>
            <w:bottom w:val="none" w:sz="0" w:space="0" w:color="auto"/>
            <w:right w:val="none" w:sz="0" w:space="0" w:color="auto"/>
          </w:divBdr>
        </w:div>
        <w:div w:id="2024699493">
          <w:marLeft w:val="0"/>
          <w:marRight w:val="0"/>
          <w:marTop w:val="0"/>
          <w:marBottom w:val="0"/>
          <w:divBdr>
            <w:top w:val="none" w:sz="0" w:space="0" w:color="auto"/>
            <w:left w:val="none" w:sz="0" w:space="0" w:color="auto"/>
            <w:bottom w:val="none" w:sz="0" w:space="0" w:color="auto"/>
            <w:right w:val="none" w:sz="0" w:space="0" w:color="auto"/>
          </w:divBdr>
        </w:div>
        <w:div w:id="2024699494">
          <w:marLeft w:val="0"/>
          <w:marRight w:val="0"/>
          <w:marTop w:val="0"/>
          <w:marBottom w:val="0"/>
          <w:divBdr>
            <w:top w:val="none" w:sz="0" w:space="0" w:color="auto"/>
            <w:left w:val="none" w:sz="0" w:space="0" w:color="auto"/>
            <w:bottom w:val="none" w:sz="0" w:space="0" w:color="auto"/>
            <w:right w:val="none" w:sz="0" w:space="0" w:color="auto"/>
          </w:divBdr>
        </w:div>
        <w:div w:id="2024699495">
          <w:marLeft w:val="0"/>
          <w:marRight w:val="0"/>
          <w:marTop w:val="0"/>
          <w:marBottom w:val="0"/>
          <w:divBdr>
            <w:top w:val="none" w:sz="0" w:space="0" w:color="auto"/>
            <w:left w:val="none" w:sz="0" w:space="0" w:color="auto"/>
            <w:bottom w:val="none" w:sz="0" w:space="0" w:color="auto"/>
            <w:right w:val="none" w:sz="0" w:space="0" w:color="auto"/>
          </w:divBdr>
        </w:div>
        <w:div w:id="2024699496">
          <w:marLeft w:val="0"/>
          <w:marRight w:val="0"/>
          <w:marTop w:val="0"/>
          <w:marBottom w:val="0"/>
          <w:divBdr>
            <w:top w:val="none" w:sz="0" w:space="0" w:color="auto"/>
            <w:left w:val="none" w:sz="0" w:space="0" w:color="auto"/>
            <w:bottom w:val="none" w:sz="0" w:space="0" w:color="auto"/>
            <w:right w:val="none" w:sz="0" w:space="0" w:color="auto"/>
          </w:divBdr>
        </w:div>
        <w:div w:id="2024699497">
          <w:marLeft w:val="0"/>
          <w:marRight w:val="0"/>
          <w:marTop w:val="0"/>
          <w:marBottom w:val="0"/>
          <w:divBdr>
            <w:top w:val="none" w:sz="0" w:space="0" w:color="auto"/>
            <w:left w:val="none" w:sz="0" w:space="0" w:color="auto"/>
            <w:bottom w:val="none" w:sz="0" w:space="0" w:color="auto"/>
            <w:right w:val="none" w:sz="0" w:space="0" w:color="auto"/>
          </w:divBdr>
        </w:div>
        <w:div w:id="2024699498">
          <w:marLeft w:val="0"/>
          <w:marRight w:val="0"/>
          <w:marTop w:val="0"/>
          <w:marBottom w:val="0"/>
          <w:divBdr>
            <w:top w:val="none" w:sz="0" w:space="0" w:color="auto"/>
            <w:left w:val="none" w:sz="0" w:space="0" w:color="auto"/>
            <w:bottom w:val="none" w:sz="0" w:space="0" w:color="auto"/>
            <w:right w:val="none" w:sz="0" w:space="0" w:color="auto"/>
          </w:divBdr>
        </w:div>
        <w:div w:id="2024699500">
          <w:marLeft w:val="0"/>
          <w:marRight w:val="0"/>
          <w:marTop w:val="0"/>
          <w:marBottom w:val="0"/>
          <w:divBdr>
            <w:top w:val="none" w:sz="0" w:space="0" w:color="auto"/>
            <w:left w:val="none" w:sz="0" w:space="0" w:color="auto"/>
            <w:bottom w:val="none" w:sz="0" w:space="0" w:color="auto"/>
            <w:right w:val="none" w:sz="0" w:space="0" w:color="auto"/>
          </w:divBdr>
        </w:div>
        <w:div w:id="2024699501">
          <w:marLeft w:val="0"/>
          <w:marRight w:val="0"/>
          <w:marTop w:val="0"/>
          <w:marBottom w:val="0"/>
          <w:divBdr>
            <w:top w:val="none" w:sz="0" w:space="0" w:color="auto"/>
            <w:left w:val="none" w:sz="0" w:space="0" w:color="auto"/>
            <w:bottom w:val="none" w:sz="0" w:space="0" w:color="auto"/>
            <w:right w:val="none" w:sz="0" w:space="0" w:color="auto"/>
          </w:divBdr>
        </w:div>
        <w:div w:id="2024699503">
          <w:marLeft w:val="0"/>
          <w:marRight w:val="0"/>
          <w:marTop w:val="0"/>
          <w:marBottom w:val="0"/>
          <w:divBdr>
            <w:top w:val="none" w:sz="0" w:space="0" w:color="auto"/>
            <w:left w:val="none" w:sz="0" w:space="0" w:color="auto"/>
            <w:bottom w:val="none" w:sz="0" w:space="0" w:color="auto"/>
            <w:right w:val="none" w:sz="0" w:space="0" w:color="auto"/>
          </w:divBdr>
        </w:div>
        <w:div w:id="2024699504">
          <w:marLeft w:val="0"/>
          <w:marRight w:val="0"/>
          <w:marTop w:val="0"/>
          <w:marBottom w:val="0"/>
          <w:divBdr>
            <w:top w:val="none" w:sz="0" w:space="0" w:color="auto"/>
            <w:left w:val="none" w:sz="0" w:space="0" w:color="auto"/>
            <w:bottom w:val="none" w:sz="0" w:space="0" w:color="auto"/>
            <w:right w:val="none" w:sz="0" w:space="0" w:color="auto"/>
          </w:divBdr>
        </w:div>
        <w:div w:id="2024699505">
          <w:marLeft w:val="0"/>
          <w:marRight w:val="0"/>
          <w:marTop w:val="0"/>
          <w:marBottom w:val="0"/>
          <w:divBdr>
            <w:top w:val="none" w:sz="0" w:space="0" w:color="auto"/>
            <w:left w:val="none" w:sz="0" w:space="0" w:color="auto"/>
            <w:bottom w:val="none" w:sz="0" w:space="0" w:color="auto"/>
            <w:right w:val="none" w:sz="0" w:space="0" w:color="auto"/>
          </w:divBdr>
        </w:div>
        <w:div w:id="2024699506">
          <w:marLeft w:val="0"/>
          <w:marRight w:val="0"/>
          <w:marTop w:val="0"/>
          <w:marBottom w:val="0"/>
          <w:divBdr>
            <w:top w:val="none" w:sz="0" w:space="0" w:color="auto"/>
            <w:left w:val="none" w:sz="0" w:space="0" w:color="auto"/>
            <w:bottom w:val="none" w:sz="0" w:space="0" w:color="auto"/>
            <w:right w:val="none" w:sz="0" w:space="0" w:color="auto"/>
          </w:divBdr>
        </w:div>
        <w:div w:id="2024699507">
          <w:marLeft w:val="0"/>
          <w:marRight w:val="0"/>
          <w:marTop w:val="0"/>
          <w:marBottom w:val="0"/>
          <w:divBdr>
            <w:top w:val="none" w:sz="0" w:space="0" w:color="auto"/>
            <w:left w:val="none" w:sz="0" w:space="0" w:color="auto"/>
            <w:bottom w:val="none" w:sz="0" w:space="0" w:color="auto"/>
            <w:right w:val="none" w:sz="0" w:space="0" w:color="auto"/>
          </w:divBdr>
        </w:div>
        <w:div w:id="2024699508">
          <w:marLeft w:val="0"/>
          <w:marRight w:val="0"/>
          <w:marTop w:val="0"/>
          <w:marBottom w:val="0"/>
          <w:divBdr>
            <w:top w:val="none" w:sz="0" w:space="0" w:color="auto"/>
            <w:left w:val="none" w:sz="0" w:space="0" w:color="auto"/>
            <w:bottom w:val="none" w:sz="0" w:space="0" w:color="auto"/>
            <w:right w:val="none" w:sz="0" w:space="0" w:color="auto"/>
          </w:divBdr>
        </w:div>
        <w:div w:id="2024699509">
          <w:marLeft w:val="0"/>
          <w:marRight w:val="0"/>
          <w:marTop w:val="0"/>
          <w:marBottom w:val="0"/>
          <w:divBdr>
            <w:top w:val="none" w:sz="0" w:space="0" w:color="auto"/>
            <w:left w:val="none" w:sz="0" w:space="0" w:color="auto"/>
            <w:bottom w:val="none" w:sz="0" w:space="0" w:color="auto"/>
            <w:right w:val="none" w:sz="0" w:space="0" w:color="auto"/>
          </w:divBdr>
        </w:div>
        <w:div w:id="2024699510">
          <w:marLeft w:val="0"/>
          <w:marRight w:val="0"/>
          <w:marTop w:val="0"/>
          <w:marBottom w:val="0"/>
          <w:divBdr>
            <w:top w:val="none" w:sz="0" w:space="0" w:color="auto"/>
            <w:left w:val="none" w:sz="0" w:space="0" w:color="auto"/>
            <w:bottom w:val="none" w:sz="0" w:space="0" w:color="auto"/>
            <w:right w:val="none" w:sz="0" w:space="0" w:color="auto"/>
          </w:divBdr>
        </w:div>
        <w:div w:id="2024699511">
          <w:marLeft w:val="0"/>
          <w:marRight w:val="0"/>
          <w:marTop w:val="0"/>
          <w:marBottom w:val="0"/>
          <w:divBdr>
            <w:top w:val="none" w:sz="0" w:space="0" w:color="auto"/>
            <w:left w:val="none" w:sz="0" w:space="0" w:color="auto"/>
            <w:bottom w:val="none" w:sz="0" w:space="0" w:color="auto"/>
            <w:right w:val="none" w:sz="0" w:space="0" w:color="auto"/>
          </w:divBdr>
        </w:div>
        <w:div w:id="2024699512">
          <w:marLeft w:val="0"/>
          <w:marRight w:val="0"/>
          <w:marTop w:val="0"/>
          <w:marBottom w:val="0"/>
          <w:divBdr>
            <w:top w:val="none" w:sz="0" w:space="0" w:color="auto"/>
            <w:left w:val="none" w:sz="0" w:space="0" w:color="auto"/>
            <w:bottom w:val="none" w:sz="0" w:space="0" w:color="auto"/>
            <w:right w:val="none" w:sz="0" w:space="0" w:color="auto"/>
          </w:divBdr>
        </w:div>
        <w:div w:id="2024699513">
          <w:marLeft w:val="0"/>
          <w:marRight w:val="0"/>
          <w:marTop w:val="0"/>
          <w:marBottom w:val="0"/>
          <w:divBdr>
            <w:top w:val="none" w:sz="0" w:space="0" w:color="auto"/>
            <w:left w:val="none" w:sz="0" w:space="0" w:color="auto"/>
            <w:bottom w:val="none" w:sz="0" w:space="0" w:color="auto"/>
            <w:right w:val="none" w:sz="0" w:space="0" w:color="auto"/>
          </w:divBdr>
        </w:div>
        <w:div w:id="2024699514">
          <w:marLeft w:val="0"/>
          <w:marRight w:val="0"/>
          <w:marTop w:val="0"/>
          <w:marBottom w:val="0"/>
          <w:divBdr>
            <w:top w:val="none" w:sz="0" w:space="0" w:color="auto"/>
            <w:left w:val="none" w:sz="0" w:space="0" w:color="auto"/>
            <w:bottom w:val="none" w:sz="0" w:space="0" w:color="auto"/>
            <w:right w:val="none" w:sz="0" w:space="0" w:color="auto"/>
          </w:divBdr>
        </w:div>
        <w:div w:id="2024699515">
          <w:marLeft w:val="0"/>
          <w:marRight w:val="0"/>
          <w:marTop w:val="0"/>
          <w:marBottom w:val="0"/>
          <w:divBdr>
            <w:top w:val="none" w:sz="0" w:space="0" w:color="auto"/>
            <w:left w:val="none" w:sz="0" w:space="0" w:color="auto"/>
            <w:bottom w:val="none" w:sz="0" w:space="0" w:color="auto"/>
            <w:right w:val="none" w:sz="0" w:space="0" w:color="auto"/>
          </w:divBdr>
        </w:div>
        <w:div w:id="2024699516">
          <w:marLeft w:val="0"/>
          <w:marRight w:val="0"/>
          <w:marTop w:val="0"/>
          <w:marBottom w:val="0"/>
          <w:divBdr>
            <w:top w:val="none" w:sz="0" w:space="0" w:color="auto"/>
            <w:left w:val="none" w:sz="0" w:space="0" w:color="auto"/>
            <w:bottom w:val="none" w:sz="0" w:space="0" w:color="auto"/>
            <w:right w:val="none" w:sz="0" w:space="0" w:color="auto"/>
          </w:divBdr>
        </w:div>
        <w:div w:id="2024699517">
          <w:marLeft w:val="0"/>
          <w:marRight w:val="0"/>
          <w:marTop w:val="0"/>
          <w:marBottom w:val="0"/>
          <w:divBdr>
            <w:top w:val="none" w:sz="0" w:space="0" w:color="auto"/>
            <w:left w:val="none" w:sz="0" w:space="0" w:color="auto"/>
            <w:bottom w:val="none" w:sz="0" w:space="0" w:color="auto"/>
            <w:right w:val="none" w:sz="0" w:space="0" w:color="auto"/>
          </w:divBdr>
        </w:div>
        <w:div w:id="2024699519">
          <w:marLeft w:val="0"/>
          <w:marRight w:val="0"/>
          <w:marTop w:val="0"/>
          <w:marBottom w:val="0"/>
          <w:divBdr>
            <w:top w:val="none" w:sz="0" w:space="0" w:color="auto"/>
            <w:left w:val="none" w:sz="0" w:space="0" w:color="auto"/>
            <w:bottom w:val="none" w:sz="0" w:space="0" w:color="auto"/>
            <w:right w:val="none" w:sz="0" w:space="0" w:color="auto"/>
          </w:divBdr>
        </w:div>
        <w:div w:id="2024699520">
          <w:marLeft w:val="0"/>
          <w:marRight w:val="0"/>
          <w:marTop w:val="0"/>
          <w:marBottom w:val="0"/>
          <w:divBdr>
            <w:top w:val="none" w:sz="0" w:space="0" w:color="auto"/>
            <w:left w:val="none" w:sz="0" w:space="0" w:color="auto"/>
            <w:bottom w:val="none" w:sz="0" w:space="0" w:color="auto"/>
            <w:right w:val="none" w:sz="0" w:space="0" w:color="auto"/>
          </w:divBdr>
        </w:div>
        <w:div w:id="2024699521">
          <w:marLeft w:val="0"/>
          <w:marRight w:val="0"/>
          <w:marTop w:val="0"/>
          <w:marBottom w:val="0"/>
          <w:divBdr>
            <w:top w:val="none" w:sz="0" w:space="0" w:color="auto"/>
            <w:left w:val="none" w:sz="0" w:space="0" w:color="auto"/>
            <w:bottom w:val="none" w:sz="0" w:space="0" w:color="auto"/>
            <w:right w:val="none" w:sz="0" w:space="0" w:color="auto"/>
          </w:divBdr>
        </w:div>
        <w:div w:id="2024699522">
          <w:marLeft w:val="0"/>
          <w:marRight w:val="0"/>
          <w:marTop w:val="0"/>
          <w:marBottom w:val="0"/>
          <w:divBdr>
            <w:top w:val="none" w:sz="0" w:space="0" w:color="auto"/>
            <w:left w:val="none" w:sz="0" w:space="0" w:color="auto"/>
            <w:bottom w:val="none" w:sz="0" w:space="0" w:color="auto"/>
            <w:right w:val="none" w:sz="0" w:space="0" w:color="auto"/>
          </w:divBdr>
        </w:div>
        <w:div w:id="2024699523">
          <w:marLeft w:val="0"/>
          <w:marRight w:val="0"/>
          <w:marTop w:val="0"/>
          <w:marBottom w:val="0"/>
          <w:divBdr>
            <w:top w:val="none" w:sz="0" w:space="0" w:color="auto"/>
            <w:left w:val="none" w:sz="0" w:space="0" w:color="auto"/>
            <w:bottom w:val="none" w:sz="0" w:space="0" w:color="auto"/>
            <w:right w:val="none" w:sz="0" w:space="0" w:color="auto"/>
          </w:divBdr>
        </w:div>
        <w:div w:id="2024699524">
          <w:marLeft w:val="0"/>
          <w:marRight w:val="0"/>
          <w:marTop w:val="0"/>
          <w:marBottom w:val="0"/>
          <w:divBdr>
            <w:top w:val="none" w:sz="0" w:space="0" w:color="auto"/>
            <w:left w:val="none" w:sz="0" w:space="0" w:color="auto"/>
            <w:bottom w:val="none" w:sz="0" w:space="0" w:color="auto"/>
            <w:right w:val="none" w:sz="0" w:space="0" w:color="auto"/>
          </w:divBdr>
        </w:div>
        <w:div w:id="2024699525">
          <w:marLeft w:val="0"/>
          <w:marRight w:val="0"/>
          <w:marTop w:val="0"/>
          <w:marBottom w:val="0"/>
          <w:divBdr>
            <w:top w:val="none" w:sz="0" w:space="0" w:color="auto"/>
            <w:left w:val="none" w:sz="0" w:space="0" w:color="auto"/>
            <w:bottom w:val="none" w:sz="0" w:space="0" w:color="auto"/>
            <w:right w:val="none" w:sz="0" w:space="0" w:color="auto"/>
          </w:divBdr>
        </w:div>
        <w:div w:id="2024699526">
          <w:marLeft w:val="0"/>
          <w:marRight w:val="0"/>
          <w:marTop w:val="0"/>
          <w:marBottom w:val="0"/>
          <w:divBdr>
            <w:top w:val="none" w:sz="0" w:space="0" w:color="auto"/>
            <w:left w:val="none" w:sz="0" w:space="0" w:color="auto"/>
            <w:bottom w:val="none" w:sz="0" w:space="0" w:color="auto"/>
            <w:right w:val="none" w:sz="0" w:space="0" w:color="auto"/>
          </w:divBdr>
        </w:div>
        <w:div w:id="2024699527">
          <w:marLeft w:val="0"/>
          <w:marRight w:val="0"/>
          <w:marTop w:val="0"/>
          <w:marBottom w:val="0"/>
          <w:divBdr>
            <w:top w:val="none" w:sz="0" w:space="0" w:color="auto"/>
            <w:left w:val="none" w:sz="0" w:space="0" w:color="auto"/>
            <w:bottom w:val="none" w:sz="0" w:space="0" w:color="auto"/>
            <w:right w:val="none" w:sz="0" w:space="0" w:color="auto"/>
          </w:divBdr>
        </w:div>
        <w:div w:id="2024699528">
          <w:marLeft w:val="0"/>
          <w:marRight w:val="0"/>
          <w:marTop w:val="0"/>
          <w:marBottom w:val="0"/>
          <w:divBdr>
            <w:top w:val="none" w:sz="0" w:space="0" w:color="auto"/>
            <w:left w:val="none" w:sz="0" w:space="0" w:color="auto"/>
            <w:bottom w:val="none" w:sz="0" w:space="0" w:color="auto"/>
            <w:right w:val="none" w:sz="0" w:space="0" w:color="auto"/>
          </w:divBdr>
        </w:div>
        <w:div w:id="2024699529">
          <w:marLeft w:val="0"/>
          <w:marRight w:val="0"/>
          <w:marTop w:val="0"/>
          <w:marBottom w:val="0"/>
          <w:divBdr>
            <w:top w:val="none" w:sz="0" w:space="0" w:color="auto"/>
            <w:left w:val="none" w:sz="0" w:space="0" w:color="auto"/>
            <w:bottom w:val="none" w:sz="0" w:space="0" w:color="auto"/>
            <w:right w:val="none" w:sz="0" w:space="0" w:color="auto"/>
          </w:divBdr>
        </w:div>
        <w:div w:id="2024699530">
          <w:marLeft w:val="0"/>
          <w:marRight w:val="0"/>
          <w:marTop w:val="0"/>
          <w:marBottom w:val="0"/>
          <w:divBdr>
            <w:top w:val="none" w:sz="0" w:space="0" w:color="auto"/>
            <w:left w:val="none" w:sz="0" w:space="0" w:color="auto"/>
            <w:bottom w:val="none" w:sz="0" w:space="0" w:color="auto"/>
            <w:right w:val="none" w:sz="0" w:space="0" w:color="auto"/>
          </w:divBdr>
        </w:div>
        <w:div w:id="2024699531">
          <w:marLeft w:val="0"/>
          <w:marRight w:val="0"/>
          <w:marTop w:val="0"/>
          <w:marBottom w:val="0"/>
          <w:divBdr>
            <w:top w:val="none" w:sz="0" w:space="0" w:color="auto"/>
            <w:left w:val="none" w:sz="0" w:space="0" w:color="auto"/>
            <w:bottom w:val="none" w:sz="0" w:space="0" w:color="auto"/>
            <w:right w:val="none" w:sz="0" w:space="0" w:color="auto"/>
          </w:divBdr>
        </w:div>
        <w:div w:id="2024699532">
          <w:marLeft w:val="0"/>
          <w:marRight w:val="0"/>
          <w:marTop w:val="0"/>
          <w:marBottom w:val="0"/>
          <w:divBdr>
            <w:top w:val="none" w:sz="0" w:space="0" w:color="auto"/>
            <w:left w:val="none" w:sz="0" w:space="0" w:color="auto"/>
            <w:bottom w:val="none" w:sz="0" w:space="0" w:color="auto"/>
            <w:right w:val="none" w:sz="0" w:space="0" w:color="auto"/>
          </w:divBdr>
        </w:div>
        <w:div w:id="2024699533">
          <w:marLeft w:val="0"/>
          <w:marRight w:val="0"/>
          <w:marTop w:val="0"/>
          <w:marBottom w:val="0"/>
          <w:divBdr>
            <w:top w:val="none" w:sz="0" w:space="0" w:color="auto"/>
            <w:left w:val="none" w:sz="0" w:space="0" w:color="auto"/>
            <w:bottom w:val="none" w:sz="0" w:space="0" w:color="auto"/>
            <w:right w:val="none" w:sz="0" w:space="0" w:color="auto"/>
          </w:divBdr>
        </w:div>
        <w:div w:id="2024699534">
          <w:marLeft w:val="0"/>
          <w:marRight w:val="0"/>
          <w:marTop w:val="0"/>
          <w:marBottom w:val="0"/>
          <w:divBdr>
            <w:top w:val="none" w:sz="0" w:space="0" w:color="auto"/>
            <w:left w:val="none" w:sz="0" w:space="0" w:color="auto"/>
            <w:bottom w:val="none" w:sz="0" w:space="0" w:color="auto"/>
            <w:right w:val="none" w:sz="0" w:space="0" w:color="auto"/>
          </w:divBdr>
        </w:div>
        <w:div w:id="2024699535">
          <w:marLeft w:val="0"/>
          <w:marRight w:val="0"/>
          <w:marTop w:val="0"/>
          <w:marBottom w:val="0"/>
          <w:divBdr>
            <w:top w:val="none" w:sz="0" w:space="0" w:color="auto"/>
            <w:left w:val="none" w:sz="0" w:space="0" w:color="auto"/>
            <w:bottom w:val="none" w:sz="0" w:space="0" w:color="auto"/>
            <w:right w:val="none" w:sz="0" w:space="0" w:color="auto"/>
          </w:divBdr>
        </w:div>
        <w:div w:id="2024699536">
          <w:marLeft w:val="0"/>
          <w:marRight w:val="0"/>
          <w:marTop w:val="0"/>
          <w:marBottom w:val="0"/>
          <w:divBdr>
            <w:top w:val="none" w:sz="0" w:space="0" w:color="auto"/>
            <w:left w:val="none" w:sz="0" w:space="0" w:color="auto"/>
            <w:bottom w:val="none" w:sz="0" w:space="0" w:color="auto"/>
            <w:right w:val="none" w:sz="0" w:space="0" w:color="auto"/>
          </w:divBdr>
        </w:div>
        <w:div w:id="2024699537">
          <w:marLeft w:val="0"/>
          <w:marRight w:val="0"/>
          <w:marTop w:val="0"/>
          <w:marBottom w:val="0"/>
          <w:divBdr>
            <w:top w:val="none" w:sz="0" w:space="0" w:color="auto"/>
            <w:left w:val="none" w:sz="0" w:space="0" w:color="auto"/>
            <w:bottom w:val="none" w:sz="0" w:space="0" w:color="auto"/>
            <w:right w:val="none" w:sz="0" w:space="0" w:color="auto"/>
          </w:divBdr>
        </w:div>
        <w:div w:id="2024699538">
          <w:marLeft w:val="0"/>
          <w:marRight w:val="0"/>
          <w:marTop w:val="0"/>
          <w:marBottom w:val="0"/>
          <w:divBdr>
            <w:top w:val="none" w:sz="0" w:space="0" w:color="auto"/>
            <w:left w:val="none" w:sz="0" w:space="0" w:color="auto"/>
            <w:bottom w:val="none" w:sz="0" w:space="0" w:color="auto"/>
            <w:right w:val="none" w:sz="0" w:space="0" w:color="auto"/>
          </w:divBdr>
        </w:div>
        <w:div w:id="2024699539">
          <w:marLeft w:val="0"/>
          <w:marRight w:val="0"/>
          <w:marTop w:val="0"/>
          <w:marBottom w:val="0"/>
          <w:divBdr>
            <w:top w:val="none" w:sz="0" w:space="0" w:color="auto"/>
            <w:left w:val="none" w:sz="0" w:space="0" w:color="auto"/>
            <w:bottom w:val="none" w:sz="0" w:space="0" w:color="auto"/>
            <w:right w:val="none" w:sz="0" w:space="0" w:color="auto"/>
          </w:divBdr>
        </w:div>
        <w:div w:id="2024699540">
          <w:marLeft w:val="0"/>
          <w:marRight w:val="0"/>
          <w:marTop w:val="0"/>
          <w:marBottom w:val="0"/>
          <w:divBdr>
            <w:top w:val="none" w:sz="0" w:space="0" w:color="auto"/>
            <w:left w:val="none" w:sz="0" w:space="0" w:color="auto"/>
            <w:bottom w:val="none" w:sz="0" w:space="0" w:color="auto"/>
            <w:right w:val="none" w:sz="0" w:space="0" w:color="auto"/>
          </w:divBdr>
        </w:div>
        <w:div w:id="2024699541">
          <w:marLeft w:val="0"/>
          <w:marRight w:val="0"/>
          <w:marTop w:val="0"/>
          <w:marBottom w:val="0"/>
          <w:divBdr>
            <w:top w:val="none" w:sz="0" w:space="0" w:color="auto"/>
            <w:left w:val="none" w:sz="0" w:space="0" w:color="auto"/>
            <w:bottom w:val="none" w:sz="0" w:space="0" w:color="auto"/>
            <w:right w:val="none" w:sz="0" w:space="0" w:color="auto"/>
          </w:divBdr>
        </w:div>
        <w:div w:id="2024699542">
          <w:marLeft w:val="0"/>
          <w:marRight w:val="0"/>
          <w:marTop w:val="0"/>
          <w:marBottom w:val="0"/>
          <w:divBdr>
            <w:top w:val="none" w:sz="0" w:space="0" w:color="auto"/>
            <w:left w:val="none" w:sz="0" w:space="0" w:color="auto"/>
            <w:bottom w:val="none" w:sz="0" w:space="0" w:color="auto"/>
            <w:right w:val="none" w:sz="0" w:space="0" w:color="auto"/>
          </w:divBdr>
        </w:div>
        <w:div w:id="2024699543">
          <w:marLeft w:val="0"/>
          <w:marRight w:val="0"/>
          <w:marTop w:val="0"/>
          <w:marBottom w:val="0"/>
          <w:divBdr>
            <w:top w:val="none" w:sz="0" w:space="0" w:color="auto"/>
            <w:left w:val="none" w:sz="0" w:space="0" w:color="auto"/>
            <w:bottom w:val="none" w:sz="0" w:space="0" w:color="auto"/>
            <w:right w:val="none" w:sz="0" w:space="0" w:color="auto"/>
          </w:divBdr>
        </w:div>
        <w:div w:id="2024699544">
          <w:marLeft w:val="0"/>
          <w:marRight w:val="0"/>
          <w:marTop w:val="0"/>
          <w:marBottom w:val="0"/>
          <w:divBdr>
            <w:top w:val="none" w:sz="0" w:space="0" w:color="auto"/>
            <w:left w:val="none" w:sz="0" w:space="0" w:color="auto"/>
            <w:bottom w:val="none" w:sz="0" w:space="0" w:color="auto"/>
            <w:right w:val="none" w:sz="0" w:space="0" w:color="auto"/>
          </w:divBdr>
        </w:div>
        <w:div w:id="2024699545">
          <w:marLeft w:val="0"/>
          <w:marRight w:val="0"/>
          <w:marTop w:val="0"/>
          <w:marBottom w:val="0"/>
          <w:divBdr>
            <w:top w:val="none" w:sz="0" w:space="0" w:color="auto"/>
            <w:left w:val="none" w:sz="0" w:space="0" w:color="auto"/>
            <w:bottom w:val="none" w:sz="0" w:space="0" w:color="auto"/>
            <w:right w:val="none" w:sz="0" w:space="0" w:color="auto"/>
          </w:divBdr>
        </w:div>
        <w:div w:id="2024699546">
          <w:marLeft w:val="0"/>
          <w:marRight w:val="0"/>
          <w:marTop w:val="0"/>
          <w:marBottom w:val="0"/>
          <w:divBdr>
            <w:top w:val="none" w:sz="0" w:space="0" w:color="auto"/>
            <w:left w:val="none" w:sz="0" w:space="0" w:color="auto"/>
            <w:bottom w:val="none" w:sz="0" w:space="0" w:color="auto"/>
            <w:right w:val="none" w:sz="0" w:space="0" w:color="auto"/>
          </w:divBdr>
        </w:div>
        <w:div w:id="2024699547">
          <w:marLeft w:val="0"/>
          <w:marRight w:val="0"/>
          <w:marTop w:val="0"/>
          <w:marBottom w:val="0"/>
          <w:divBdr>
            <w:top w:val="none" w:sz="0" w:space="0" w:color="auto"/>
            <w:left w:val="none" w:sz="0" w:space="0" w:color="auto"/>
            <w:bottom w:val="none" w:sz="0" w:space="0" w:color="auto"/>
            <w:right w:val="none" w:sz="0" w:space="0" w:color="auto"/>
          </w:divBdr>
        </w:div>
        <w:div w:id="2024699548">
          <w:marLeft w:val="0"/>
          <w:marRight w:val="0"/>
          <w:marTop w:val="0"/>
          <w:marBottom w:val="0"/>
          <w:divBdr>
            <w:top w:val="none" w:sz="0" w:space="0" w:color="auto"/>
            <w:left w:val="none" w:sz="0" w:space="0" w:color="auto"/>
            <w:bottom w:val="none" w:sz="0" w:space="0" w:color="auto"/>
            <w:right w:val="none" w:sz="0" w:space="0" w:color="auto"/>
          </w:divBdr>
        </w:div>
        <w:div w:id="2024699550">
          <w:marLeft w:val="0"/>
          <w:marRight w:val="0"/>
          <w:marTop w:val="0"/>
          <w:marBottom w:val="0"/>
          <w:divBdr>
            <w:top w:val="none" w:sz="0" w:space="0" w:color="auto"/>
            <w:left w:val="none" w:sz="0" w:space="0" w:color="auto"/>
            <w:bottom w:val="none" w:sz="0" w:space="0" w:color="auto"/>
            <w:right w:val="none" w:sz="0" w:space="0" w:color="auto"/>
          </w:divBdr>
        </w:div>
        <w:div w:id="2024699551">
          <w:marLeft w:val="0"/>
          <w:marRight w:val="0"/>
          <w:marTop w:val="0"/>
          <w:marBottom w:val="0"/>
          <w:divBdr>
            <w:top w:val="none" w:sz="0" w:space="0" w:color="auto"/>
            <w:left w:val="none" w:sz="0" w:space="0" w:color="auto"/>
            <w:bottom w:val="none" w:sz="0" w:space="0" w:color="auto"/>
            <w:right w:val="none" w:sz="0" w:space="0" w:color="auto"/>
          </w:divBdr>
        </w:div>
        <w:div w:id="2024699552">
          <w:marLeft w:val="0"/>
          <w:marRight w:val="0"/>
          <w:marTop w:val="0"/>
          <w:marBottom w:val="0"/>
          <w:divBdr>
            <w:top w:val="none" w:sz="0" w:space="0" w:color="auto"/>
            <w:left w:val="none" w:sz="0" w:space="0" w:color="auto"/>
            <w:bottom w:val="none" w:sz="0" w:space="0" w:color="auto"/>
            <w:right w:val="none" w:sz="0" w:space="0" w:color="auto"/>
          </w:divBdr>
        </w:div>
        <w:div w:id="2024699554">
          <w:marLeft w:val="0"/>
          <w:marRight w:val="0"/>
          <w:marTop w:val="0"/>
          <w:marBottom w:val="0"/>
          <w:divBdr>
            <w:top w:val="none" w:sz="0" w:space="0" w:color="auto"/>
            <w:left w:val="none" w:sz="0" w:space="0" w:color="auto"/>
            <w:bottom w:val="none" w:sz="0" w:space="0" w:color="auto"/>
            <w:right w:val="none" w:sz="0" w:space="0" w:color="auto"/>
          </w:divBdr>
        </w:div>
        <w:div w:id="2024699555">
          <w:marLeft w:val="0"/>
          <w:marRight w:val="0"/>
          <w:marTop w:val="0"/>
          <w:marBottom w:val="0"/>
          <w:divBdr>
            <w:top w:val="none" w:sz="0" w:space="0" w:color="auto"/>
            <w:left w:val="none" w:sz="0" w:space="0" w:color="auto"/>
            <w:bottom w:val="none" w:sz="0" w:space="0" w:color="auto"/>
            <w:right w:val="none" w:sz="0" w:space="0" w:color="auto"/>
          </w:divBdr>
        </w:div>
        <w:div w:id="2024699556">
          <w:marLeft w:val="0"/>
          <w:marRight w:val="0"/>
          <w:marTop w:val="0"/>
          <w:marBottom w:val="0"/>
          <w:divBdr>
            <w:top w:val="none" w:sz="0" w:space="0" w:color="auto"/>
            <w:left w:val="none" w:sz="0" w:space="0" w:color="auto"/>
            <w:bottom w:val="none" w:sz="0" w:space="0" w:color="auto"/>
            <w:right w:val="none" w:sz="0" w:space="0" w:color="auto"/>
          </w:divBdr>
        </w:div>
        <w:div w:id="2024699557">
          <w:marLeft w:val="0"/>
          <w:marRight w:val="0"/>
          <w:marTop w:val="0"/>
          <w:marBottom w:val="0"/>
          <w:divBdr>
            <w:top w:val="none" w:sz="0" w:space="0" w:color="auto"/>
            <w:left w:val="none" w:sz="0" w:space="0" w:color="auto"/>
            <w:bottom w:val="none" w:sz="0" w:space="0" w:color="auto"/>
            <w:right w:val="none" w:sz="0" w:space="0" w:color="auto"/>
          </w:divBdr>
        </w:div>
        <w:div w:id="2024699558">
          <w:marLeft w:val="0"/>
          <w:marRight w:val="0"/>
          <w:marTop w:val="0"/>
          <w:marBottom w:val="0"/>
          <w:divBdr>
            <w:top w:val="none" w:sz="0" w:space="0" w:color="auto"/>
            <w:left w:val="none" w:sz="0" w:space="0" w:color="auto"/>
            <w:bottom w:val="none" w:sz="0" w:space="0" w:color="auto"/>
            <w:right w:val="none" w:sz="0" w:space="0" w:color="auto"/>
          </w:divBdr>
        </w:div>
        <w:div w:id="2024699559">
          <w:marLeft w:val="0"/>
          <w:marRight w:val="0"/>
          <w:marTop w:val="0"/>
          <w:marBottom w:val="0"/>
          <w:divBdr>
            <w:top w:val="none" w:sz="0" w:space="0" w:color="auto"/>
            <w:left w:val="none" w:sz="0" w:space="0" w:color="auto"/>
            <w:bottom w:val="none" w:sz="0" w:space="0" w:color="auto"/>
            <w:right w:val="none" w:sz="0" w:space="0" w:color="auto"/>
          </w:divBdr>
        </w:div>
        <w:div w:id="2024699560">
          <w:marLeft w:val="0"/>
          <w:marRight w:val="0"/>
          <w:marTop w:val="0"/>
          <w:marBottom w:val="0"/>
          <w:divBdr>
            <w:top w:val="none" w:sz="0" w:space="0" w:color="auto"/>
            <w:left w:val="none" w:sz="0" w:space="0" w:color="auto"/>
            <w:bottom w:val="none" w:sz="0" w:space="0" w:color="auto"/>
            <w:right w:val="none" w:sz="0" w:space="0" w:color="auto"/>
          </w:divBdr>
        </w:div>
        <w:div w:id="2024699561">
          <w:marLeft w:val="0"/>
          <w:marRight w:val="0"/>
          <w:marTop w:val="0"/>
          <w:marBottom w:val="0"/>
          <w:divBdr>
            <w:top w:val="none" w:sz="0" w:space="0" w:color="auto"/>
            <w:left w:val="none" w:sz="0" w:space="0" w:color="auto"/>
            <w:bottom w:val="none" w:sz="0" w:space="0" w:color="auto"/>
            <w:right w:val="none" w:sz="0" w:space="0" w:color="auto"/>
          </w:divBdr>
        </w:div>
        <w:div w:id="2024699562">
          <w:marLeft w:val="0"/>
          <w:marRight w:val="0"/>
          <w:marTop w:val="0"/>
          <w:marBottom w:val="0"/>
          <w:divBdr>
            <w:top w:val="none" w:sz="0" w:space="0" w:color="auto"/>
            <w:left w:val="none" w:sz="0" w:space="0" w:color="auto"/>
            <w:bottom w:val="none" w:sz="0" w:space="0" w:color="auto"/>
            <w:right w:val="none" w:sz="0" w:space="0" w:color="auto"/>
          </w:divBdr>
        </w:div>
        <w:div w:id="2024699563">
          <w:marLeft w:val="0"/>
          <w:marRight w:val="0"/>
          <w:marTop w:val="0"/>
          <w:marBottom w:val="0"/>
          <w:divBdr>
            <w:top w:val="none" w:sz="0" w:space="0" w:color="auto"/>
            <w:left w:val="none" w:sz="0" w:space="0" w:color="auto"/>
            <w:bottom w:val="none" w:sz="0" w:space="0" w:color="auto"/>
            <w:right w:val="none" w:sz="0" w:space="0" w:color="auto"/>
          </w:divBdr>
        </w:div>
        <w:div w:id="2024699564">
          <w:marLeft w:val="0"/>
          <w:marRight w:val="0"/>
          <w:marTop w:val="0"/>
          <w:marBottom w:val="0"/>
          <w:divBdr>
            <w:top w:val="none" w:sz="0" w:space="0" w:color="auto"/>
            <w:left w:val="none" w:sz="0" w:space="0" w:color="auto"/>
            <w:bottom w:val="none" w:sz="0" w:space="0" w:color="auto"/>
            <w:right w:val="none" w:sz="0" w:space="0" w:color="auto"/>
          </w:divBdr>
        </w:div>
        <w:div w:id="2024699565">
          <w:marLeft w:val="0"/>
          <w:marRight w:val="0"/>
          <w:marTop w:val="0"/>
          <w:marBottom w:val="0"/>
          <w:divBdr>
            <w:top w:val="none" w:sz="0" w:space="0" w:color="auto"/>
            <w:left w:val="none" w:sz="0" w:space="0" w:color="auto"/>
            <w:bottom w:val="none" w:sz="0" w:space="0" w:color="auto"/>
            <w:right w:val="none" w:sz="0" w:space="0" w:color="auto"/>
          </w:divBdr>
        </w:div>
        <w:div w:id="2024699566">
          <w:marLeft w:val="0"/>
          <w:marRight w:val="0"/>
          <w:marTop w:val="0"/>
          <w:marBottom w:val="0"/>
          <w:divBdr>
            <w:top w:val="none" w:sz="0" w:space="0" w:color="auto"/>
            <w:left w:val="none" w:sz="0" w:space="0" w:color="auto"/>
            <w:bottom w:val="none" w:sz="0" w:space="0" w:color="auto"/>
            <w:right w:val="none" w:sz="0" w:space="0" w:color="auto"/>
          </w:divBdr>
        </w:div>
        <w:div w:id="2024699567">
          <w:marLeft w:val="0"/>
          <w:marRight w:val="0"/>
          <w:marTop w:val="0"/>
          <w:marBottom w:val="0"/>
          <w:divBdr>
            <w:top w:val="none" w:sz="0" w:space="0" w:color="auto"/>
            <w:left w:val="none" w:sz="0" w:space="0" w:color="auto"/>
            <w:bottom w:val="none" w:sz="0" w:space="0" w:color="auto"/>
            <w:right w:val="none" w:sz="0" w:space="0" w:color="auto"/>
          </w:divBdr>
        </w:div>
        <w:div w:id="2024699568">
          <w:marLeft w:val="0"/>
          <w:marRight w:val="0"/>
          <w:marTop w:val="0"/>
          <w:marBottom w:val="0"/>
          <w:divBdr>
            <w:top w:val="none" w:sz="0" w:space="0" w:color="auto"/>
            <w:left w:val="none" w:sz="0" w:space="0" w:color="auto"/>
            <w:bottom w:val="none" w:sz="0" w:space="0" w:color="auto"/>
            <w:right w:val="none" w:sz="0" w:space="0" w:color="auto"/>
          </w:divBdr>
        </w:div>
        <w:div w:id="2024699569">
          <w:marLeft w:val="0"/>
          <w:marRight w:val="0"/>
          <w:marTop w:val="0"/>
          <w:marBottom w:val="0"/>
          <w:divBdr>
            <w:top w:val="none" w:sz="0" w:space="0" w:color="auto"/>
            <w:left w:val="none" w:sz="0" w:space="0" w:color="auto"/>
            <w:bottom w:val="none" w:sz="0" w:space="0" w:color="auto"/>
            <w:right w:val="none" w:sz="0" w:space="0" w:color="auto"/>
          </w:divBdr>
        </w:div>
        <w:div w:id="2024699570">
          <w:marLeft w:val="0"/>
          <w:marRight w:val="0"/>
          <w:marTop w:val="0"/>
          <w:marBottom w:val="0"/>
          <w:divBdr>
            <w:top w:val="none" w:sz="0" w:space="0" w:color="auto"/>
            <w:left w:val="none" w:sz="0" w:space="0" w:color="auto"/>
            <w:bottom w:val="none" w:sz="0" w:space="0" w:color="auto"/>
            <w:right w:val="none" w:sz="0" w:space="0" w:color="auto"/>
          </w:divBdr>
        </w:div>
        <w:div w:id="2024699571">
          <w:marLeft w:val="0"/>
          <w:marRight w:val="0"/>
          <w:marTop w:val="0"/>
          <w:marBottom w:val="0"/>
          <w:divBdr>
            <w:top w:val="none" w:sz="0" w:space="0" w:color="auto"/>
            <w:left w:val="none" w:sz="0" w:space="0" w:color="auto"/>
            <w:bottom w:val="none" w:sz="0" w:space="0" w:color="auto"/>
            <w:right w:val="none" w:sz="0" w:space="0" w:color="auto"/>
          </w:divBdr>
        </w:div>
        <w:div w:id="2024699572">
          <w:marLeft w:val="0"/>
          <w:marRight w:val="0"/>
          <w:marTop w:val="0"/>
          <w:marBottom w:val="0"/>
          <w:divBdr>
            <w:top w:val="none" w:sz="0" w:space="0" w:color="auto"/>
            <w:left w:val="none" w:sz="0" w:space="0" w:color="auto"/>
            <w:bottom w:val="none" w:sz="0" w:space="0" w:color="auto"/>
            <w:right w:val="none" w:sz="0" w:space="0" w:color="auto"/>
          </w:divBdr>
        </w:div>
        <w:div w:id="2024699573">
          <w:marLeft w:val="0"/>
          <w:marRight w:val="0"/>
          <w:marTop w:val="0"/>
          <w:marBottom w:val="0"/>
          <w:divBdr>
            <w:top w:val="none" w:sz="0" w:space="0" w:color="auto"/>
            <w:left w:val="none" w:sz="0" w:space="0" w:color="auto"/>
            <w:bottom w:val="none" w:sz="0" w:space="0" w:color="auto"/>
            <w:right w:val="none" w:sz="0" w:space="0" w:color="auto"/>
          </w:divBdr>
        </w:div>
        <w:div w:id="2024699574">
          <w:marLeft w:val="0"/>
          <w:marRight w:val="0"/>
          <w:marTop w:val="0"/>
          <w:marBottom w:val="0"/>
          <w:divBdr>
            <w:top w:val="none" w:sz="0" w:space="0" w:color="auto"/>
            <w:left w:val="none" w:sz="0" w:space="0" w:color="auto"/>
            <w:bottom w:val="none" w:sz="0" w:space="0" w:color="auto"/>
            <w:right w:val="none" w:sz="0" w:space="0" w:color="auto"/>
          </w:divBdr>
        </w:div>
        <w:div w:id="2024699575">
          <w:marLeft w:val="0"/>
          <w:marRight w:val="0"/>
          <w:marTop w:val="0"/>
          <w:marBottom w:val="0"/>
          <w:divBdr>
            <w:top w:val="none" w:sz="0" w:space="0" w:color="auto"/>
            <w:left w:val="none" w:sz="0" w:space="0" w:color="auto"/>
            <w:bottom w:val="none" w:sz="0" w:space="0" w:color="auto"/>
            <w:right w:val="none" w:sz="0" w:space="0" w:color="auto"/>
          </w:divBdr>
        </w:div>
        <w:div w:id="2024699576">
          <w:marLeft w:val="0"/>
          <w:marRight w:val="0"/>
          <w:marTop w:val="0"/>
          <w:marBottom w:val="0"/>
          <w:divBdr>
            <w:top w:val="none" w:sz="0" w:space="0" w:color="auto"/>
            <w:left w:val="none" w:sz="0" w:space="0" w:color="auto"/>
            <w:bottom w:val="none" w:sz="0" w:space="0" w:color="auto"/>
            <w:right w:val="none" w:sz="0" w:space="0" w:color="auto"/>
          </w:divBdr>
        </w:div>
        <w:div w:id="2024699577">
          <w:marLeft w:val="0"/>
          <w:marRight w:val="0"/>
          <w:marTop w:val="0"/>
          <w:marBottom w:val="0"/>
          <w:divBdr>
            <w:top w:val="none" w:sz="0" w:space="0" w:color="auto"/>
            <w:left w:val="none" w:sz="0" w:space="0" w:color="auto"/>
            <w:bottom w:val="none" w:sz="0" w:space="0" w:color="auto"/>
            <w:right w:val="none" w:sz="0" w:space="0" w:color="auto"/>
          </w:divBdr>
        </w:div>
        <w:div w:id="2024699578">
          <w:marLeft w:val="0"/>
          <w:marRight w:val="0"/>
          <w:marTop w:val="0"/>
          <w:marBottom w:val="0"/>
          <w:divBdr>
            <w:top w:val="none" w:sz="0" w:space="0" w:color="auto"/>
            <w:left w:val="none" w:sz="0" w:space="0" w:color="auto"/>
            <w:bottom w:val="none" w:sz="0" w:space="0" w:color="auto"/>
            <w:right w:val="none" w:sz="0" w:space="0" w:color="auto"/>
          </w:divBdr>
        </w:div>
        <w:div w:id="2024699579">
          <w:marLeft w:val="0"/>
          <w:marRight w:val="0"/>
          <w:marTop w:val="0"/>
          <w:marBottom w:val="0"/>
          <w:divBdr>
            <w:top w:val="none" w:sz="0" w:space="0" w:color="auto"/>
            <w:left w:val="none" w:sz="0" w:space="0" w:color="auto"/>
            <w:bottom w:val="none" w:sz="0" w:space="0" w:color="auto"/>
            <w:right w:val="none" w:sz="0" w:space="0" w:color="auto"/>
          </w:divBdr>
        </w:div>
        <w:div w:id="2024699580">
          <w:marLeft w:val="0"/>
          <w:marRight w:val="0"/>
          <w:marTop w:val="0"/>
          <w:marBottom w:val="0"/>
          <w:divBdr>
            <w:top w:val="none" w:sz="0" w:space="0" w:color="auto"/>
            <w:left w:val="none" w:sz="0" w:space="0" w:color="auto"/>
            <w:bottom w:val="none" w:sz="0" w:space="0" w:color="auto"/>
            <w:right w:val="none" w:sz="0" w:space="0" w:color="auto"/>
          </w:divBdr>
        </w:div>
        <w:div w:id="2024699581">
          <w:marLeft w:val="0"/>
          <w:marRight w:val="0"/>
          <w:marTop w:val="0"/>
          <w:marBottom w:val="0"/>
          <w:divBdr>
            <w:top w:val="none" w:sz="0" w:space="0" w:color="auto"/>
            <w:left w:val="none" w:sz="0" w:space="0" w:color="auto"/>
            <w:bottom w:val="none" w:sz="0" w:space="0" w:color="auto"/>
            <w:right w:val="none" w:sz="0" w:space="0" w:color="auto"/>
          </w:divBdr>
        </w:div>
        <w:div w:id="2024699582">
          <w:marLeft w:val="0"/>
          <w:marRight w:val="0"/>
          <w:marTop w:val="0"/>
          <w:marBottom w:val="0"/>
          <w:divBdr>
            <w:top w:val="none" w:sz="0" w:space="0" w:color="auto"/>
            <w:left w:val="none" w:sz="0" w:space="0" w:color="auto"/>
            <w:bottom w:val="none" w:sz="0" w:space="0" w:color="auto"/>
            <w:right w:val="none" w:sz="0" w:space="0" w:color="auto"/>
          </w:divBdr>
        </w:div>
        <w:div w:id="2024699583">
          <w:marLeft w:val="0"/>
          <w:marRight w:val="0"/>
          <w:marTop w:val="0"/>
          <w:marBottom w:val="0"/>
          <w:divBdr>
            <w:top w:val="none" w:sz="0" w:space="0" w:color="auto"/>
            <w:left w:val="none" w:sz="0" w:space="0" w:color="auto"/>
            <w:bottom w:val="none" w:sz="0" w:space="0" w:color="auto"/>
            <w:right w:val="none" w:sz="0" w:space="0" w:color="auto"/>
          </w:divBdr>
        </w:div>
        <w:div w:id="2024699584">
          <w:marLeft w:val="0"/>
          <w:marRight w:val="0"/>
          <w:marTop w:val="0"/>
          <w:marBottom w:val="0"/>
          <w:divBdr>
            <w:top w:val="none" w:sz="0" w:space="0" w:color="auto"/>
            <w:left w:val="none" w:sz="0" w:space="0" w:color="auto"/>
            <w:bottom w:val="none" w:sz="0" w:space="0" w:color="auto"/>
            <w:right w:val="none" w:sz="0" w:space="0" w:color="auto"/>
          </w:divBdr>
        </w:div>
        <w:div w:id="2024699585">
          <w:marLeft w:val="0"/>
          <w:marRight w:val="0"/>
          <w:marTop w:val="0"/>
          <w:marBottom w:val="0"/>
          <w:divBdr>
            <w:top w:val="none" w:sz="0" w:space="0" w:color="auto"/>
            <w:left w:val="none" w:sz="0" w:space="0" w:color="auto"/>
            <w:bottom w:val="none" w:sz="0" w:space="0" w:color="auto"/>
            <w:right w:val="none" w:sz="0" w:space="0" w:color="auto"/>
          </w:divBdr>
        </w:div>
        <w:div w:id="2024699586">
          <w:marLeft w:val="0"/>
          <w:marRight w:val="0"/>
          <w:marTop w:val="0"/>
          <w:marBottom w:val="0"/>
          <w:divBdr>
            <w:top w:val="none" w:sz="0" w:space="0" w:color="auto"/>
            <w:left w:val="none" w:sz="0" w:space="0" w:color="auto"/>
            <w:bottom w:val="none" w:sz="0" w:space="0" w:color="auto"/>
            <w:right w:val="none" w:sz="0" w:space="0" w:color="auto"/>
          </w:divBdr>
        </w:div>
        <w:div w:id="2024699587">
          <w:marLeft w:val="0"/>
          <w:marRight w:val="0"/>
          <w:marTop w:val="0"/>
          <w:marBottom w:val="0"/>
          <w:divBdr>
            <w:top w:val="none" w:sz="0" w:space="0" w:color="auto"/>
            <w:left w:val="none" w:sz="0" w:space="0" w:color="auto"/>
            <w:bottom w:val="none" w:sz="0" w:space="0" w:color="auto"/>
            <w:right w:val="none" w:sz="0" w:space="0" w:color="auto"/>
          </w:divBdr>
        </w:div>
        <w:div w:id="2024699588">
          <w:marLeft w:val="0"/>
          <w:marRight w:val="0"/>
          <w:marTop w:val="0"/>
          <w:marBottom w:val="0"/>
          <w:divBdr>
            <w:top w:val="none" w:sz="0" w:space="0" w:color="auto"/>
            <w:left w:val="none" w:sz="0" w:space="0" w:color="auto"/>
            <w:bottom w:val="none" w:sz="0" w:space="0" w:color="auto"/>
            <w:right w:val="none" w:sz="0" w:space="0" w:color="auto"/>
          </w:divBdr>
        </w:div>
        <w:div w:id="2024699589">
          <w:marLeft w:val="0"/>
          <w:marRight w:val="0"/>
          <w:marTop w:val="0"/>
          <w:marBottom w:val="0"/>
          <w:divBdr>
            <w:top w:val="none" w:sz="0" w:space="0" w:color="auto"/>
            <w:left w:val="none" w:sz="0" w:space="0" w:color="auto"/>
            <w:bottom w:val="none" w:sz="0" w:space="0" w:color="auto"/>
            <w:right w:val="none" w:sz="0" w:space="0" w:color="auto"/>
          </w:divBdr>
        </w:div>
        <w:div w:id="2024699590">
          <w:marLeft w:val="0"/>
          <w:marRight w:val="0"/>
          <w:marTop w:val="0"/>
          <w:marBottom w:val="0"/>
          <w:divBdr>
            <w:top w:val="none" w:sz="0" w:space="0" w:color="auto"/>
            <w:left w:val="none" w:sz="0" w:space="0" w:color="auto"/>
            <w:bottom w:val="none" w:sz="0" w:space="0" w:color="auto"/>
            <w:right w:val="none" w:sz="0" w:space="0" w:color="auto"/>
          </w:divBdr>
        </w:div>
        <w:div w:id="2024699591">
          <w:marLeft w:val="0"/>
          <w:marRight w:val="0"/>
          <w:marTop w:val="0"/>
          <w:marBottom w:val="0"/>
          <w:divBdr>
            <w:top w:val="none" w:sz="0" w:space="0" w:color="auto"/>
            <w:left w:val="none" w:sz="0" w:space="0" w:color="auto"/>
            <w:bottom w:val="none" w:sz="0" w:space="0" w:color="auto"/>
            <w:right w:val="none" w:sz="0" w:space="0" w:color="auto"/>
          </w:divBdr>
        </w:div>
        <w:div w:id="2024699592">
          <w:marLeft w:val="0"/>
          <w:marRight w:val="0"/>
          <w:marTop w:val="0"/>
          <w:marBottom w:val="0"/>
          <w:divBdr>
            <w:top w:val="none" w:sz="0" w:space="0" w:color="auto"/>
            <w:left w:val="none" w:sz="0" w:space="0" w:color="auto"/>
            <w:bottom w:val="none" w:sz="0" w:space="0" w:color="auto"/>
            <w:right w:val="none" w:sz="0" w:space="0" w:color="auto"/>
          </w:divBdr>
        </w:div>
        <w:div w:id="2024699593">
          <w:marLeft w:val="0"/>
          <w:marRight w:val="0"/>
          <w:marTop w:val="0"/>
          <w:marBottom w:val="0"/>
          <w:divBdr>
            <w:top w:val="none" w:sz="0" w:space="0" w:color="auto"/>
            <w:left w:val="none" w:sz="0" w:space="0" w:color="auto"/>
            <w:bottom w:val="none" w:sz="0" w:space="0" w:color="auto"/>
            <w:right w:val="none" w:sz="0" w:space="0" w:color="auto"/>
          </w:divBdr>
        </w:div>
        <w:div w:id="2024699594">
          <w:marLeft w:val="0"/>
          <w:marRight w:val="0"/>
          <w:marTop w:val="0"/>
          <w:marBottom w:val="0"/>
          <w:divBdr>
            <w:top w:val="none" w:sz="0" w:space="0" w:color="auto"/>
            <w:left w:val="none" w:sz="0" w:space="0" w:color="auto"/>
            <w:bottom w:val="none" w:sz="0" w:space="0" w:color="auto"/>
            <w:right w:val="none" w:sz="0" w:space="0" w:color="auto"/>
          </w:divBdr>
        </w:div>
        <w:div w:id="2024699595">
          <w:marLeft w:val="0"/>
          <w:marRight w:val="0"/>
          <w:marTop w:val="0"/>
          <w:marBottom w:val="0"/>
          <w:divBdr>
            <w:top w:val="none" w:sz="0" w:space="0" w:color="auto"/>
            <w:left w:val="none" w:sz="0" w:space="0" w:color="auto"/>
            <w:bottom w:val="none" w:sz="0" w:space="0" w:color="auto"/>
            <w:right w:val="none" w:sz="0" w:space="0" w:color="auto"/>
          </w:divBdr>
        </w:div>
        <w:div w:id="2024699596">
          <w:marLeft w:val="0"/>
          <w:marRight w:val="0"/>
          <w:marTop w:val="0"/>
          <w:marBottom w:val="0"/>
          <w:divBdr>
            <w:top w:val="none" w:sz="0" w:space="0" w:color="auto"/>
            <w:left w:val="none" w:sz="0" w:space="0" w:color="auto"/>
            <w:bottom w:val="none" w:sz="0" w:space="0" w:color="auto"/>
            <w:right w:val="none" w:sz="0" w:space="0" w:color="auto"/>
          </w:divBdr>
        </w:div>
        <w:div w:id="2024699597">
          <w:marLeft w:val="0"/>
          <w:marRight w:val="0"/>
          <w:marTop w:val="0"/>
          <w:marBottom w:val="0"/>
          <w:divBdr>
            <w:top w:val="none" w:sz="0" w:space="0" w:color="auto"/>
            <w:left w:val="none" w:sz="0" w:space="0" w:color="auto"/>
            <w:bottom w:val="none" w:sz="0" w:space="0" w:color="auto"/>
            <w:right w:val="none" w:sz="0" w:space="0" w:color="auto"/>
          </w:divBdr>
        </w:div>
        <w:div w:id="2024699598">
          <w:marLeft w:val="0"/>
          <w:marRight w:val="0"/>
          <w:marTop w:val="0"/>
          <w:marBottom w:val="0"/>
          <w:divBdr>
            <w:top w:val="none" w:sz="0" w:space="0" w:color="auto"/>
            <w:left w:val="none" w:sz="0" w:space="0" w:color="auto"/>
            <w:bottom w:val="none" w:sz="0" w:space="0" w:color="auto"/>
            <w:right w:val="none" w:sz="0" w:space="0" w:color="auto"/>
          </w:divBdr>
        </w:div>
        <w:div w:id="2024699599">
          <w:marLeft w:val="0"/>
          <w:marRight w:val="0"/>
          <w:marTop w:val="0"/>
          <w:marBottom w:val="0"/>
          <w:divBdr>
            <w:top w:val="none" w:sz="0" w:space="0" w:color="auto"/>
            <w:left w:val="none" w:sz="0" w:space="0" w:color="auto"/>
            <w:bottom w:val="none" w:sz="0" w:space="0" w:color="auto"/>
            <w:right w:val="none" w:sz="0" w:space="0" w:color="auto"/>
          </w:divBdr>
        </w:div>
        <w:div w:id="2024699600">
          <w:marLeft w:val="0"/>
          <w:marRight w:val="0"/>
          <w:marTop w:val="0"/>
          <w:marBottom w:val="0"/>
          <w:divBdr>
            <w:top w:val="none" w:sz="0" w:space="0" w:color="auto"/>
            <w:left w:val="none" w:sz="0" w:space="0" w:color="auto"/>
            <w:bottom w:val="none" w:sz="0" w:space="0" w:color="auto"/>
            <w:right w:val="none" w:sz="0" w:space="0" w:color="auto"/>
          </w:divBdr>
        </w:div>
        <w:div w:id="2024699601">
          <w:marLeft w:val="0"/>
          <w:marRight w:val="0"/>
          <w:marTop w:val="0"/>
          <w:marBottom w:val="0"/>
          <w:divBdr>
            <w:top w:val="none" w:sz="0" w:space="0" w:color="auto"/>
            <w:left w:val="none" w:sz="0" w:space="0" w:color="auto"/>
            <w:bottom w:val="none" w:sz="0" w:space="0" w:color="auto"/>
            <w:right w:val="none" w:sz="0" w:space="0" w:color="auto"/>
          </w:divBdr>
        </w:div>
        <w:div w:id="2024699602">
          <w:marLeft w:val="0"/>
          <w:marRight w:val="0"/>
          <w:marTop w:val="0"/>
          <w:marBottom w:val="0"/>
          <w:divBdr>
            <w:top w:val="none" w:sz="0" w:space="0" w:color="auto"/>
            <w:left w:val="none" w:sz="0" w:space="0" w:color="auto"/>
            <w:bottom w:val="none" w:sz="0" w:space="0" w:color="auto"/>
            <w:right w:val="none" w:sz="0" w:space="0" w:color="auto"/>
          </w:divBdr>
        </w:div>
        <w:div w:id="2024699603">
          <w:marLeft w:val="0"/>
          <w:marRight w:val="0"/>
          <w:marTop w:val="0"/>
          <w:marBottom w:val="0"/>
          <w:divBdr>
            <w:top w:val="none" w:sz="0" w:space="0" w:color="auto"/>
            <w:left w:val="none" w:sz="0" w:space="0" w:color="auto"/>
            <w:bottom w:val="none" w:sz="0" w:space="0" w:color="auto"/>
            <w:right w:val="none" w:sz="0" w:space="0" w:color="auto"/>
          </w:divBdr>
        </w:div>
        <w:div w:id="2024699604">
          <w:marLeft w:val="0"/>
          <w:marRight w:val="0"/>
          <w:marTop w:val="0"/>
          <w:marBottom w:val="0"/>
          <w:divBdr>
            <w:top w:val="none" w:sz="0" w:space="0" w:color="auto"/>
            <w:left w:val="none" w:sz="0" w:space="0" w:color="auto"/>
            <w:bottom w:val="none" w:sz="0" w:space="0" w:color="auto"/>
            <w:right w:val="none" w:sz="0" w:space="0" w:color="auto"/>
          </w:divBdr>
        </w:div>
        <w:div w:id="2024699605">
          <w:marLeft w:val="0"/>
          <w:marRight w:val="0"/>
          <w:marTop w:val="0"/>
          <w:marBottom w:val="0"/>
          <w:divBdr>
            <w:top w:val="none" w:sz="0" w:space="0" w:color="auto"/>
            <w:left w:val="none" w:sz="0" w:space="0" w:color="auto"/>
            <w:bottom w:val="none" w:sz="0" w:space="0" w:color="auto"/>
            <w:right w:val="none" w:sz="0" w:space="0" w:color="auto"/>
          </w:divBdr>
        </w:div>
        <w:div w:id="2024699606">
          <w:marLeft w:val="0"/>
          <w:marRight w:val="0"/>
          <w:marTop w:val="0"/>
          <w:marBottom w:val="0"/>
          <w:divBdr>
            <w:top w:val="none" w:sz="0" w:space="0" w:color="auto"/>
            <w:left w:val="none" w:sz="0" w:space="0" w:color="auto"/>
            <w:bottom w:val="none" w:sz="0" w:space="0" w:color="auto"/>
            <w:right w:val="none" w:sz="0" w:space="0" w:color="auto"/>
          </w:divBdr>
        </w:div>
        <w:div w:id="2024699608">
          <w:marLeft w:val="0"/>
          <w:marRight w:val="0"/>
          <w:marTop w:val="0"/>
          <w:marBottom w:val="0"/>
          <w:divBdr>
            <w:top w:val="none" w:sz="0" w:space="0" w:color="auto"/>
            <w:left w:val="none" w:sz="0" w:space="0" w:color="auto"/>
            <w:bottom w:val="none" w:sz="0" w:space="0" w:color="auto"/>
            <w:right w:val="none" w:sz="0" w:space="0" w:color="auto"/>
          </w:divBdr>
        </w:div>
        <w:div w:id="2024699609">
          <w:marLeft w:val="0"/>
          <w:marRight w:val="0"/>
          <w:marTop w:val="0"/>
          <w:marBottom w:val="0"/>
          <w:divBdr>
            <w:top w:val="none" w:sz="0" w:space="0" w:color="auto"/>
            <w:left w:val="none" w:sz="0" w:space="0" w:color="auto"/>
            <w:bottom w:val="none" w:sz="0" w:space="0" w:color="auto"/>
            <w:right w:val="none" w:sz="0" w:space="0" w:color="auto"/>
          </w:divBdr>
        </w:div>
        <w:div w:id="2024699610">
          <w:marLeft w:val="0"/>
          <w:marRight w:val="0"/>
          <w:marTop w:val="0"/>
          <w:marBottom w:val="0"/>
          <w:divBdr>
            <w:top w:val="none" w:sz="0" w:space="0" w:color="auto"/>
            <w:left w:val="none" w:sz="0" w:space="0" w:color="auto"/>
            <w:bottom w:val="none" w:sz="0" w:space="0" w:color="auto"/>
            <w:right w:val="none" w:sz="0" w:space="0" w:color="auto"/>
          </w:divBdr>
        </w:div>
        <w:div w:id="2024699611">
          <w:marLeft w:val="0"/>
          <w:marRight w:val="0"/>
          <w:marTop w:val="0"/>
          <w:marBottom w:val="0"/>
          <w:divBdr>
            <w:top w:val="none" w:sz="0" w:space="0" w:color="auto"/>
            <w:left w:val="none" w:sz="0" w:space="0" w:color="auto"/>
            <w:bottom w:val="none" w:sz="0" w:space="0" w:color="auto"/>
            <w:right w:val="none" w:sz="0" w:space="0" w:color="auto"/>
          </w:divBdr>
        </w:div>
        <w:div w:id="2024699612">
          <w:marLeft w:val="0"/>
          <w:marRight w:val="0"/>
          <w:marTop w:val="0"/>
          <w:marBottom w:val="0"/>
          <w:divBdr>
            <w:top w:val="none" w:sz="0" w:space="0" w:color="auto"/>
            <w:left w:val="none" w:sz="0" w:space="0" w:color="auto"/>
            <w:bottom w:val="none" w:sz="0" w:space="0" w:color="auto"/>
            <w:right w:val="none" w:sz="0" w:space="0" w:color="auto"/>
          </w:divBdr>
        </w:div>
        <w:div w:id="2024699613">
          <w:marLeft w:val="0"/>
          <w:marRight w:val="0"/>
          <w:marTop w:val="0"/>
          <w:marBottom w:val="0"/>
          <w:divBdr>
            <w:top w:val="none" w:sz="0" w:space="0" w:color="auto"/>
            <w:left w:val="none" w:sz="0" w:space="0" w:color="auto"/>
            <w:bottom w:val="none" w:sz="0" w:space="0" w:color="auto"/>
            <w:right w:val="none" w:sz="0" w:space="0" w:color="auto"/>
          </w:divBdr>
        </w:div>
        <w:div w:id="2024699614">
          <w:marLeft w:val="0"/>
          <w:marRight w:val="0"/>
          <w:marTop w:val="0"/>
          <w:marBottom w:val="0"/>
          <w:divBdr>
            <w:top w:val="none" w:sz="0" w:space="0" w:color="auto"/>
            <w:left w:val="none" w:sz="0" w:space="0" w:color="auto"/>
            <w:bottom w:val="none" w:sz="0" w:space="0" w:color="auto"/>
            <w:right w:val="none" w:sz="0" w:space="0" w:color="auto"/>
          </w:divBdr>
        </w:div>
        <w:div w:id="2024699615">
          <w:marLeft w:val="0"/>
          <w:marRight w:val="0"/>
          <w:marTop w:val="0"/>
          <w:marBottom w:val="0"/>
          <w:divBdr>
            <w:top w:val="none" w:sz="0" w:space="0" w:color="auto"/>
            <w:left w:val="none" w:sz="0" w:space="0" w:color="auto"/>
            <w:bottom w:val="none" w:sz="0" w:space="0" w:color="auto"/>
            <w:right w:val="none" w:sz="0" w:space="0" w:color="auto"/>
          </w:divBdr>
        </w:div>
        <w:div w:id="2024699616">
          <w:marLeft w:val="0"/>
          <w:marRight w:val="0"/>
          <w:marTop w:val="0"/>
          <w:marBottom w:val="0"/>
          <w:divBdr>
            <w:top w:val="none" w:sz="0" w:space="0" w:color="auto"/>
            <w:left w:val="none" w:sz="0" w:space="0" w:color="auto"/>
            <w:bottom w:val="none" w:sz="0" w:space="0" w:color="auto"/>
            <w:right w:val="none" w:sz="0" w:space="0" w:color="auto"/>
          </w:divBdr>
        </w:div>
        <w:div w:id="2024699617">
          <w:marLeft w:val="0"/>
          <w:marRight w:val="0"/>
          <w:marTop w:val="0"/>
          <w:marBottom w:val="0"/>
          <w:divBdr>
            <w:top w:val="none" w:sz="0" w:space="0" w:color="auto"/>
            <w:left w:val="none" w:sz="0" w:space="0" w:color="auto"/>
            <w:bottom w:val="none" w:sz="0" w:space="0" w:color="auto"/>
            <w:right w:val="none" w:sz="0" w:space="0" w:color="auto"/>
          </w:divBdr>
        </w:div>
        <w:div w:id="2024699618">
          <w:marLeft w:val="0"/>
          <w:marRight w:val="0"/>
          <w:marTop w:val="0"/>
          <w:marBottom w:val="0"/>
          <w:divBdr>
            <w:top w:val="none" w:sz="0" w:space="0" w:color="auto"/>
            <w:left w:val="none" w:sz="0" w:space="0" w:color="auto"/>
            <w:bottom w:val="none" w:sz="0" w:space="0" w:color="auto"/>
            <w:right w:val="none" w:sz="0" w:space="0" w:color="auto"/>
          </w:divBdr>
        </w:div>
        <w:div w:id="2024699619">
          <w:marLeft w:val="0"/>
          <w:marRight w:val="0"/>
          <w:marTop w:val="0"/>
          <w:marBottom w:val="0"/>
          <w:divBdr>
            <w:top w:val="none" w:sz="0" w:space="0" w:color="auto"/>
            <w:left w:val="none" w:sz="0" w:space="0" w:color="auto"/>
            <w:bottom w:val="none" w:sz="0" w:space="0" w:color="auto"/>
            <w:right w:val="none" w:sz="0" w:space="0" w:color="auto"/>
          </w:divBdr>
        </w:div>
        <w:div w:id="2024699620">
          <w:marLeft w:val="0"/>
          <w:marRight w:val="0"/>
          <w:marTop w:val="0"/>
          <w:marBottom w:val="0"/>
          <w:divBdr>
            <w:top w:val="none" w:sz="0" w:space="0" w:color="auto"/>
            <w:left w:val="none" w:sz="0" w:space="0" w:color="auto"/>
            <w:bottom w:val="none" w:sz="0" w:space="0" w:color="auto"/>
            <w:right w:val="none" w:sz="0" w:space="0" w:color="auto"/>
          </w:divBdr>
        </w:div>
        <w:div w:id="2024699621">
          <w:marLeft w:val="0"/>
          <w:marRight w:val="0"/>
          <w:marTop w:val="0"/>
          <w:marBottom w:val="0"/>
          <w:divBdr>
            <w:top w:val="none" w:sz="0" w:space="0" w:color="auto"/>
            <w:left w:val="none" w:sz="0" w:space="0" w:color="auto"/>
            <w:bottom w:val="none" w:sz="0" w:space="0" w:color="auto"/>
            <w:right w:val="none" w:sz="0" w:space="0" w:color="auto"/>
          </w:divBdr>
        </w:div>
        <w:div w:id="2024699622">
          <w:marLeft w:val="0"/>
          <w:marRight w:val="0"/>
          <w:marTop w:val="0"/>
          <w:marBottom w:val="0"/>
          <w:divBdr>
            <w:top w:val="none" w:sz="0" w:space="0" w:color="auto"/>
            <w:left w:val="none" w:sz="0" w:space="0" w:color="auto"/>
            <w:bottom w:val="none" w:sz="0" w:space="0" w:color="auto"/>
            <w:right w:val="none" w:sz="0" w:space="0" w:color="auto"/>
          </w:divBdr>
        </w:div>
        <w:div w:id="2024699623">
          <w:marLeft w:val="0"/>
          <w:marRight w:val="0"/>
          <w:marTop w:val="0"/>
          <w:marBottom w:val="0"/>
          <w:divBdr>
            <w:top w:val="none" w:sz="0" w:space="0" w:color="auto"/>
            <w:left w:val="none" w:sz="0" w:space="0" w:color="auto"/>
            <w:bottom w:val="none" w:sz="0" w:space="0" w:color="auto"/>
            <w:right w:val="none" w:sz="0" w:space="0" w:color="auto"/>
          </w:divBdr>
        </w:div>
        <w:div w:id="2024699624">
          <w:marLeft w:val="0"/>
          <w:marRight w:val="0"/>
          <w:marTop w:val="0"/>
          <w:marBottom w:val="0"/>
          <w:divBdr>
            <w:top w:val="none" w:sz="0" w:space="0" w:color="auto"/>
            <w:left w:val="none" w:sz="0" w:space="0" w:color="auto"/>
            <w:bottom w:val="none" w:sz="0" w:space="0" w:color="auto"/>
            <w:right w:val="none" w:sz="0" w:space="0" w:color="auto"/>
          </w:divBdr>
        </w:div>
        <w:div w:id="2024699625">
          <w:marLeft w:val="0"/>
          <w:marRight w:val="0"/>
          <w:marTop w:val="0"/>
          <w:marBottom w:val="0"/>
          <w:divBdr>
            <w:top w:val="none" w:sz="0" w:space="0" w:color="auto"/>
            <w:left w:val="none" w:sz="0" w:space="0" w:color="auto"/>
            <w:bottom w:val="none" w:sz="0" w:space="0" w:color="auto"/>
            <w:right w:val="none" w:sz="0" w:space="0" w:color="auto"/>
          </w:divBdr>
        </w:div>
        <w:div w:id="2024699626">
          <w:marLeft w:val="0"/>
          <w:marRight w:val="0"/>
          <w:marTop w:val="0"/>
          <w:marBottom w:val="0"/>
          <w:divBdr>
            <w:top w:val="none" w:sz="0" w:space="0" w:color="auto"/>
            <w:left w:val="none" w:sz="0" w:space="0" w:color="auto"/>
            <w:bottom w:val="none" w:sz="0" w:space="0" w:color="auto"/>
            <w:right w:val="none" w:sz="0" w:space="0" w:color="auto"/>
          </w:divBdr>
        </w:div>
        <w:div w:id="2024699627">
          <w:marLeft w:val="0"/>
          <w:marRight w:val="0"/>
          <w:marTop w:val="0"/>
          <w:marBottom w:val="0"/>
          <w:divBdr>
            <w:top w:val="none" w:sz="0" w:space="0" w:color="auto"/>
            <w:left w:val="none" w:sz="0" w:space="0" w:color="auto"/>
            <w:bottom w:val="none" w:sz="0" w:space="0" w:color="auto"/>
            <w:right w:val="none" w:sz="0" w:space="0" w:color="auto"/>
          </w:divBdr>
        </w:div>
        <w:div w:id="2024699628">
          <w:marLeft w:val="0"/>
          <w:marRight w:val="0"/>
          <w:marTop w:val="0"/>
          <w:marBottom w:val="0"/>
          <w:divBdr>
            <w:top w:val="none" w:sz="0" w:space="0" w:color="auto"/>
            <w:left w:val="none" w:sz="0" w:space="0" w:color="auto"/>
            <w:bottom w:val="none" w:sz="0" w:space="0" w:color="auto"/>
            <w:right w:val="none" w:sz="0" w:space="0" w:color="auto"/>
          </w:divBdr>
        </w:div>
        <w:div w:id="2024699629">
          <w:marLeft w:val="0"/>
          <w:marRight w:val="0"/>
          <w:marTop w:val="0"/>
          <w:marBottom w:val="0"/>
          <w:divBdr>
            <w:top w:val="none" w:sz="0" w:space="0" w:color="auto"/>
            <w:left w:val="none" w:sz="0" w:space="0" w:color="auto"/>
            <w:bottom w:val="none" w:sz="0" w:space="0" w:color="auto"/>
            <w:right w:val="none" w:sz="0" w:space="0" w:color="auto"/>
          </w:divBdr>
        </w:div>
        <w:div w:id="2024699630">
          <w:marLeft w:val="0"/>
          <w:marRight w:val="0"/>
          <w:marTop w:val="0"/>
          <w:marBottom w:val="0"/>
          <w:divBdr>
            <w:top w:val="none" w:sz="0" w:space="0" w:color="auto"/>
            <w:left w:val="none" w:sz="0" w:space="0" w:color="auto"/>
            <w:bottom w:val="none" w:sz="0" w:space="0" w:color="auto"/>
            <w:right w:val="none" w:sz="0" w:space="0" w:color="auto"/>
          </w:divBdr>
        </w:div>
        <w:div w:id="2024699631">
          <w:marLeft w:val="0"/>
          <w:marRight w:val="0"/>
          <w:marTop w:val="0"/>
          <w:marBottom w:val="0"/>
          <w:divBdr>
            <w:top w:val="none" w:sz="0" w:space="0" w:color="auto"/>
            <w:left w:val="none" w:sz="0" w:space="0" w:color="auto"/>
            <w:bottom w:val="none" w:sz="0" w:space="0" w:color="auto"/>
            <w:right w:val="none" w:sz="0" w:space="0" w:color="auto"/>
          </w:divBdr>
        </w:div>
        <w:div w:id="2024699632">
          <w:marLeft w:val="0"/>
          <w:marRight w:val="0"/>
          <w:marTop w:val="0"/>
          <w:marBottom w:val="0"/>
          <w:divBdr>
            <w:top w:val="none" w:sz="0" w:space="0" w:color="auto"/>
            <w:left w:val="none" w:sz="0" w:space="0" w:color="auto"/>
            <w:bottom w:val="none" w:sz="0" w:space="0" w:color="auto"/>
            <w:right w:val="none" w:sz="0" w:space="0" w:color="auto"/>
          </w:divBdr>
        </w:div>
        <w:div w:id="2024699633">
          <w:marLeft w:val="0"/>
          <w:marRight w:val="0"/>
          <w:marTop w:val="0"/>
          <w:marBottom w:val="0"/>
          <w:divBdr>
            <w:top w:val="none" w:sz="0" w:space="0" w:color="auto"/>
            <w:left w:val="none" w:sz="0" w:space="0" w:color="auto"/>
            <w:bottom w:val="none" w:sz="0" w:space="0" w:color="auto"/>
            <w:right w:val="none" w:sz="0" w:space="0" w:color="auto"/>
          </w:divBdr>
        </w:div>
        <w:div w:id="2024699634">
          <w:marLeft w:val="0"/>
          <w:marRight w:val="0"/>
          <w:marTop w:val="0"/>
          <w:marBottom w:val="0"/>
          <w:divBdr>
            <w:top w:val="none" w:sz="0" w:space="0" w:color="auto"/>
            <w:left w:val="none" w:sz="0" w:space="0" w:color="auto"/>
            <w:bottom w:val="none" w:sz="0" w:space="0" w:color="auto"/>
            <w:right w:val="none" w:sz="0" w:space="0" w:color="auto"/>
          </w:divBdr>
        </w:div>
        <w:div w:id="2024699635">
          <w:marLeft w:val="0"/>
          <w:marRight w:val="0"/>
          <w:marTop w:val="0"/>
          <w:marBottom w:val="0"/>
          <w:divBdr>
            <w:top w:val="none" w:sz="0" w:space="0" w:color="auto"/>
            <w:left w:val="none" w:sz="0" w:space="0" w:color="auto"/>
            <w:bottom w:val="none" w:sz="0" w:space="0" w:color="auto"/>
            <w:right w:val="none" w:sz="0" w:space="0" w:color="auto"/>
          </w:divBdr>
        </w:div>
        <w:div w:id="2024699636">
          <w:marLeft w:val="0"/>
          <w:marRight w:val="0"/>
          <w:marTop w:val="0"/>
          <w:marBottom w:val="0"/>
          <w:divBdr>
            <w:top w:val="none" w:sz="0" w:space="0" w:color="auto"/>
            <w:left w:val="none" w:sz="0" w:space="0" w:color="auto"/>
            <w:bottom w:val="none" w:sz="0" w:space="0" w:color="auto"/>
            <w:right w:val="none" w:sz="0" w:space="0" w:color="auto"/>
          </w:divBdr>
        </w:div>
        <w:div w:id="2024699638">
          <w:marLeft w:val="0"/>
          <w:marRight w:val="0"/>
          <w:marTop w:val="0"/>
          <w:marBottom w:val="0"/>
          <w:divBdr>
            <w:top w:val="none" w:sz="0" w:space="0" w:color="auto"/>
            <w:left w:val="none" w:sz="0" w:space="0" w:color="auto"/>
            <w:bottom w:val="none" w:sz="0" w:space="0" w:color="auto"/>
            <w:right w:val="none" w:sz="0" w:space="0" w:color="auto"/>
          </w:divBdr>
        </w:div>
        <w:div w:id="2024699639">
          <w:marLeft w:val="0"/>
          <w:marRight w:val="0"/>
          <w:marTop w:val="0"/>
          <w:marBottom w:val="0"/>
          <w:divBdr>
            <w:top w:val="none" w:sz="0" w:space="0" w:color="auto"/>
            <w:left w:val="none" w:sz="0" w:space="0" w:color="auto"/>
            <w:bottom w:val="none" w:sz="0" w:space="0" w:color="auto"/>
            <w:right w:val="none" w:sz="0" w:space="0" w:color="auto"/>
          </w:divBdr>
        </w:div>
        <w:div w:id="2024699640">
          <w:marLeft w:val="0"/>
          <w:marRight w:val="0"/>
          <w:marTop w:val="0"/>
          <w:marBottom w:val="0"/>
          <w:divBdr>
            <w:top w:val="none" w:sz="0" w:space="0" w:color="auto"/>
            <w:left w:val="none" w:sz="0" w:space="0" w:color="auto"/>
            <w:bottom w:val="none" w:sz="0" w:space="0" w:color="auto"/>
            <w:right w:val="none" w:sz="0" w:space="0" w:color="auto"/>
          </w:divBdr>
        </w:div>
        <w:div w:id="2024699641">
          <w:marLeft w:val="0"/>
          <w:marRight w:val="0"/>
          <w:marTop w:val="0"/>
          <w:marBottom w:val="0"/>
          <w:divBdr>
            <w:top w:val="none" w:sz="0" w:space="0" w:color="auto"/>
            <w:left w:val="none" w:sz="0" w:space="0" w:color="auto"/>
            <w:bottom w:val="none" w:sz="0" w:space="0" w:color="auto"/>
            <w:right w:val="none" w:sz="0" w:space="0" w:color="auto"/>
          </w:divBdr>
        </w:div>
        <w:div w:id="2024699642">
          <w:marLeft w:val="0"/>
          <w:marRight w:val="0"/>
          <w:marTop w:val="0"/>
          <w:marBottom w:val="0"/>
          <w:divBdr>
            <w:top w:val="none" w:sz="0" w:space="0" w:color="auto"/>
            <w:left w:val="none" w:sz="0" w:space="0" w:color="auto"/>
            <w:bottom w:val="none" w:sz="0" w:space="0" w:color="auto"/>
            <w:right w:val="none" w:sz="0" w:space="0" w:color="auto"/>
          </w:divBdr>
        </w:div>
        <w:div w:id="2024699643">
          <w:marLeft w:val="0"/>
          <w:marRight w:val="0"/>
          <w:marTop w:val="0"/>
          <w:marBottom w:val="0"/>
          <w:divBdr>
            <w:top w:val="none" w:sz="0" w:space="0" w:color="auto"/>
            <w:left w:val="none" w:sz="0" w:space="0" w:color="auto"/>
            <w:bottom w:val="none" w:sz="0" w:space="0" w:color="auto"/>
            <w:right w:val="none" w:sz="0" w:space="0" w:color="auto"/>
          </w:divBdr>
        </w:div>
        <w:div w:id="2024699644">
          <w:marLeft w:val="0"/>
          <w:marRight w:val="0"/>
          <w:marTop w:val="0"/>
          <w:marBottom w:val="0"/>
          <w:divBdr>
            <w:top w:val="none" w:sz="0" w:space="0" w:color="auto"/>
            <w:left w:val="none" w:sz="0" w:space="0" w:color="auto"/>
            <w:bottom w:val="none" w:sz="0" w:space="0" w:color="auto"/>
            <w:right w:val="none" w:sz="0" w:space="0" w:color="auto"/>
          </w:divBdr>
        </w:div>
        <w:div w:id="2024699645">
          <w:marLeft w:val="0"/>
          <w:marRight w:val="0"/>
          <w:marTop w:val="0"/>
          <w:marBottom w:val="0"/>
          <w:divBdr>
            <w:top w:val="none" w:sz="0" w:space="0" w:color="auto"/>
            <w:left w:val="none" w:sz="0" w:space="0" w:color="auto"/>
            <w:bottom w:val="none" w:sz="0" w:space="0" w:color="auto"/>
            <w:right w:val="none" w:sz="0" w:space="0" w:color="auto"/>
          </w:divBdr>
        </w:div>
        <w:div w:id="2024699646">
          <w:marLeft w:val="0"/>
          <w:marRight w:val="0"/>
          <w:marTop w:val="0"/>
          <w:marBottom w:val="0"/>
          <w:divBdr>
            <w:top w:val="none" w:sz="0" w:space="0" w:color="auto"/>
            <w:left w:val="none" w:sz="0" w:space="0" w:color="auto"/>
            <w:bottom w:val="none" w:sz="0" w:space="0" w:color="auto"/>
            <w:right w:val="none" w:sz="0" w:space="0" w:color="auto"/>
          </w:divBdr>
        </w:div>
        <w:div w:id="2024699647">
          <w:marLeft w:val="0"/>
          <w:marRight w:val="0"/>
          <w:marTop w:val="0"/>
          <w:marBottom w:val="0"/>
          <w:divBdr>
            <w:top w:val="none" w:sz="0" w:space="0" w:color="auto"/>
            <w:left w:val="none" w:sz="0" w:space="0" w:color="auto"/>
            <w:bottom w:val="none" w:sz="0" w:space="0" w:color="auto"/>
            <w:right w:val="none" w:sz="0" w:space="0" w:color="auto"/>
          </w:divBdr>
        </w:div>
        <w:div w:id="2024699648">
          <w:marLeft w:val="0"/>
          <w:marRight w:val="0"/>
          <w:marTop w:val="0"/>
          <w:marBottom w:val="0"/>
          <w:divBdr>
            <w:top w:val="none" w:sz="0" w:space="0" w:color="auto"/>
            <w:left w:val="none" w:sz="0" w:space="0" w:color="auto"/>
            <w:bottom w:val="none" w:sz="0" w:space="0" w:color="auto"/>
            <w:right w:val="none" w:sz="0" w:space="0" w:color="auto"/>
          </w:divBdr>
        </w:div>
        <w:div w:id="2024699649">
          <w:marLeft w:val="0"/>
          <w:marRight w:val="0"/>
          <w:marTop w:val="0"/>
          <w:marBottom w:val="0"/>
          <w:divBdr>
            <w:top w:val="none" w:sz="0" w:space="0" w:color="auto"/>
            <w:left w:val="none" w:sz="0" w:space="0" w:color="auto"/>
            <w:bottom w:val="none" w:sz="0" w:space="0" w:color="auto"/>
            <w:right w:val="none" w:sz="0" w:space="0" w:color="auto"/>
          </w:divBdr>
        </w:div>
        <w:div w:id="2024699650">
          <w:marLeft w:val="0"/>
          <w:marRight w:val="0"/>
          <w:marTop w:val="0"/>
          <w:marBottom w:val="0"/>
          <w:divBdr>
            <w:top w:val="none" w:sz="0" w:space="0" w:color="auto"/>
            <w:left w:val="none" w:sz="0" w:space="0" w:color="auto"/>
            <w:bottom w:val="none" w:sz="0" w:space="0" w:color="auto"/>
            <w:right w:val="none" w:sz="0" w:space="0" w:color="auto"/>
          </w:divBdr>
        </w:div>
        <w:div w:id="2024699651">
          <w:marLeft w:val="0"/>
          <w:marRight w:val="0"/>
          <w:marTop w:val="0"/>
          <w:marBottom w:val="0"/>
          <w:divBdr>
            <w:top w:val="none" w:sz="0" w:space="0" w:color="auto"/>
            <w:left w:val="none" w:sz="0" w:space="0" w:color="auto"/>
            <w:bottom w:val="none" w:sz="0" w:space="0" w:color="auto"/>
            <w:right w:val="none" w:sz="0" w:space="0" w:color="auto"/>
          </w:divBdr>
        </w:div>
        <w:div w:id="2024699652">
          <w:marLeft w:val="0"/>
          <w:marRight w:val="0"/>
          <w:marTop w:val="0"/>
          <w:marBottom w:val="0"/>
          <w:divBdr>
            <w:top w:val="none" w:sz="0" w:space="0" w:color="auto"/>
            <w:left w:val="none" w:sz="0" w:space="0" w:color="auto"/>
            <w:bottom w:val="none" w:sz="0" w:space="0" w:color="auto"/>
            <w:right w:val="none" w:sz="0" w:space="0" w:color="auto"/>
          </w:divBdr>
        </w:div>
        <w:div w:id="2024699653">
          <w:marLeft w:val="0"/>
          <w:marRight w:val="0"/>
          <w:marTop w:val="0"/>
          <w:marBottom w:val="0"/>
          <w:divBdr>
            <w:top w:val="none" w:sz="0" w:space="0" w:color="auto"/>
            <w:left w:val="none" w:sz="0" w:space="0" w:color="auto"/>
            <w:bottom w:val="none" w:sz="0" w:space="0" w:color="auto"/>
            <w:right w:val="none" w:sz="0" w:space="0" w:color="auto"/>
          </w:divBdr>
        </w:div>
        <w:div w:id="2024699654">
          <w:marLeft w:val="0"/>
          <w:marRight w:val="0"/>
          <w:marTop w:val="0"/>
          <w:marBottom w:val="0"/>
          <w:divBdr>
            <w:top w:val="none" w:sz="0" w:space="0" w:color="auto"/>
            <w:left w:val="none" w:sz="0" w:space="0" w:color="auto"/>
            <w:bottom w:val="none" w:sz="0" w:space="0" w:color="auto"/>
            <w:right w:val="none" w:sz="0" w:space="0" w:color="auto"/>
          </w:divBdr>
        </w:div>
        <w:div w:id="2024699655">
          <w:marLeft w:val="0"/>
          <w:marRight w:val="0"/>
          <w:marTop w:val="0"/>
          <w:marBottom w:val="0"/>
          <w:divBdr>
            <w:top w:val="none" w:sz="0" w:space="0" w:color="auto"/>
            <w:left w:val="none" w:sz="0" w:space="0" w:color="auto"/>
            <w:bottom w:val="none" w:sz="0" w:space="0" w:color="auto"/>
            <w:right w:val="none" w:sz="0" w:space="0" w:color="auto"/>
          </w:divBdr>
        </w:div>
        <w:div w:id="2024699656">
          <w:marLeft w:val="0"/>
          <w:marRight w:val="0"/>
          <w:marTop w:val="0"/>
          <w:marBottom w:val="0"/>
          <w:divBdr>
            <w:top w:val="none" w:sz="0" w:space="0" w:color="auto"/>
            <w:left w:val="none" w:sz="0" w:space="0" w:color="auto"/>
            <w:bottom w:val="none" w:sz="0" w:space="0" w:color="auto"/>
            <w:right w:val="none" w:sz="0" w:space="0" w:color="auto"/>
          </w:divBdr>
        </w:div>
        <w:div w:id="2024699657">
          <w:marLeft w:val="0"/>
          <w:marRight w:val="0"/>
          <w:marTop w:val="0"/>
          <w:marBottom w:val="0"/>
          <w:divBdr>
            <w:top w:val="none" w:sz="0" w:space="0" w:color="auto"/>
            <w:left w:val="none" w:sz="0" w:space="0" w:color="auto"/>
            <w:bottom w:val="none" w:sz="0" w:space="0" w:color="auto"/>
            <w:right w:val="none" w:sz="0" w:space="0" w:color="auto"/>
          </w:divBdr>
        </w:div>
        <w:div w:id="2024699658">
          <w:marLeft w:val="0"/>
          <w:marRight w:val="0"/>
          <w:marTop w:val="0"/>
          <w:marBottom w:val="0"/>
          <w:divBdr>
            <w:top w:val="none" w:sz="0" w:space="0" w:color="auto"/>
            <w:left w:val="none" w:sz="0" w:space="0" w:color="auto"/>
            <w:bottom w:val="none" w:sz="0" w:space="0" w:color="auto"/>
            <w:right w:val="none" w:sz="0" w:space="0" w:color="auto"/>
          </w:divBdr>
        </w:div>
        <w:div w:id="2024699659">
          <w:marLeft w:val="0"/>
          <w:marRight w:val="0"/>
          <w:marTop w:val="0"/>
          <w:marBottom w:val="0"/>
          <w:divBdr>
            <w:top w:val="none" w:sz="0" w:space="0" w:color="auto"/>
            <w:left w:val="none" w:sz="0" w:space="0" w:color="auto"/>
            <w:bottom w:val="none" w:sz="0" w:space="0" w:color="auto"/>
            <w:right w:val="none" w:sz="0" w:space="0" w:color="auto"/>
          </w:divBdr>
        </w:div>
        <w:div w:id="2024699660">
          <w:marLeft w:val="0"/>
          <w:marRight w:val="0"/>
          <w:marTop w:val="0"/>
          <w:marBottom w:val="0"/>
          <w:divBdr>
            <w:top w:val="none" w:sz="0" w:space="0" w:color="auto"/>
            <w:left w:val="none" w:sz="0" w:space="0" w:color="auto"/>
            <w:bottom w:val="none" w:sz="0" w:space="0" w:color="auto"/>
            <w:right w:val="none" w:sz="0" w:space="0" w:color="auto"/>
          </w:divBdr>
        </w:div>
        <w:div w:id="2024699661">
          <w:marLeft w:val="0"/>
          <w:marRight w:val="0"/>
          <w:marTop w:val="0"/>
          <w:marBottom w:val="0"/>
          <w:divBdr>
            <w:top w:val="none" w:sz="0" w:space="0" w:color="auto"/>
            <w:left w:val="none" w:sz="0" w:space="0" w:color="auto"/>
            <w:bottom w:val="none" w:sz="0" w:space="0" w:color="auto"/>
            <w:right w:val="none" w:sz="0" w:space="0" w:color="auto"/>
          </w:divBdr>
        </w:div>
        <w:div w:id="2024699662">
          <w:marLeft w:val="0"/>
          <w:marRight w:val="0"/>
          <w:marTop w:val="0"/>
          <w:marBottom w:val="0"/>
          <w:divBdr>
            <w:top w:val="none" w:sz="0" w:space="0" w:color="auto"/>
            <w:left w:val="none" w:sz="0" w:space="0" w:color="auto"/>
            <w:bottom w:val="none" w:sz="0" w:space="0" w:color="auto"/>
            <w:right w:val="none" w:sz="0" w:space="0" w:color="auto"/>
          </w:divBdr>
        </w:div>
        <w:div w:id="2024699663">
          <w:marLeft w:val="0"/>
          <w:marRight w:val="0"/>
          <w:marTop w:val="0"/>
          <w:marBottom w:val="0"/>
          <w:divBdr>
            <w:top w:val="none" w:sz="0" w:space="0" w:color="auto"/>
            <w:left w:val="none" w:sz="0" w:space="0" w:color="auto"/>
            <w:bottom w:val="none" w:sz="0" w:space="0" w:color="auto"/>
            <w:right w:val="none" w:sz="0" w:space="0" w:color="auto"/>
          </w:divBdr>
        </w:div>
        <w:div w:id="2024699664">
          <w:marLeft w:val="0"/>
          <w:marRight w:val="0"/>
          <w:marTop w:val="0"/>
          <w:marBottom w:val="0"/>
          <w:divBdr>
            <w:top w:val="none" w:sz="0" w:space="0" w:color="auto"/>
            <w:left w:val="none" w:sz="0" w:space="0" w:color="auto"/>
            <w:bottom w:val="none" w:sz="0" w:space="0" w:color="auto"/>
            <w:right w:val="none" w:sz="0" w:space="0" w:color="auto"/>
          </w:divBdr>
        </w:div>
        <w:div w:id="2024699665">
          <w:marLeft w:val="0"/>
          <w:marRight w:val="0"/>
          <w:marTop w:val="0"/>
          <w:marBottom w:val="0"/>
          <w:divBdr>
            <w:top w:val="none" w:sz="0" w:space="0" w:color="auto"/>
            <w:left w:val="none" w:sz="0" w:space="0" w:color="auto"/>
            <w:bottom w:val="none" w:sz="0" w:space="0" w:color="auto"/>
            <w:right w:val="none" w:sz="0" w:space="0" w:color="auto"/>
          </w:divBdr>
        </w:div>
        <w:div w:id="2024699666">
          <w:marLeft w:val="0"/>
          <w:marRight w:val="0"/>
          <w:marTop w:val="0"/>
          <w:marBottom w:val="0"/>
          <w:divBdr>
            <w:top w:val="none" w:sz="0" w:space="0" w:color="auto"/>
            <w:left w:val="none" w:sz="0" w:space="0" w:color="auto"/>
            <w:bottom w:val="none" w:sz="0" w:space="0" w:color="auto"/>
            <w:right w:val="none" w:sz="0" w:space="0" w:color="auto"/>
          </w:divBdr>
        </w:div>
        <w:div w:id="2024699667">
          <w:marLeft w:val="0"/>
          <w:marRight w:val="0"/>
          <w:marTop w:val="0"/>
          <w:marBottom w:val="0"/>
          <w:divBdr>
            <w:top w:val="none" w:sz="0" w:space="0" w:color="auto"/>
            <w:left w:val="none" w:sz="0" w:space="0" w:color="auto"/>
            <w:bottom w:val="none" w:sz="0" w:space="0" w:color="auto"/>
            <w:right w:val="none" w:sz="0" w:space="0" w:color="auto"/>
          </w:divBdr>
        </w:div>
        <w:div w:id="2024699668">
          <w:marLeft w:val="0"/>
          <w:marRight w:val="0"/>
          <w:marTop w:val="0"/>
          <w:marBottom w:val="0"/>
          <w:divBdr>
            <w:top w:val="none" w:sz="0" w:space="0" w:color="auto"/>
            <w:left w:val="none" w:sz="0" w:space="0" w:color="auto"/>
            <w:bottom w:val="none" w:sz="0" w:space="0" w:color="auto"/>
            <w:right w:val="none" w:sz="0" w:space="0" w:color="auto"/>
          </w:divBdr>
        </w:div>
        <w:div w:id="2024699669">
          <w:marLeft w:val="0"/>
          <w:marRight w:val="0"/>
          <w:marTop w:val="0"/>
          <w:marBottom w:val="0"/>
          <w:divBdr>
            <w:top w:val="none" w:sz="0" w:space="0" w:color="auto"/>
            <w:left w:val="none" w:sz="0" w:space="0" w:color="auto"/>
            <w:bottom w:val="none" w:sz="0" w:space="0" w:color="auto"/>
            <w:right w:val="none" w:sz="0" w:space="0" w:color="auto"/>
          </w:divBdr>
        </w:div>
        <w:div w:id="2024699670">
          <w:marLeft w:val="0"/>
          <w:marRight w:val="0"/>
          <w:marTop w:val="0"/>
          <w:marBottom w:val="0"/>
          <w:divBdr>
            <w:top w:val="none" w:sz="0" w:space="0" w:color="auto"/>
            <w:left w:val="none" w:sz="0" w:space="0" w:color="auto"/>
            <w:bottom w:val="none" w:sz="0" w:space="0" w:color="auto"/>
            <w:right w:val="none" w:sz="0" w:space="0" w:color="auto"/>
          </w:divBdr>
        </w:div>
        <w:div w:id="2024699671">
          <w:marLeft w:val="0"/>
          <w:marRight w:val="0"/>
          <w:marTop w:val="0"/>
          <w:marBottom w:val="0"/>
          <w:divBdr>
            <w:top w:val="none" w:sz="0" w:space="0" w:color="auto"/>
            <w:left w:val="none" w:sz="0" w:space="0" w:color="auto"/>
            <w:bottom w:val="none" w:sz="0" w:space="0" w:color="auto"/>
            <w:right w:val="none" w:sz="0" w:space="0" w:color="auto"/>
          </w:divBdr>
        </w:div>
        <w:div w:id="2024699672">
          <w:marLeft w:val="0"/>
          <w:marRight w:val="0"/>
          <w:marTop w:val="0"/>
          <w:marBottom w:val="0"/>
          <w:divBdr>
            <w:top w:val="none" w:sz="0" w:space="0" w:color="auto"/>
            <w:left w:val="none" w:sz="0" w:space="0" w:color="auto"/>
            <w:bottom w:val="none" w:sz="0" w:space="0" w:color="auto"/>
            <w:right w:val="none" w:sz="0" w:space="0" w:color="auto"/>
          </w:divBdr>
        </w:div>
        <w:div w:id="2024699673">
          <w:marLeft w:val="0"/>
          <w:marRight w:val="0"/>
          <w:marTop w:val="0"/>
          <w:marBottom w:val="0"/>
          <w:divBdr>
            <w:top w:val="none" w:sz="0" w:space="0" w:color="auto"/>
            <w:left w:val="none" w:sz="0" w:space="0" w:color="auto"/>
            <w:bottom w:val="none" w:sz="0" w:space="0" w:color="auto"/>
            <w:right w:val="none" w:sz="0" w:space="0" w:color="auto"/>
          </w:divBdr>
        </w:div>
        <w:div w:id="2024699674">
          <w:marLeft w:val="0"/>
          <w:marRight w:val="0"/>
          <w:marTop w:val="0"/>
          <w:marBottom w:val="0"/>
          <w:divBdr>
            <w:top w:val="none" w:sz="0" w:space="0" w:color="auto"/>
            <w:left w:val="none" w:sz="0" w:space="0" w:color="auto"/>
            <w:bottom w:val="none" w:sz="0" w:space="0" w:color="auto"/>
            <w:right w:val="none" w:sz="0" w:space="0" w:color="auto"/>
          </w:divBdr>
        </w:div>
        <w:div w:id="2024699675">
          <w:marLeft w:val="0"/>
          <w:marRight w:val="0"/>
          <w:marTop w:val="0"/>
          <w:marBottom w:val="0"/>
          <w:divBdr>
            <w:top w:val="none" w:sz="0" w:space="0" w:color="auto"/>
            <w:left w:val="none" w:sz="0" w:space="0" w:color="auto"/>
            <w:bottom w:val="none" w:sz="0" w:space="0" w:color="auto"/>
            <w:right w:val="none" w:sz="0" w:space="0" w:color="auto"/>
          </w:divBdr>
        </w:div>
        <w:div w:id="2024699676">
          <w:marLeft w:val="0"/>
          <w:marRight w:val="0"/>
          <w:marTop w:val="0"/>
          <w:marBottom w:val="0"/>
          <w:divBdr>
            <w:top w:val="none" w:sz="0" w:space="0" w:color="auto"/>
            <w:left w:val="none" w:sz="0" w:space="0" w:color="auto"/>
            <w:bottom w:val="none" w:sz="0" w:space="0" w:color="auto"/>
            <w:right w:val="none" w:sz="0" w:space="0" w:color="auto"/>
          </w:divBdr>
        </w:div>
        <w:div w:id="2024699677">
          <w:marLeft w:val="0"/>
          <w:marRight w:val="0"/>
          <w:marTop w:val="0"/>
          <w:marBottom w:val="0"/>
          <w:divBdr>
            <w:top w:val="none" w:sz="0" w:space="0" w:color="auto"/>
            <w:left w:val="none" w:sz="0" w:space="0" w:color="auto"/>
            <w:bottom w:val="none" w:sz="0" w:space="0" w:color="auto"/>
            <w:right w:val="none" w:sz="0" w:space="0" w:color="auto"/>
          </w:divBdr>
        </w:div>
        <w:div w:id="2024699678">
          <w:marLeft w:val="0"/>
          <w:marRight w:val="0"/>
          <w:marTop w:val="0"/>
          <w:marBottom w:val="0"/>
          <w:divBdr>
            <w:top w:val="none" w:sz="0" w:space="0" w:color="auto"/>
            <w:left w:val="none" w:sz="0" w:space="0" w:color="auto"/>
            <w:bottom w:val="none" w:sz="0" w:space="0" w:color="auto"/>
            <w:right w:val="none" w:sz="0" w:space="0" w:color="auto"/>
          </w:divBdr>
        </w:div>
        <w:div w:id="2024699679">
          <w:marLeft w:val="0"/>
          <w:marRight w:val="0"/>
          <w:marTop w:val="0"/>
          <w:marBottom w:val="0"/>
          <w:divBdr>
            <w:top w:val="none" w:sz="0" w:space="0" w:color="auto"/>
            <w:left w:val="none" w:sz="0" w:space="0" w:color="auto"/>
            <w:bottom w:val="none" w:sz="0" w:space="0" w:color="auto"/>
            <w:right w:val="none" w:sz="0" w:space="0" w:color="auto"/>
          </w:divBdr>
        </w:div>
        <w:div w:id="2024699681">
          <w:marLeft w:val="0"/>
          <w:marRight w:val="0"/>
          <w:marTop w:val="0"/>
          <w:marBottom w:val="0"/>
          <w:divBdr>
            <w:top w:val="none" w:sz="0" w:space="0" w:color="auto"/>
            <w:left w:val="none" w:sz="0" w:space="0" w:color="auto"/>
            <w:bottom w:val="none" w:sz="0" w:space="0" w:color="auto"/>
            <w:right w:val="none" w:sz="0" w:space="0" w:color="auto"/>
          </w:divBdr>
        </w:div>
        <w:div w:id="2024699682">
          <w:marLeft w:val="0"/>
          <w:marRight w:val="0"/>
          <w:marTop w:val="0"/>
          <w:marBottom w:val="0"/>
          <w:divBdr>
            <w:top w:val="none" w:sz="0" w:space="0" w:color="auto"/>
            <w:left w:val="none" w:sz="0" w:space="0" w:color="auto"/>
            <w:bottom w:val="none" w:sz="0" w:space="0" w:color="auto"/>
            <w:right w:val="none" w:sz="0" w:space="0" w:color="auto"/>
          </w:divBdr>
        </w:div>
        <w:div w:id="2024699683">
          <w:marLeft w:val="0"/>
          <w:marRight w:val="0"/>
          <w:marTop w:val="0"/>
          <w:marBottom w:val="0"/>
          <w:divBdr>
            <w:top w:val="none" w:sz="0" w:space="0" w:color="auto"/>
            <w:left w:val="none" w:sz="0" w:space="0" w:color="auto"/>
            <w:bottom w:val="none" w:sz="0" w:space="0" w:color="auto"/>
            <w:right w:val="none" w:sz="0" w:space="0" w:color="auto"/>
          </w:divBdr>
        </w:div>
        <w:div w:id="2024699684">
          <w:marLeft w:val="0"/>
          <w:marRight w:val="0"/>
          <w:marTop w:val="0"/>
          <w:marBottom w:val="0"/>
          <w:divBdr>
            <w:top w:val="none" w:sz="0" w:space="0" w:color="auto"/>
            <w:left w:val="none" w:sz="0" w:space="0" w:color="auto"/>
            <w:bottom w:val="none" w:sz="0" w:space="0" w:color="auto"/>
            <w:right w:val="none" w:sz="0" w:space="0" w:color="auto"/>
          </w:divBdr>
        </w:div>
        <w:div w:id="2024699685">
          <w:marLeft w:val="0"/>
          <w:marRight w:val="0"/>
          <w:marTop w:val="0"/>
          <w:marBottom w:val="0"/>
          <w:divBdr>
            <w:top w:val="none" w:sz="0" w:space="0" w:color="auto"/>
            <w:left w:val="none" w:sz="0" w:space="0" w:color="auto"/>
            <w:bottom w:val="none" w:sz="0" w:space="0" w:color="auto"/>
            <w:right w:val="none" w:sz="0" w:space="0" w:color="auto"/>
          </w:divBdr>
        </w:div>
        <w:div w:id="2024699686">
          <w:marLeft w:val="0"/>
          <w:marRight w:val="0"/>
          <w:marTop w:val="0"/>
          <w:marBottom w:val="0"/>
          <w:divBdr>
            <w:top w:val="none" w:sz="0" w:space="0" w:color="auto"/>
            <w:left w:val="none" w:sz="0" w:space="0" w:color="auto"/>
            <w:bottom w:val="none" w:sz="0" w:space="0" w:color="auto"/>
            <w:right w:val="none" w:sz="0" w:space="0" w:color="auto"/>
          </w:divBdr>
        </w:div>
        <w:div w:id="2024699688">
          <w:marLeft w:val="0"/>
          <w:marRight w:val="0"/>
          <w:marTop w:val="0"/>
          <w:marBottom w:val="0"/>
          <w:divBdr>
            <w:top w:val="none" w:sz="0" w:space="0" w:color="auto"/>
            <w:left w:val="none" w:sz="0" w:space="0" w:color="auto"/>
            <w:bottom w:val="none" w:sz="0" w:space="0" w:color="auto"/>
            <w:right w:val="none" w:sz="0" w:space="0" w:color="auto"/>
          </w:divBdr>
        </w:div>
        <w:div w:id="2024699689">
          <w:marLeft w:val="0"/>
          <w:marRight w:val="0"/>
          <w:marTop w:val="0"/>
          <w:marBottom w:val="0"/>
          <w:divBdr>
            <w:top w:val="none" w:sz="0" w:space="0" w:color="auto"/>
            <w:left w:val="none" w:sz="0" w:space="0" w:color="auto"/>
            <w:bottom w:val="none" w:sz="0" w:space="0" w:color="auto"/>
            <w:right w:val="none" w:sz="0" w:space="0" w:color="auto"/>
          </w:divBdr>
        </w:div>
        <w:div w:id="2024699690">
          <w:marLeft w:val="0"/>
          <w:marRight w:val="0"/>
          <w:marTop w:val="0"/>
          <w:marBottom w:val="0"/>
          <w:divBdr>
            <w:top w:val="none" w:sz="0" w:space="0" w:color="auto"/>
            <w:left w:val="none" w:sz="0" w:space="0" w:color="auto"/>
            <w:bottom w:val="none" w:sz="0" w:space="0" w:color="auto"/>
            <w:right w:val="none" w:sz="0" w:space="0" w:color="auto"/>
          </w:divBdr>
        </w:div>
        <w:div w:id="2024699691">
          <w:marLeft w:val="0"/>
          <w:marRight w:val="0"/>
          <w:marTop w:val="0"/>
          <w:marBottom w:val="0"/>
          <w:divBdr>
            <w:top w:val="none" w:sz="0" w:space="0" w:color="auto"/>
            <w:left w:val="none" w:sz="0" w:space="0" w:color="auto"/>
            <w:bottom w:val="none" w:sz="0" w:space="0" w:color="auto"/>
            <w:right w:val="none" w:sz="0" w:space="0" w:color="auto"/>
          </w:divBdr>
        </w:div>
        <w:div w:id="2024699692">
          <w:marLeft w:val="0"/>
          <w:marRight w:val="0"/>
          <w:marTop w:val="0"/>
          <w:marBottom w:val="0"/>
          <w:divBdr>
            <w:top w:val="none" w:sz="0" w:space="0" w:color="auto"/>
            <w:left w:val="none" w:sz="0" w:space="0" w:color="auto"/>
            <w:bottom w:val="none" w:sz="0" w:space="0" w:color="auto"/>
            <w:right w:val="none" w:sz="0" w:space="0" w:color="auto"/>
          </w:divBdr>
        </w:div>
        <w:div w:id="2024699693">
          <w:marLeft w:val="0"/>
          <w:marRight w:val="0"/>
          <w:marTop w:val="0"/>
          <w:marBottom w:val="0"/>
          <w:divBdr>
            <w:top w:val="none" w:sz="0" w:space="0" w:color="auto"/>
            <w:left w:val="none" w:sz="0" w:space="0" w:color="auto"/>
            <w:bottom w:val="none" w:sz="0" w:space="0" w:color="auto"/>
            <w:right w:val="none" w:sz="0" w:space="0" w:color="auto"/>
          </w:divBdr>
        </w:div>
        <w:div w:id="2024699694">
          <w:marLeft w:val="0"/>
          <w:marRight w:val="0"/>
          <w:marTop w:val="0"/>
          <w:marBottom w:val="0"/>
          <w:divBdr>
            <w:top w:val="none" w:sz="0" w:space="0" w:color="auto"/>
            <w:left w:val="none" w:sz="0" w:space="0" w:color="auto"/>
            <w:bottom w:val="none" w:sz="0" w:space="0" w:color="auto"/>
            <w:right w:val="none" w:sz="0" w:space="0" w:color="auto"/>
          </w:divBdr>
        </w:div>
        <w:div w:id="2024699695">
          <w:marLeft w:val="0"/>
          <w:marRight w:val="0"/>
          <w:marTop w:val="0"/>
          <w:marBottom w:val="0"/>
          <w:divBdr>
            <w:top w:val="none" w:sz="0" w:space="0" w:color="auto"/>
            <w:left w:val="none" w:sz="0" w:space="0" w:color="auto"/>
            <w:bottom w:val="none" w:sz="0" w:space="0" w:color="auto"/>
            <w:right w:val="none" w:sz="0" w:space="0" w:color="auto"/>
          </w:divBdr>
        </w:div>
        <w:div w:id="2024699696">
          <w:marLeft w:val="0"/>
          <w:marRight w:val="0"/>
          <w:marTop w:val="0"/>
          <w:marBottom w:val="0"/>
          <w:divBdr>
            <w:top w:val="none" w:sz="0" w:space="0" w:color="auto"/>
            <w:left w:val="none" w:sz="0" w:space="0" w:color="auto"/>
            <w:bottom w:val="none" w:sz="0" w:space="0" w:color="auto"/>
            <w:right w:val="none" w:sz="0" w:space="0" w:color="auto"/>
          </w:divBdr>
        </w:div>
        <w:div w:id="2024699697">
          <w:marLeft w:val="0"/>
          <w:marRight w:val="0"/>
          <w:marTop w:val="0"/>
          <w:marBottom w:val="0"/>
          <w:divBdr>
            <w:top w:val="none" w:sz="0" w:space="0" w:color="auto"/>
            <w:left w:val="none" w:sz="0" w:space="0" w:color="auto"/>
            <w:bottom w:val="none" w:sz="0" w:space="0" w:color="auto"/>
            <w:right w:val="none" w:sz="0" w:space="0" w:color="auto"/>
          </w:divBdr>
        </w:div>
        <w:div w:id="2024699698">
          <w:marLeft w:val="0"/>
          <w:marRight w:val="0"/>
          <w:marTop w:val="0"/>
          <w:marBottom w:val="0"/>
          <w:divBdr>
            <w:top w:val="none" w:sz="0" w:space="0" w:color="auto"/>
            <w:left w:val="none" w:sz="0" w:space="0" w:color="auto"/>
            <w:bottom w:val="none" w:sz="0" w:space="0" w:color="auto"/>
            <w:right w:val="none" w:sz="0" w:space="0" w:color="auto"/>
          </w:divBdr>
        </w:div>
        <w:div w:id="2024699699">
          <w:marLeft w:val="0"/>
          <w:marRight w:val="0"/>
          <w:marTop w:val="0"/>
          <w:marBottom w:val="0"/>
          <w:divBdr>
            <w:top w:val="none" w:sz="0" w:space="0" w:color="auto"/>
            <w:left w:val="none" w:sz="0" w:space="0" w:color="auto"/>
            <w:bottom w:val="none" w:sz="0" w:space="0" w:color="auto"/>
            <w:right w:val="none" w:sz="0" w:space="0" w:color="auto"/>
          </w:divBdr>
        </w:div>
        <w:div w:id="2024699700">
          <w:marLeft w:val="0"/>
          <w:marRight w:val="0"/>
          <w:marTop w:val="0"/>
          <w:marBottom w:val="0"/>
          <w:divBdr>
            <w:top w:val="none" w:sz="0" w:space="0" w:color="auto"/>
            <w:left w:val="none" w:sz="0" w:space="0" w:color="auto"/>
            <w:bottom w:val="none" w:sz="0" w:space="0" w:color="auto"/>
            <w:right w:val="none" w:sz="0" w:space="0" w:color="auto"/>
          </w:divBdr>
        </w:div>
        <w:div w:id="2024699701">
          <w:marLeft w:val="0"/>
          <w:marRight w:val="0"/>
          <w:marTop w:val="0"/>
          <w:marBottom w:val="0"/>
          <w:divBdr>
            <w:top w:val="none" w:sz="0" w:space="0" w:color="auto"/>
            <w:left w:val="none" w:sz="0" w:space="0" w:color="auto"/>
            <w:bottom w:val="none" w:sz="0" w:space="0" w:color="auto"/>
            <w:right w:val="none" w:sz="0" w:space="0" w:color="auto"/>
          </w:divBdr>
        </w:div>
        <w:div w:id="2024699702">
          <w:marLeft w:val="0"/>
          <w:marRight w:val="0"/>
          <w:marTop w:val="0"/>
          <w:marBottom w:val="0"/>
          <w:divBdr>
            <w:top w:val="none" w:sz="0" w:space="0" w:color="auto"/>
            <w:left w:val="none" w:sz="0" w:space="0" w:color="auto"/>
            <w:bottom w:val="none" w:sz="0" w:space="0" w:color="auto"/>
            <w:right w:val="none" w:sz="0" w:space="0" w:color="auto"/>
          </w:divBdr>
        </w:div>
        <w:div w:id="2024699703">
          <w:marLeft w:val="0"/>
          <w:marRight w:val="0"/>
          <w:marTop w:val="0"/>
          <w:marBottom w:val="0"/>
          <w:divBdr>
            <w:top w:val="none" w:sz="0" w:space="0" w:color="auto"/>
            <w:left w:val="none" w:sz="0" w:space="0" w:color="auto"/>
            <w:bottom w:val="none" w:sz="0" w:space="0" w:color="auto"/>
            <w:right w:val="none" w:sz="0" w:space="0" w:color="auto"/>
          </w:divBdr>
        </w:div>
        <w:div w:id="2024699704">
          <w:marLeft w:val="0"/>
          <w:marRight w:val="0"/>
          <w:marTop w:val="0"/>
          <w:marBottom w:val="0"/>
          <w:divBdr>
            <w:top w:val="none" w:sz="0" w:space="0" w:color="auto"/>
            <w:left w:val="none" w:sz="0" w:space="0" w:color="auto"/>
            <w:bottom w:val="none" w:sz="0" w:space="0" w:color="auto"/>
            <w:right w:val="none" w:sz="0" w:space="0" w:color="auto"/>
          </w:divBdr>
        </w:div>
        <w:div w:id="2024699705">
          <w:marLeft w:val="0"/>
          <w:marRight w:val="0"/>
          <w:marTop w:val="0"/>
          <w:marBottom w:val="0"/>
          <w:divBdr>
            <w:top w:val="none" w:sz="0" w:space="0" w:color="auto"/>
            <w:left w:val="none" w:sz="0" w:space="0" w:color="auto"/>
            <w:bottom w:val="none" w:sz="0" w:space="0" w:color="auto"/>
            <w:right w:val="none" w:sz="0" w:space="0" w:color="auto"/>
          </w:divBdr>
        </w:div>
        <w:div w:id="2024699706">
          <w:marLeft w:val="0"/>
          <w:marRight w:val="0"/>
          <w:marTop w:val="0"/>
          <w:marBottom w:val="0"/>
          <w:divBdr>
            <w:top w:val="none" w:sz="0" w:space="0" w:color="auto"/>
            <w:left w:val="none" w:sz="0" w:space="0" w:color="auto"/>
            <w:bottom w:val="none" w:sz="0" w:space="0" w:color="auto"/>
            <w:right w:val="none" w:sz="0" w:space="0" w:color="auto"/>
          </w:divBdr>
        </w:div>
        <w:div w:id="2024699707">
          <w:marLeft w:val="0"/>
          <w:marRight w:val="0"/>
          <w:marTop w:val="0"/>
          <w:marBottom w:val="0"/>
          <w:divBdr>
            <w:top w:val="none" w:sz="0" w:space="0" w:color="auto"/>
            <w:left w:val="none" w:sz="0" w:space="0" w:color="auto"/>
            <w:bottom w:val="none" w:sz="0" w:space="0" w:color="auto"/>
            <w:right w:val="none" w:sz="0" w:space="0" w:color="auto"/>
          </w:divBdr>
        </w:div>
        <w:div w:id="2024699708">
          <w:marLeft w:val="0"/>
          <w:marRight w:val="0"/>
          <w:marTop w:val="0"/>
          <w:marBottom w:val="0"/>
          <w:divBdr>
            <w:top w:val="none" w:sz="0" w:space="0" w:color="auto"/>
            <w:left w:val="none" w:sz="0" w:space="0" w:color="auto"/>
            <w:bottom w:val="none" w:sz="0" w:space="0" w:color="auto"/>
            <w:right w:val="none" w:sz="0" w:space="0" w:color="auto"/>
          </w:divBdr>
        </w:div>
        <w:div w:id="2024699709">
          <w:marLeft w:val="0"/>
          <w:marRight w:val="0"/>
          <w:marTop w:val="0"/>
          <w:marBottom w:val="0"/>
          <w:divBdr>
            <w:top w:val="none" w:sz="0" w:space="0" w:color="auto"/>
            <w:left w:val="none" w:sz="0" w:space="0" w:color="auto"/>
            <w:bottom w:val="none" w:sz="0" w:space="0" w:color="auto"/>
            <w:right w:val="none" w:sz="0" w:space="0" w:color="auto"/>
          </w:divBdr>
        </w:div>
        <w:div w:id="2024699710">
          <w:marLeft w:val="0"/>
          <w:marRight w:val="0"/>
          <w:marTop w:val="0"/>
          <w:marBottom w:val="0"/>
          <w:divBdr>
            <w:top w:val="none" w:sz="0" w:space="0" w:color="auto"/>
            <w:left w:val="none" w:sz="0" w:space="0" w:color="auto"/>
            <w:bottom w:val="none" w:sz="0" w:space="0" w:color="auto"/>
            <w:right w:val="none" w:sz="0" w:space="0" w:color="auto"/>
          </w:divBdr>
        </w:div>
        <w:div w:id="2024699711">
          <w:marLeft w:val="0"/>
          <w:marRight w:val="0"/>
          <w:marTop w:val="0"/>
          <w:marBottom w:val="0"/>
          <w:divBdr>
            <w:top w:val="none" w:sz="0" w:space="0" w:color="auto"/>
            <w:left w:val="none" w:sz="0" w:space="0" w:color="auto"/>
            <w:bottom w:val="none" w:sz="0" w:space="0" w:color="auto"/>
            <w:right w:val="none" w:sz="0" w:space="0" w:color="auto"/>
          </w:divBdr>
        </w:div>
        <w:div w:id="2024699712">
          <w:marLeft w:val="0"/>
          <w:marRight w:val="0"/>
          <w:marTop w:val="0"/>
          <w:marBottom w:val="0"/>
          <w:divBdr>
            <w:top w:val="none" w:sz="0" w:space="0" w:color="auto"/>
            <w:left w:val="none" w:sz="0" w:space="0" w:color="auto"/>
            <w:bottom w:val="none" w:sz="0" w:space="0" w:color="auto"/>
            <w:right w:val="none" w:sz="0" w:space="0" w:color="auto"/>
          </w:divBdr>
        </w:div>
        <w:div w:id="2024699713">
          <w:marLeft w:val="0"/>
          <w:marRight w:val="0"/>
          <w:marTop w:val="0"/>
          <w:marBottom w:val="0"/>
          <w:divBdr>
            <w:top w:val="none" w:sz="0" w:space="0" w:color="auto"/>
            <w:left w:val="none" w:sz="0" w:space="0" w:color="auto"/>
            <w:bottom w:val="none" w:sz="0" w:space="0" w:color="auto"/>
            <w:right w:val="none" w:sz="0" w:space="0" w:color="auto"/>
          </w:divBdr>
        </w:div>
        <w:div w:id="2024699715">
          <w:marLeft w:val="0"/>
          <w:marRight w:val="0"/>
          <w:marTop w:val="0"/>
          <w:marBottom w:val="0"/>
          <w:divBdr>
            <w:top w:val="none" w:sz="0" w:space="0" w:color="auto"/>
            <w:left w:val="none" w:sz="0" w:space="0" w:color="auto"/>
            <w:bottom w:val="none" w:sz="0" w:space="0" w:color="auto"/>
            <w:right w:val="none" w:sz="0" w:space="0" w:color="auto"/>
          </w:divBdr>
        </w:div>
        <w:div w:id="2024699717">
          <w:marLeft w:val="0"/>
          <w:marRight w:val="0"/>
          <w:marTop w:val="0"/>
          <w:marBottom w:val="0"/>
          <w:divBdr>
            <w:top w:val="none" w:sz="0" w:space="0" w:color="auto"/>
            <w:left w:val="none" w:sz="0" w:space="0" w:color="auto"/>
            <w:bottom w:val="none" w:sz="0" w:space="0" w:color="auto"/>
            <w:right w:val="none" w:sz="0" w:space="0" w:color="auto"/>
          </w:divBdr>
        </w:div>
        <w:div w:id="2024699718">
          <w:marLeft w:val="0"/>
          <w:marRight w:val="0"/>
          <w:marTop w:val="0"/>
          <w:marBottom w:val="0"/>
          <w:divBdr>
            <w:top w:val="none" w:sz="0" w:space="0" w:color="auto"/>
            <w:left w:val="none" w:sz="0" w:space="0" w:color="auto"/>
            <w:bottom w:val="none" w:sz="0" w:space="0" w:color="auto"/>
            <w:right w:val="none" w:sz="0" w:space="0" w:color="auto"/>
          </w:divBdr>
        </w:div>
        <w:div w:id="2024699719">
          <w:marLeft w:val="0"/>
          <w:marRight w:val="0"/>
          <w:marTop w:val="0"/>
          <w:marBottom w:val="0"/>
          <w:divBdr>
            <w:top w:val="none" w:sz="0" w:space="0" w:color="auto"/>
            <w:left w:val="none" w:sz="0" w:space="0" w:color="auto"/>
            <w:bottom w:val="none" w:sz="0" w:space="0" w:color="auto"/>
            <w:right w:val="none" w:sz="0" w:space="0" w:color="auto"/>
          </w:divBdr>
        </w:div>
        <w:div w:id="2024699720">
          <w:marLeft w:val="0"/>
          <w:marRight w:val="0"/>
          <w:marTop w:val="0"/>
          <w:marBottom w:val="0"/>
          <w:divBdr>
            <w:top w:val="none" w:sz="0" w:space="0" w:color="auto"/>
            <w:left w:val="none" w:sz="0" w:space="0" w:color="auto"/>
            <w:bottom w:val="none" w:sz="0" w:space="0" w:color="auto"/>
            <w:right w:val="none" w:sz="0" w:space="0" w:color="auto"/>
          </w:divBdr>
        </w:div>
        <w:div w:id="2024699721">
          <w:marLeft w:val="0"/>
          <w:marRight w:val="0"/>
          <w:marTop w:val="0"/>
          <w:marBottom w:val="0"/>
          <w:divBdr>
            <w:top w:val="none" w:sz="0" w:space="0" w:color="auto"/>
            <w:left w:val="none" w:sz="0" w:space="0" w:color="auto"/>
            <w:bottom w:val="none" w:sz="0" w:space="0" w:color="auto"/>
            <w:right w:val="none" w:sz="0" w:space="0" w:color="auto"/>
          </w:divBdr>
        </w:div>
        <w:div w:id="2024699722">
          <w:marLeft w:val="0"/>
          <w:marRight w:val="0"/>
          <w:marTop w:val="0"/>
          <w:marBottom w:val="0"/>
          <w:divBdr>
            <w:top w:val="none" w:sz="0" w:space="0" w:color="auto"/>
            <w:left w:val="none" w:sz="0" w:space="0" w:color="auto"/>
            <w:bottom w:val="none" w:sz="0" w:space="0" w:color="auto"/>
            <w:right w:val="none" w:sz="0" w:space="0" w:color="auto"/>
          </w:divBdr>
        </w:div>
        <w:div w:id="2024699723">
          <w:marLeft w:val="0"/>
          <w:marRight w:val="0"/>
          <w:marTop w:val="0"/>
          <w:marBottom w:val="0"/>
          <w:divBdr>
            <w:top w:val="none" w:sz="0" w:space="0" w:color="auto"/>
            <w:left w:val="none" w:sz="0" w:space="0" w:color="auto"/>
            <w:bottom w:val="none" w:sz="0" w:space="0" w:color="auto"/>
            <w:right w:val="none" w:sz="0" w:space="0" w:color="auto"/>
          </w:divBdr>
        </w:div>
        <w:div w:id="2024699724">
          <w:marLeft w:val="0"/>
          <w:marRight w:val="0"/>
          <w:marTop w:val="0"/>
          <w:marBottom w:val="0"/>
          <w:divBdr>
            <w:top w:val="none" w:sz="0" w:space="0" w:color="auto"/>
            <w:left w:val="none" w:sz="0" w:space="0" w:color="auto"/>
            <w:bottom w:val="none" w:sz="0" w:space="0" w:color="auto"/>
            <w:right w:val="none" w:sz="0" w:space="0" w:color="auto"/>
          </w:divBdr>
        </w:div>
        <w:div w:id="2024699725">
          <w:marLeft w:val="0"/>
          <w:marRight w:val="0"/>
          <w:marTop w:val="0"/>
          <w:marBottom w:val="0"/>
          <w:divBdr>
            <w:top w:val="none" w:sz="0" w:space="0" w:color="auto"/>
            <w:left w:val="none" w:sz="0" w:space="0" w:color="auto"/>
            <w:bottom w:val="none" w:sz="0" w:space="0" w:color="auto"/>
            <w:right w:val="none" w:sz="0" w:space="0" w:color="auto"/>
          </w:divBdr>
        </w:div>
        <w:div w:id="2024699727">
          <w:marLeft w:val="0"/>
          <w:marRight w:val="0"/>
          <w:marTop w:val="0"/>
          <w:marBottom w:val="0"/>
          <w:divBdr>
            <w:top w:val="none" w:sz="0" w:space="0" w:color="auto"/>
            <w:left w:val="none" w:sz="0" w:space="0" w:color="auto"/>
            <w:bottom w:val="none" w:sz="0" w:space="0" w:color="auto"/>
            <w:right w:val="none" w:sz="0" w:space="0" w:color="auto"/>
          </w:divBdr>
        </w:div>
        <w:div w:id="2024699728">
          <w:marLeft w:val="0"/>
          <w:marRight w:val="0"/>
          <w:marTop w:val="0"/>
          <w:marBottom w:val="0"/>
          <w:divBdr>
            <w:top w:val="none" w:sz="0" w:space="0" w:color="auto"/>
            <w:left w:val="none" w:sz="0" w:space="0" w:color="auto"/>
            <w:bottom w:val="none" w:sz="0" w:space="0" w:color="auto"/>
            <w:right w:val="none" w:sz="0" w:space="0" w:color="auto"/>
          </w:divBdr>
        </w:div>
        <w:div w:id="2024699729">
          <w:marLeft w:val="0"/>
          <w:marRight w:val="0"/>
          <w:marTop w:val="0"/>
          <w:marBottom w:val="0"/>
          <w:divBdr>
            <w:top w:val="none" w:sz="0" w:space="0" w:color="auto"/>
            <w:left w:val="none" w:sz="0" w:space="0" w:color="auto"/>
            <w:bottom w:val="none" w:sz="0" w:space="0" w:color="auto"/>
            <w:right w:val="none" w:sz="0" w:space="0" w:color="auto"/>
          </w:divBdr>
        </w:div>
        <w:div w:id="2024699730">
          <w:marLeft w:val="0"/>
          <w:marRight w:val="0"/>
          <w:marTop w:val="0"/>
          <w:marBottom w:val="0"/>
          <w:divBdr>
            <w:top w:val="none" w:sz="0" w:space="0" w:color="auto"/>
            <w:left w:val="none" w:sz="0" w:space="0" w:color="auto"/>
            <w:bottom w:val="none" w:sz="0" w:space="0" w:color="auto"/>
            <w:right w:val="none" w:sz="0" w:space="0" w:color="auto"/>
          </w:divBdr>
        </w:div>
        <w:div w:id="2024699731">
          <w:marLeft w:val="0"/>
          <w:marRight w:val="0"/>
          <w:marTop w:val="0"/>
          <w:marBottom w:val="0"/>
          <w:divBdr>
            <w:top w:val="none" w:sz="0" w:space="0" w:color="auto"/>
            <w:left w:val="none" w:sz="0" w:space="0" w:color="auto"/>
            <w:bottom w:val="none" w:sz="0" w:space="0" w:color="auto"/>
            <w:right w:val="none" w:sz="0" w:space="0" w:color="auto"/>
          </w:divBdr>
        </w:div>
        <w:div w:id="2024699732">
          <w:marLeft w:val="0"/>
          <w:marRight w:val="0"/>
          <w:marTop w:val="0"/>
          <w:marBottom w:val="0"/>
          <w:divBdr>
            <w:top w:val="none" w:sz="0" w:space="0" w:color="auto"/>
            <w:left w:val="none" w:sz="0" w:space="0" w:color="auto"/>
            <w:bottom w:val="none" w:sz="0" w:space="0" w:color="auto"/>
            <w:right w:val="none" w:sz="0" w:space="0" w:color="auto"/>
          </w:divBdr>
        </w:div>
        <w:div w:id="2024699733">
          <w:marLeft w:val="0"/>
          <w:marRight w:val="0"/>
          <w:marTop w:val="0"/>
          <w:marBottom w:val="0"/>
          <w:divBdr>
            <w:top w:val="none" w:sz="0" w:space="0" w:color="auto"/>
            <w:left w:val="none" w:sz="0" w:space="0" w:color="auto"/>
            <w:bottom w:val="none" w:sz="0" w:space="0" w:color="auto"/>
            <w:right w:val="none" w:sz="0" w:space="0" w:color="auto"/>
          </w:divBdr>
        </w:div>
        <w:div w:id="2024699734">
          <w:marLeft w:val="0"/>
          <w:marRight w:val="0"/>
          <w:marTop w:val="0"/>
          <w:marBottom w:val="0"/>
          <w:divBdr>
            <w:top w:val="none" w:sz="0" w:space="0" w:color="auto"/>
            <w:left w:val="none" w:sz="0" w:space="0" w:color="auto"/>
            <w:bottom w:val="none" w:sz="0" w:space="0" w:color="auto"/>
            <w:right w:val="none" w:sz="0" w:space="0" w:color="auto"/>
          </w:divBdr>
        </w:div>
        <w:div w:id="2024699735">
          <w:marLeft w:val="0"/>
          <w:marRight w:val="0"/>
          <w:marTop w:val="0"/>
          <w:marBottom w:val="0"/>
          <w:divBdr>
            <w:top w:val="none" w:sz="0" w:space="0" w:color="auto"/>
            <w:left w:val="none" w:sz="0" w:space="0" w:color="auto"/>
            <w:bottom w:val="none" w:sz="0" w:space="0" w:color="auto"/>
            <w:right w:val="none" w:sz="0" w:space="0" w:color="auto"/>
          </w:divBdr>
        </w:div>
        <w:div w:id="2024699736">
          <w:marLeft w:val="0"/>
          <w:marRight w:val="0"/>
          <w:marTop w:val="0"/>
          <w:marBottom w:val="0"/>
          <w:divBdr>
            <w:top w:val="none" w:sz="0" w:space="0" w:color="auto"/>
            <w:left w:val="none" w:sz="0" w:space="0" w:color="auto"/>
            <w:bottom w:val="none" w:sz="0" w:space="0" w:color="auto"/>
            <w:right w:val="none" w:sz="0" w:space="0" w:color="auto"/>
          </w:divBdr>
        </w:div>
        <w:div w:id="2024699737">
          <w:marLeft w:val="0"/>
          <w:marRight w:val="0"/>
          <w:marTop w:val="0"/>
          <w:marBottom w:val="0"/>
          <w:divBdr>
            <w:top w:val="none" w:sz="0" w:space="0" w:color="auto"/>
            <w:left w:val="none" w:sz="0" w:space="0" w:color="auto"/>
            <w:bottom w:val="none" w:sz="0" w:space="0" w:color="auto"/>
            <w:right w:val="none" w:sz="0" w:space="0" w:color="auto"/>
          </w:divBdr>
        </w:div>
        <w:div w:id="2024699738">
          <w:marLeft w:val="0"/>
          <w:marRight w:val="0"/>
          <w:marTop w:val="0"/>
          <w:marBottom w:val="0"/>
          <w:divBdr>
            <w:top w:val="none" w:sz="0" w:space="0" w:color="auto"/>
            <w:left w:val="none" w:sz="0" w:space="0" w:color="auto"/>
            <w:bottom w:val="none" w:sz="0" w:space="0" w:color="auto"/>
            <w:right w:val="none" w:sz="0" w:space="0" w:color="auto"/>
          </w:divBdr>
        </w:div>
        <w:div w:id="2024699739">
          <w:marLeft w:val="0"/>
          <w:marRight w:val="0"/>
          <w:marTop w:val="0"/>
          <w:marBottom w:val="0"/>
          <w:divBdr>
            <w:top w:val="none" w:sz="0" w:space="0" w:color="auto"/>
            <w:left w:val="none" w:sz="0" w:space="0" w:color="auto"/>
            <w:bottom w:val="none" w:sz="0" w:space="0" w:color="auto"/>
            <w:right w:val="none" w:sz="0" w:space="0" w:color="auto"/>
          </w:divBdr>
        </w:div>
        <w:div w:id="2024699740">
          <w:marLeft w:val="0"/>
          <w:marRight w:val="0"/>
          <w:marTop w:val="0"/>
          <w:marBottom w:val="0"/>
          <w:divBdr>
            <w:top w:val="none" w:sz="0" w:space="0" w:color="auto"/>
            <w:left w:val="none" w:sz="0" w:space="0" w:color="auto"/>
            <w:bottom w:val="none" w:sz="0" w:space="0" w:color="auto"/>
            <w:right w:val="none" w:sz="0" w:space="0" w:color="auto"/>
          </w:divBdr>
        </w:div>
        <w:div w:id="2024699741">
          <w:marLeft w:val="0"/>
          <w:marRight w:val="0"/>
          <w:marTop w:val="0"/>
          <w:marBottom w:val="0"/>
          <w:divBdr>
            <w:top w:val="none" w:sz="0" w:space="0" w:color="auto"/>
            <w:left w:val="none" w:sz="0" w:space="0" w:color="auto"/>
            <w:bottom w:val="none" w:sz="0" w:space="0" w:color="auto"/>
            <w:right w:val="none" w:sz="0" w:space="0" w:color="auto"/>
          </w:divBdr>
        </w:div>
        <w:div w:id="2024699742">
          <w:marLeft w:val="0"/>
          <w:marRight w:val="0"/>
          <w:marTop w:val="0"/>
          <w:marBottom w:val="0"/>
          <w:divBdr>
            <w:top w:val="none" w:sz="0" w:space="0" w:color="auto"/>
            <w:left w:val="none" w:sz="0" w:space="0" w:color="auto"/>
            <w:bottom w:val="none" w:sz="0" w:space="0" w:color="auto"/>
            <w:right w:val="none" w:sz="0" w:space="0" w:color="auto"/>
          </w:divBdr>
        </w:div>
        <w:div w:id="2024699743">
          <w:marLeft w:val="0"/>
          <w:marRight w:val="0"/>
          <w:marTop w:val="0"/>
          <w:marBottom w:val="0"/>
          <w:divBdr>
            <w:top w:val="none" w:sz="0" w:space="0" w:color="auto"/>
            <w:left w:val="none" w:sz="0" w:space="0" w:color="auto"/>
            <w:bottom w:val="none" w:sz="0" w:space="0" w:color="auto"/>
            <w:right w:val="none" w:sz="0" w:space="0" w:color="auto"/>
          </w:divBdr>
        </w:div>
        <w:div w:id="2024699744">
          <w:marLeft w:val="0"/>
          <w:marRight w:val="0"/>
          <w:marTop w:val="0"/>
          <w:marBottom w:val="0"/>
          <w:divBdr>
            <w:top w:val="none" w:sz="0" w:space="0" w:color="auto"/>
            <w:left w:val="none" w:sz="0" w:space="0" w:color="auto"/>
            <w:bottom w:val="none" w:sz="0" w:space="0" w:color="auto"/>
            <w:right w:val="none" w:sz="0" w:space="0" w:color="auto"/>
          </w:divBdr>
        </w:div>
        <w:div w:id="2024699745">
          <w:marLeft w:val="0"/>
          <w:marRight w:val="0"/>
          <w:marTop w:val="0"/>
          <w:marBottom w:val="0"/>
          <w:divBdr>
            <w:top w:val="none" w:sz="0" w:space="0" w:color="auto"/>
            <w:left w:val="none" w:sz="0" w:space="0" w:color="auto"/>
            <w:bottom w:val="none" w:sz="0" w:space="0" w:color="auto"/>
            <w:right w:val="none" w:sz="0" w:space="0" w:color="auto"/>
          </w:divBdr>
        </w:div>
        <w:div w:id="2024699746">
          <w:marLeft w:val="0"/>
          <w:marRight w:val="0"/>
          <w:marTop w:val="0"/>
          <w:marBottom w:val="0"/>
          <w:divBdr>
            <w:top w:val="none" w:sz="0" w:space="0" w:color="auto"/>
            <w:left w:val="none" w:sz="0" w:space="0" w:color="auto"/>
            <w:bottom w:val="none" w:sz="0" w:space="0" w:color="auto"/>
            <w:right w:val="none" w:sz="0" w:space="0" w:color="auto"/>
          </w:divBdr>
        </w:div>
        <w:div w:id="2024699747">
          <w:marLeft w:val="0"/>
          <w:marRight w:val="0"/>
          <w:marTop w:val="0"/>
          <w:marBottom w:val="0"/>
          <w:divBdr>
            <w:top w:val="none" w:sz="0" w:space="0" w:color="auto"/>
            <w:left w:val="none" w:sz="0" w:space="0" w:color="auto"/>
            <w:bottom w:val="none" w:sz="0" w:space="0" w:color="auto"/>
            <w:right w:val="none" w:sz="0" w:space="0" w:color="auto"/>
          </w:divBdr>
        </w:div>
        <w:div w:id="2024699748">
          <w:marLeft w:val="0"/>
          <w:marRight w:val="0"/>
          <w:marTop w:val="0"/>
          <w:marBottom w:val="0"/>
          <w:divBdr>
            <w:top w:val="none" w:sz="0" w:space="0" w:color="auto"/>
            <w:left w:val="none" w:sz="0" w:space="0" w:color="auto"/>
            <w:bottom w:val="none" w:sz="0" w:space="0" w:color="auto"/>
            <w:right w:val="none" w:sz="0" w:space="0" w:color="auto"/>
          </w:divBdr>
        </w:div>
        <w:div w:id="2024699749">
          <w:marLeft w:val="0"/>
          <w:marRight w:val="0"/>
          <w:marTop w:val="0"/>
          <w:marBottom w:val="0"/>
          <w:divBdr>
            <w:top w:val="none" w:sz="0" w:space="0" w:color="auto"/>
            <w:left w:val="none" w:sz="0" w:space="0" w:color="auto"/>
            <w:bottom w:val="none" w:sz="0" w:space="0" w:color="auto"/>
            <w:right w:val="none" w:sz="0" w:space="0" w:color="auto"/>
          </w:divBdr>
        </w:div>
        <w:div w:id="2024699750">
          <w:marLeft w:val="0"/>
          <w:marRight w:val="0"/>
          <w:marTop w:val="0"/>
          <w:marBottom w:val="0"/>
          <w:divBdr>
            <w:top w:val="none" w:sz="0" w:space="0" w:color="auto"/>
            <w:left w:val="none" w:sz="0" w:space="0" w:color="auto"/>
            <w:bottom w:val="none" w:sz="0" w:space="0" w:color="auto"/>
            <w:right w:val="none" w:sz="0" w:space="0" w:color="auto"/>
          </w:divBdr>
        </w:div>
        <w:div w:id="2024699751">
          <w:marLeft w:val="0"/>
          <w:marRight w:val="0"/>
          <w:marTop w:val="0"/>
          <w:marBottom w:val="0"/>
          <w:divBdr>
            <w:top w:val="none" w:sz="0" w:space="0" w:color="auto"/>
            <w:left w:val="none" w:sz="0" w:space="0" w:color="auto"/>
            <w:bottom w:val="none" w:sz="0" w:space="0" w:color="auto"/>
            <w:right w:val="none" w:sz="0" w:space="0" w:color="auto"/>
          </w:divBdr>
        </w:div>
        <w:div w:id="2024699752">
          <w:marLeft w:val="0"/>
          <w:marRight w:val="0"/>
          <w:marTop w:val="0"/>
          <w:marBottom w:val="0"/>
          <w:divBdr>
            <w:top w:val="none" w:sz="0" w:space="0" w:color="auto"/>
            <w:left w:val="none" w:sz="0" w:space="0" w:color="auto"/>
            <w:bottom w:val="none" w:sz="0" w:space="0" w:color="auto"/>
            <w:right w:val="none" w:sz="0" w:space="0" w:color="auto"/>
          </w:divBdr>
        </w:div>
        <w:div w:id="2024699753">
          <w:marLeft w:val="0"/>
          <w:marRight w:val="0"/>
          <w:marTop w:val="0"/>
          <w:marBottom w:val="0"/>
          <w:divBdr>
            <w:top w:val="none" w:sz="0" w:space="0" w:color="auto"/>
            <w:left w:val="none" w:sz="0" w:space="0" w:color="auto"/>
            <w:bottom w:val="none" w:sz="0" w:space="0" w:color="auto"/>
            <w:right w:val="none" w:sz="0" w:space="0" w:color="auto"/>
          </w:divBdr>
        </w:div>
        <w:div w:id="2024699754">
          <w:marLeft w:val="0"/>
          <w:marRight w:val="0"/>
          <w:marTop w:val="0"/>
          <w:marBottom w:val="0"/>
          <w:divBdr>
            <w:top w:val="none" w:sz="0" w:space="0" w:color="auto"/>
            <w:left w:val="none" w:sz="0" w:space="0" w:color="auto"/>
            <w:bottom w:val="none" w:sz="0" w:space="0" w:color="auto"/>
            <w:right w:val="none" w:sz="0" w:space="0" w:color="auto"/>
          </w:divBdr>
        </w:div>
        <w:div w:id="2024699755">
          <w:marLeft w:val="0"/>
          <w:marRight w:val="0"/>
          <w:marTop w:val="0"/>
          <w:marBottom w:val="0"/>
          <w:divBdr>
            <w:top w:val="none" w:sz="0" w:space="0" w:color="auto"/>
            <w:left w:val="none" w:sz="0" w:space="0" w:color="auto"/>
            <w:bottom w:val="none" w:sz="0" w:space="0" w:color="auto"/>
            <w:right w:val="none" w:sz="0" w:space="0" w:color="auto"/>
          </w:divBdr>
        </w:div>
        <w:div w:id="2024699756">
          <w:marLeft w:val="0"/>
          <w:marRight w:val="0"/>
          <w:marTop w:val="0"/>
          <w:marBottom w:val="0"/>
          <w:divBdr>
            <w:top w:val="none" w:sz="0" w:space="0" w:color="auto"/>
            <w:left w:val="none" w:sz="0" w:space="0" w:color="auto"/>
            <w:bottom w:val="none" w:sz="0" w:space="0" w:color="auto"/>
            <w:right w:val="none" w:sz="0" w:space="0" w:color="auto"/>
          </w:divBdr>
        </w:div>
        <w:div w:id="2024699757">
          <w:marLeft w:val="0"/>
          <w:marRight w:val="0"/>
          <w:marTop w:val="0"/>
          <w:marBottom w:val="0"/>
          <w:divBdr>
            <w:top w:val="none" w:sz="0" w:space="0" w:color="auto"/>
            <w:left w:val="none" w:sz="0" w:space="0" w:color="auto"/>
            <w:bottom w:val="none" w:sz="0" w:space="0" w:color="auto"/>
            <w:right w:val="none" w:sz="0" w:space="0" w:color="auto"/>
          </w:divBdr>
        </w:div>
        <w:div w:id="2024699758">
          <w:marLeft w:val="0"/>
          <w:marRight w:val="0"/>
          <w:marTop w:val="0"/>
          <w:marBottom w:val="0"/>
          <w:divBdr>
            <w:top w:val="none" w:sz="0" w:space="0" w:color="auto"/>
            <w:left w:val="none" w:sz="0" w:space="0" w:color="auto"/>
            <w:bottom w:val="none" w:sz="0" w:space="0" w:color="auto"/>
            <w:right w:val="none" w:sz="0" w:space="0" w:color="auto"/>
          </w:divBdr>
        </w:div>
        <w:div w:id="2024699759">
          <w:marLeft w:val="0"/>
          <w:marRight w:val="0"/>
          <w:marTop w:val="0"/>
          <w:marBottom w:val="0"/>
          <w:divBdr>
            <w:top w:val="none" w:sz="0" w:space="0" w:color="auto"/>
            <w:left w:val="none" w:sz="0" w:space="0" w:color="auto"/>
            <w:bottom w:val="none" w:sz="0" w:space="0" w:color="auto"/>
            <w:right w:val="none" w:sz="0" w:space="0" w:color="auto"/>
          </w:divBdr>
        </w:div>
        <w:div w:id="2024699760">
          <w:marLeft w:val="0"/>
          <w:marRight w:val="0"/>
          <w:marTop w:val="0"/>
          <w:marBottom w:val="0"/>
          <w:divBdr>
            <w:top w:val="none" w:sz="0" w:space="0" w:color="auto"/>
            <w:left w:val="none" w:sz="0" w:space="0" w:color="auto"/>
            <w:bottom w:val="none" w:sz="0" w:space="0" w:color="auto"/>
            <w:right w:val="none" w:sz="0" w:space="0" w:color="auto"/>
          </w:divBdr>
        </w:div>
        <w:div w:id="2024699761">
          <w:marLeft w:val="0"/>
          <w:marRight w:val="0"/>
          <w:marTop w:val="0"/>
          <w:marBottom w:val="0"/>
          <w:divBdr>
            <w:top w:val="none" w:sz="0" w:space="0" w:color="auto"/>
            <w:left w:val="none" w:sz="0" w:space="0" w:color="auto"/>
            <w:bottom w:val="none" w:sz="0" w:space="0" w:color="auto"/>
            <w:right w:val="none" w:sz="0" w:space="0" w:color="auto"/>
          </w:divBdr>
        </w:div>
        <w:div w:id="2024699762">
          <w:marLeft w:val="0"/>
          <w:marRight w:val="0"/>
          <w:marTop w:val="0"/>
          <w:marBottom w:val="0"/>
          <w:divBdr>
            <w:top w:val="none" w:sz="0" w:space="0" w:color="auto"/>
            <w:left w:val="none" w:sz="0" w:space="0" w:color="auto"/>
            <w:bottom w:val="none" w:sz="0" w:space="0" w:color="auto"/>
            <w:right w:val="none" w:sz="0" w:space="0" w:color="auto"/>
          </w:divBdr>
        </w:div>
        <w:div w:id="2024699763">
          <w:marLeft w:val="0"/>
          <w:marRight w:val="0"/>
          <w:marTop w:val="0"/>
          <w:marBottom w:val="0"/>
          <w:divBdr>
            <w:top w:val="none" w:sz="0" w:space="0" w:color="auto"/>
            <w:left w:val="none" w:sz="0" w:space="0" w:color="auto"/>
            <w:bottom w:val="none" w:sz="0" w:space="0" w:color="auto"/>
            <w:right w:val="none" w:sz="0" w:space="0" w:color="auto"/>
          </w:divBdr>
        </w:div>
        <w:div w:id="2024699764">
          <w:marLeft w:val="0"/>
          <w:marRight w:val="0"/>
          <w:marTop w:val="0"/>
          <w:marBottom w:val="0"/>
          <w:divBdr>
            <w:top w:val="none" w:sz="0" w:space="0" w:color="auto"/>
            <w:left w:val="none" w:sz="0" w:space="0" w:color="auto"/>
            <w:bottom w:val="none" w:sz="0" w:space="0" w:color="auto"/>
            <w:right w:val="none" w:sz="0" w:space="0" w:color="auto"/>
          </w:divBdr>
        </w:div>
        <w:div w:id="2024699765">
          <w:marLeft w:val="0"/>
          <w:marRight w:val="0"/>
          <w:marTop w:val="0"/>
          <w:marBottom w:val="0"/>
          <w:divBdr>
            <w:top w:val="none" w:sz="0" w:space="0" w:color="auto"/>
            <w:left w:val="none" w:sz="0" w:space="0" w:color="auto"/>
            <w:bottom w:val="none" w:sz="0" w:space="0" w:color="auto"/>
            <w:right w:val="none" w:sz="0" w:space="0" w:color="auto"/>
          </w:divBdr>
        </w:div>
        <w:div w:id="2024699766">
          <w:marLeft w:val="0"/>
          <w:marRight w:val="0"/>
          <w:marTop w:val="0"/>
          <w:marBottom w:val="0"/>
          <w:divBdr>
            <w:top w:val="none" w:sz="0" w:space="0" w:color="auto"/>
            <w:left w:val="none" w:sz="0" w:space="0" w:color="auto"/>
            <w:bottom w:val="none" w:sz="0" w:space="0" w:color="auto"/>
            <w:right w:val="none" w:sz="0" w:space="0" w:color="auto"/>
          </w:divBdr>
        </w:div>
        <w:div w:id="2024699767">
          <w:marLeft w:val="0"/>
          <w:marRight w:val="0"/>
          <w:marTop w:val="0"/>
          <w:marBottom w:val="0"/>
          <w:divBdr>
            <w:top w:val="none" w:sz="0" w:space="0" w:color="auto"/>
            <w:left w:val="none" w:sz="0" w:space="0" w:color="auto"/>
            <w:bottom w:val="none" w:sz="0" w:space="0" w:color="auto"/>
            <w:right w:val="none" w:sz="0" w:space="0" w:color="auto"/>
          </w:divBdr>
        </w:div>
        <w:div w:id="2024699768">
          <w:marLeft w:val="0"/>
          <w:marRight w:val="0"/>
          <w:marTop w:val="0"/>
          <w:marBottom w:val="0"/>
          <w:divBdr>
            <w:top w:val="none" w:sz="0" w:space="0" w:color="auto"/>
            <w:left w:val="none" w:sz="0" w:space="0" w:color="auto"/>
            <w:bottom w:val="none" w:sz="0" w:space="0" w:color="auto"/>
            <w:right w:val="none" w:sz="0" w:space="0" w:color="auto"/>
          </w:divBdr>
        </w:div>
        <w:div w:id="2024699769">
          <w:marLeft w:val="0"/>
          <w:marRight w:val="0"/>
          <w:marTop w:val="0"/>
          <w:marBottom w:val="0"/>
          <w:divBdr>
            <w:top w:val="none" w:sz="0" w:space="0" w:color="auto"/>
            <w:left w:val="none" w:sz="0" w:space="0" w:color="auto"/>
            <w:bottom w:val="none" w:sz="0" w:space="0" w:color="auto"/>
            <w:right w:val="none" w:sz="0" w:space="0" w:color="auto"/>
          </w:divBdr>
        </w:div>
        <w:div w:id="2024699771">
          <w:marLeft w:val="0"/>
          <w:marRight w:val="0"/>
          <w:marTop w:val="0"/>
          <w:marBottom w:val="0"/>
          <w:divBdr>
            <w:top w:val="none" w:sz="0" w:space="0" w:color="auto"/>
            <w:left w:val="none" w:sz="0" w:space="0" w:color="auto"/>
            <w:bottom w:val="none" w:sz="0" w:space="0" w:color="auto"/>
            <w:right w:val="none" w:sz="0" w:space="0" w:color="auto"/>
          </w:divBdr>
        </w:div>
        <w:div w:id="2024699772">
          <w:marLeft w:val="0"/>
          <w:marRight w:val="0"/>
          <w:marTop w:val="0"/>
          <w:marBottom w:val="0"/>
          <w:divBdr>
            <w:top w:val="none" w:sz="0" w:space="0" w:color="auto"/>
            <w:left w:val="none" w:sz="0" w:space="0" w:color="auto"/>
            <w:bottom w:val="none" w:sz="0" w:space="0" w:color="auto"/>
            <w:right w:val="none" w:sz="0" w:space="0" w:color="auto"/>
          </w:divBdr>
        </w:div>
        <w:div w:id="2024699773">
          <w:marLeft w:val="0"/>
          <w:marRight w:val="0"/>
          <w:marTop w:val="0"/>
          <w:marBottom w:val="0"/>
          <w:divBdr>
            <w:top w:val="none" w:sz="0" w:space="0" w:color="auto"/>
            <w:left w:val="none" w:sz="0" w:space="0" w:color="auto"/>
            <w:bottom w:val="none" w:sz="0" w:space="0" w:color="auto"/>
            <w:right w:val="none" w:sz="0" w:space="0" w:color="auto"/>
          </w:divBdr>
        </w:div>
        <w:div w:id="2024699774">
          <w:marLeft w:val="0"/>
          <w:marRight w:val="0"/>
          <w:marTop w:val="0"/>
          <w:marBottom w:val="0"/>
          <w:divBdr>
            <w:top w:val="none" w:sz="0" w:space="0" w:color="auto"/>
            <w:left w:val="none" w:sz="0" w:space="0" w:color="auto"/>
            <w:bottom w:val="none" w:sz="0" w:space="0" w:color="auto"/>
            <w:right w:val="none" w:sz="0" w:space="0" w:color="auto"/>
          </w:divBdr>
        </w:div>
        <w:div w:id="2024699775">
          <w:marLeft w:val="0"/>
          <w:marRight w:val="0"/>
          <w:marTop w:val="0"/>
          <w:marBottom w:val="0"/>
          <w:divBdr>
            <w:top w:val="none" w:sz="0" w:space="0" w:color="auto"/>
            <w:left w:val="none" w:sz="0" w:space="0" w:color="auto"/>
            <w:bottom w:val="none" w:sz="0" w:space="0" w:color="auto"/>
            <w:right w:val="none" w:sz="0" w:space="0" w:color="auto"/>
          </w:divBdr>
        </w:div>
        <w:div w:id="2024699776">
          <w:marLeft w:val="0"/>
          <w:marRight w:val="0"/>
          <w:marTop w:val="0"/>
          <w:marBottom w:val="0"/>
          <w:divBdr>
            <w:top w:val="none" w:sz="0" w:space="0" w:color="auto"/>
            <w:left w:val="none" w:sz="0" w:space="0" w:color="auto"/>
            <w:bottom w:val="none" w:sz="0" w:space="0" w:color="auto"/>
            <w:right w:val="none" w:sz="0" w:space="0" w:color="auto"/>
          </w:divBdr>
        </w:div>
        <w:div w:id="2024699777">
          <w:marLeft w:val="0"/>
          <w:marRight w:val="0"/>
          <w:marTop w:val="0"/>
          <w:marBottom w:val="0"/>
          <w:divBdr>
            <w:top w:val="none" w:sz="0" w:space="0" w:color="auto"/>
            <w:left w:val="none" w:sz="0" w:space="0" w:color="auto"/>
            <w:bottom w:val="none" w:sz="0" w:space="0" w:color="auto"/>
            <w:right w:val="none" w:sz="0" w:space="0" w:color="auto"/>
          </w:divBdr>
        </w:div>
        <w:div w:id="2024699778">
          <w:marLeft w:val="0"/>
          <w:marRight w:val="0"/>
          <w:marTop w:val="0"/>
          <w:marBottom w:val="0"/>
          <w:divBdr>
            <w:top w:val="none" w:sz="0" w:space="0" w:color="auto"/>
            <w:left w:val="none" w:sz="0" w:space="0" w:color="auto"/>
            <w:bottom w:val="none" w:sz="0" w:space="0" w:color="auto"/>
            <w:right w:val="none" w:sz="0" w:space="0" w:color="auto"/>
          </w:divBdr>
        </w:div>
        <w:div w:id="2024699779">
          <w:marLeft w:val="0"/>
          <w:marRight w:val="0"/>
          <w:marTop w:val="0"/>
          <w:marBottom w:val="0"/>
          <w:divBdr>
            <w:top w:val="none" w:sz="0" w:space="0" w:color="auto"/>
            <w:left w:val="none" w:sz="0" w:space="0" w:color="auto"/>
            <w:bottom w:val="none" w:sz="0" w:space="0" w:color="auto"/>
            <w:right w:val="none" w:sz="0" w:space="0" w:color="auto"/>
          </w:divBdr>
        </w:div>
        <w:div w:id="2024699780">
          <w:marLeft w:val="0"/>
          <w:marRight w:val="0"/>
          <w:marTop w:val="0"/>
          <w:marBottom w:val="0"/>
          <w:divBdr>
            <w:top w:val="none" w:sz="0" w:space="0" w:color="auto"/>
            <w:left w:val="none" w:sz="0" w:space="0" w:color="auto"/>
            <w:bottom w:val="none" w:sz="0" w:space="0" w:color="auto"/>
            <w:right w:val="none" w:sz="0" w:space="0" w:color="auto"/>
          </w:divBdr>
        </w:div>
        <w:div w:id="2024699781">
          <w:marLeft w:val="0"/>
          <w:marRight w:val="0"/>
          <w:marTop w:val="0"/>
          <w:marBottom w:val="0"/>
          <w:divBdr>
            <w:top w:val="none" w:sz="0" w:space="0" w:color="auto"/>
            <w:left w:val="none" w:sz="0" w:space="0" w:color="auto"/>
            <w:bottom w:val="none" w:sz="0" w:space="0" w:color="auto"/>
            <w:right w:val="none" w:sz="0" w:space="0" w:color="auto"/>
          </w:divBdr>
        </w:div>
        <w:div w:id="2024699782">
          <w:marLeft w:val="0"/>
          <w:marRight w:val="0"/>
          <w:marTop w:val="0"/>
          <w:marBottom w:val="0"/>
          <w:divBdr>
            <w:top w:val="none" w:sz="0" w:space="0" w:color="auto"/>
            <w:left w:val="none" w:sz="0" w:space="0" w:color="auto"/>
            <w:bottom w:val="none" w:sz="0" w:space="0" w:color="auto"/>
            <w:right w:val="none" w:sz="0" w:space="0" w:color="auto"/>
          </w:divBdr>
        </w:div>
        <w:div w:id="2024699783">
          <w:marLeft w:val="0"/>
          <w:marRight w:val="0"/>
          <w:marTop w:val="0"/>
          <w:marBottom w:val="0"/>
          <w:divBdr>
            <w:top w:val="none" w:sz="0" w:space="0" w:color="auto"/>
            <w:left w:val="none" w:sz="0" w:space="0" w:color="auto"/>
            <w:bottom w:val="none" w:sz="0" w:space="0" w:color="auto"/>
            <w:right w:val="none" w:sz="0" w:space="0" w:color="auto"/>
          </w:divBdr>
        </w:div>
        <w:div w:id="2024699784">
          <w:marLeft w:val="0"/>
          <w:marRight w:val="0"/>
          <w:marTop w:val="0"/>
          <w:marBottom w:val="0"/>
          <w:divBdr>
            <w:top w:val="none" w:sz="0" w:space="0" w:color="auto"/>
            <w:left w:val="none" w:sz="0" w:space="0" w:color="auto"/>
            <w:bottom w:val="none" w:sz="0" w:space="0" w:color="auto"/>
            <w:right w:val="none" w:sz="0" w:space="0" w:color="auto"/>
          </w:divBdr>
        </w:div>
        <w:div w:id="2024699785">
          <w:marLeft w:val="0"/>
          <w:marRight w:val="0"/>
          <w:marTop w:val="0"/>
          <w:marBottom w:val="0"/>
          <w:divBdr>
            <w:top w:val="none" w:sz="0" w:space="0" w:color="auto"/>
            <w:left w:val="none" w:sz="0" w:space="0" w:color="auto"/>
            <w:bottom w:val="none" w:sz="0" w:space="0" w:color="auto"/>
            <w:right w:val="none" w:sz="0" w:space="0" w:color="auto"/>
          </w:divBdr>
        </w:div>
        <w:div w:id="2024699786">
          <w:marLeft w:val="0"/>
          <w:marRight w:val="0"/>
          <w:marTop w:val="0"/>
          <w:marBottom w:val="0"/>
          <w:divBdr>
            <w:top w:val="none" w:sz="0" w:space="0" w:color="auto"/>
            <w:left w:val="none" w:sz="0" w:space="0" w:color="auto"/>
            <w:bottom w:val="none" w:sz="0" w:space="0" w:color="auto"/>
            <w:right w:val="none" w:sz="0" w:space="0" w:color="auto"/>
          </w:divBdr>
        </w:div>
        <w:div w:id="2024699787">
          <w:marLeft w:val="0"/>
          <w:marRight w:val="0"/>
          <w:marTop w:val="0"/>
          <w:marBottom w:val="0"/>
          <w:divBdr>
            <w:top w:val="none" w:sz="0" w:space="0" w:color="auto"/>
            <w:left w:val="none" w:sz="0" w:space="0" w:color="auto"/>
            <w:bottom w:val="none" w:sz="0" w:space="0" w:color="auto"/>
            <w:right w:val="none" w:sz="0" w:space="0" w:color="auto"/>
          </w:divBdr>
        </w:div>
        <w:div w:id="2024699788">
          <w:marLeft w:val="0"/>
          <w:marRight w:val="0"/>
          <w:marTop w:val="0"/>
          <w:marBottom w:val="0"/>
          <w:divBdr>
            <w:top w:val="none" w:sz="0" w:space="0" w:color="auto"/>
            <w:left w:val="none" w:sz="0" w:space="0" w:color="auto"/>
            <w:bottom w:val="none" w:sz="0" w:space="0" w:color="auto"/>
            <w:right w:val="none" w:sz="0" w:space="0" w:color="auto"/>
          </w:divBdr>
        </w:div>
        <w:div w:id="2024699789">
          <w:marLeft w:val="0"/>
          <w:marRight w:val="0"/>
          <w:marTop w:val="0"/>
          <w:marBottom w:val="0"/>
          <w:divBdr>
            <w:top w:val="none" w:sz="0" w:space="0" w:color="auto"/>
            <w:left w:val="none" w:sz="0" w:space="0" w:color="auto"/>
            <w:bottom w:val="none" w:sz="0" w:space="0" w:color="auto"/>
            <w:right w:val="none" w:sz="0" w:space="0" w:color="auto"/>
          </w:divBdr>
        </w:div>
        <w:div w:id="2024699790">
          <w:marLeft w:val="0"/>
          <w:marRight w:val="0"/>
          <w:marTop w:val="0"/>
          <w:marBottom w:val="0"/>
          <w:divBdr>
            <w:top w:val="none" w:sz="0" w:space="0" w:color="auto"/>
            <w:left w:val="none" w:sz="0" w:space="0" w:color="auto"/>
            <w:bottom w:val="none" w:sz="0" w:space="0" w:color="auto"/>
            <w:right w:val="none" w:sz="0" w:space="0" w:color="auto"/>
          </w:divBdr>
        </w:div>
        <w:div w:id="2024699791">
          <w:marLeft w:val="0"/>
          <w:marRight w:val="0"/>
          <w:marTop w:val="0"/>
          <w:marBottom w:val="0"/>
          <w:divBdr>
            <w:top w:val="none" w:sz="0" w:space="0" w:color="auto"/>
            <w:left w:val="none" w:sz="0" w:space="0" w:color="auto"/>
            <w:bottom w:val="none" w:sz="0" w:space="0" w:color="auto"/>
            <w:right w:val="none" w:sz="0" w:space="0" w:color="auto"/>
          </w:divBdr>
        </w:div>
        <w:div w:id="2024699792">
          <w:marLeft w:val="0"/>
          <w:marRight w:val="0"/>
          <w:marTop w:val="0"/>
          <w:marBottom w:val="0"/>
          <w:divBdr>
            <w:top w:val="none" w:sz="0" w:space="0" w:color="auto"/>
            <w:left w:val="none" w:sz="0" w:space="0" w:color="auto"/>
            <w:bottom w:val="none" w:sz="0" w:space="0" w:color="auto"/>
            <w:right w:val="none" w:sz="0" w:space="0" w:color="auto"/>
          </w:divBdr>
        </w:div>
        <w:div w:id="2024699793">
          <w:marLeft w:val="0"/>
          <w:marRight w:val="0"/>
          <w:marTop w:val="0"/>
          <w:marBottom w:val="0"/>
          <w:divBdr>
            <w:top w:val="none" w:sz="0" w:space="0" w:color="auto"/>
            <w:left w:val="none" w:sz="0" w:space="0" w:color="auto"/>
            <w:bottom w:val="none" w:sz="0" w:space="0" w:color="auto"/>
            <w:right w:val="none" w:sz="0" w:space="0" w:color="auto"/>
          </w:divBdr>
        </w:div>
        <w:div w:id="2024699794">
          <w:marLeft w:val="0"/>
          <w:marRight w:val="0"/>
          <w:marTop w:val="0"/>
          <w:marBottom w:val="0"/>
          <w:divBdr>
            <w:top w:val="none" w:sz="0" w:space="0" w:color="auto"/>
            <w:left w:val="none" w:sz="0" w:space="0" w:color="auto"/>
            <w:bottom w:val="none" w:sz="0" w:space="0" w:color="auto"/>
            <w:right w:val="none" w:sz="0" w:space="0" w:color="auto"/>
          </w:divBdr>
        </w:div>
        <w:div w:id="2024699795">
          <w:marLeft w:val="0"/>
          <w:marRight w:val="0"/>
          <w:marTop w:val="0"/>
          <w:marBottom w:val="0"/>
          <w:divBdr>
            <w:top w:val="none" w:sz="0" w:space="0" w:color="auto"/>
            <w:left w:val="none" w:sz="0" w:space="0" w:color="auto"/>
            <w:bottom w:val="none" w:sz="0" w:space="0" w:color="auto"/>
            <w:right w:val="none" w:sz="0" w:space="0" w:color="auto"/>
          </w:divBdr>
        </w:div>
        <w:div w:id="2024699796">
          <w:marLeft w:val="0"/>
          <w:marRight w:val="0"/>
          <w:marTop w:val="0"/>
          <w:marBottom w:val="0"/>
          <w:divBdr>
            <w:top w:val="none" w:sz="0" w:space="0" w:color="auto"/>
            <w:left w:val="none" w:sz="0" w:space="0" w:color="auto"/>
            <w:bottom w:val="none" w:sz="0" w:space="0" w:color="auto"/>
            <w:right w:val="none" w:sz="0" w:space="0" w:color="auto"/>
          </w:divBdr>
        </w:div>
        <w:div w:id="2024699797">
          <w:marLeft w:val="0"/>
          <w:marRight w:val="0"/>
          <w:marTop w:val="0"/>
          <w:marBottom w:val="0"/>
          <w:divBdr>
            <w:top w:val="none" w:sz="0" w:space="0" w:color="auto"/>
            <w:left w:val="none" w:sz="0" w:space="0" w:color="auto"/>
            <w:bottom w:val="none" w:sz="0" w:space="0" w:color="auto"/>
            <w:right w:val="none" w:sz="0" w:space="0" w:color="auto"/>
          </w:divBdr>
        </w:div>
        <w:div w:id="2024699798">
          <w:marLeft w:val="0"/>
          <w:marRight w:val="0"/>
          <w:marTop w:val="0"/>
          <w:marBottom w:val="0"/>
          <w:divBdr>
            <w:top w:val="none" w:sz="0" w:space="0" w:color="auto"/>
            <w:left w:val="none" w:sz="0" w:space="0" w:color="auto"/>
            <w:bottom w:val="none" w:sz="0" w:space="0" w:color="auto"/>
            <w:right w:val="none" w:sz="0" w:space="0" w:color="auto"/>
          </w:divBdr>
        </w:div>
        <w:div w:id="2024699800">
          <w:marLeft w:val="0"/>
          <w:marRight w:val="0"/>
          <w:marTop w:val="0"/>
          <w:marBottom w:val="0"/>
          <w:divBdr>
            <w:top w:val="none" w:sz="0" w:space="0" w:color="auto"/>
            <w:left w:val="none" w:sz="0" w:space="0" w:color="auto"/>
            <w:bottom w:val="none" w:sz="0" w:space="0" w:color="auto"/>
            <w:right w:val="none" w:sz="0" w:space="0" w:color="auto"/>
          </w:divBdr>
        </w:div>
        <w:div w:id="2024699801">
          <w:marLeft w:val="0"/>
          <w:marRight w:val="0"/>
          <w:marTop w:val="0"/>
          <w:marBottom w:val="0"/>
          <w:divBdr>
            <w:top w:val="none" w:sz="0" w:space="0" w:color="auto"/>
            <w:left w:val="none" w:sz="0" w:space="0" w:color="auto"/>
            <w:bottom w:val="none" w:sz="0" w:space="0" w:color="auto"/>
            <w:right w:val="none" w:sz="0" w:space="0" w:color="auto"/>
          </w:divBdr>
        </w:div>
        <w:div w:id="2024699802">
          <w:marLeft w:val="0"/>
          <w:marRight w:val="0"/>
          <w:marTop w:val="0"/>
          <w:marBottom w:val="0"/>
          <w:divBdr>
            <w:top w:val="none" w:sz="0" w:space="0" w:color="auto"/>
            <w:left w:val="none" w:sz="0" w:space="0" w:color="auto"/>
            <w:bottom w:val="none" w:sz="0" w:space="0" w:color="auto"/>
            <w:right w:val="none" w:sz="0" w:space="0" w:color="auto"/>
          </w:divBdr>
        </w:div>
        <w:div w:id="2024699804">
          <w:marLeft w:val="0"/>
          <w:marRight w:val="0"/>
          <w:marTop w:val="0"/>
          <w:marBottom w:val="0"/>
          <w:divBdr>
            <w:top w:val="none" w:sz="0" w:space="0" w:color="auto"/>
            <w:left w:val="none" w:sz="0" w:space="0" w:color="auto"/>
            <w:bottom w:val="none" w:sz="0" w:space="0" w:color="auto"/>
            <w:right w:val="none" w:sz="0" w:space="0" w:color="auto"/>
          </w:divBdr>
        </w:div>
        <w:div w:id="2024699805">
          <w:marLeft w:val="0"/>
          <w:marRight w:val="0"/>
          <w:marTop w:val="0"/>
          <w:marBottom w:val="0"/>
          <w:divBdr>
            <w:top w:val="none" w:sz="0" w:space="0" w:color="auto"/>
            <w:left w:val="none" w:sz="0" w:space="0" w:color="auto"/>
            <w:bottom w:val="none" w:sz="0" w:space="0" w:color="auto"/>
            <w:right w:val="none" w:sz="0" w:space="0" w:color="auto"/>
          </w:divBdr>
        </w:div>
        <w:div w:id="2024699806">
          <w:marLeft w:val="0"/>
          <w:marRight w:val="0"/>
          <w:marTop w:val="0"/>
          <w:marBottom w:val="0"/>
          <w:divBdr>
            <w:top w:val="none" w:sz="0" w:space="0" w:color="auto"/>
            <w:left w:val="none" w:sz="0" w:space="0" w:color="auto"/>
            <w:bottom w:val="none" w:sz="0" w:space="0" w:color="auto"/>
            <w:right w:val="none" w:sz="0" w:space="0" w:color="auto"/>
          </w:divBdr>
        </w:div>
        <w:div w:id="2024699807">
          <w:marLeft w:val="0"/>
          <w:marRight w:val="0"/>
          <w:marTop w:val="0"/>
          <w:marBottom w:val="0"/>
          <w:divBdr>
            <w:top w:val="none" w:sz="0" w:space="0" w:color="auto"/>
            <w:left w:val="none" w:sz="0" w:space="0" w:color="auto"/>
            <w:bottom w:val="none" w:sz="0" w:space="0" w:color="auto"/>
            <w:right w:val="none" w:sz="0" w:space="0" w:color="auto"/>
          </w:divBdr>
        </w:div>
        <w:div w:id="2024699808">
          <w:marLeft w:val="0"/>
          <w:marRight w:val="0"/>
          <w:marTop w:val="0"/>
          <w:marBottom w:val="0"/>
          <w:divBdr>
            <w:top w:val="none" w:sz="0" w:space="0" w:color="auto"/>
            <w:left w:val="none" w:sz="0" w:space="0" w:color="auto"/>
            <w:bottom w:val="none" w:sz="0" w:space="0" w:color="auto"/>
            <w:right w:val="none" w:sz="0" w:space="0" w:color="auto"/>
          </w:divBdr>
        </w:div>
        <w:div w:id="2024699809">
          <w:marLeft w:val="0"/>
          <w:marRight w:val="0"/>
          <w:marTop w:val="0"/>
          <w:marBottom w:val="0"/>
          <w:divBdr>
            <w:top w:val="none" w:sz="0" w:space="0" w:color="auto"/>
            <w:left w:val="none" w:sz="0" w:space="0" w:color="auto"/>
            <w:bottom w:val="none" w:sz="0" w:space="0" w:color="auto"/>
            <w:right w:val="none" w:sz="0" w:space="0" w:color="auto"/>
          </w:divBdr>
        </w:div>
        <w:div w:id="2024699810">
          <w:marLeft w:val="0"/>
          <w:marRight w:val="0"/>
          <w:marTop w:val="0"/>
          <w:marBottom w:val="0"/>
          <w:divBdr>
            <w:top w:val="none" w:sz="0" w:space="0" w:color="auto"/>
            <w:left w:val="none" w:sz="0" w:space="0" w:color="auto"/>
            <w:bottom w:val="none" w:sz="0" w:space="0" w:color="auto"/>
            <w:right w:val="none" w:sz="0" w:space="0" w:color="auto"/>
          </w:divBdr>
        </w:div>
        <w:div w:id="2024699811">
          <w:marLeft w:val="0"/>
          <w:marRight w:val="0"/>
          <w:marTop w:val="0"/>
          <w:marBottom w:val="0"/>
          <w:divBdr>
            <w:top w:val="none" w:sz="0" w:space="0" w:color="auto"/>
            <w:left w:val="none" w:sz="0" w:space="0" w:color="auto"/>
            <w:bottom w:val="none" w:sz="0" w:space="0" w:color="auto"/>
            <w:right w:val="none" w:sz="0" w:space="0" w:color="auto"/>
          </w:divBdr>
        </w:div>
        <w:div w:id="2024699812">
          <w:marLeft w:val="0"/>
          <w:marRight w:val="0"/>
          <w:marTop w:val="0"/>
          <w:marBottom w:val="0"/>
          <w:divBdr>
            <w:top w:val="none" w:sz="0" w:space="0" w:color="auto"/>
            <w:left w:val="none" w:sz="0" w:space="0" w:color="auto"/>
            <w:bottom w:val="none" w:sz="0" w:space="0" w:color="auto"/>
            <w:right w:val="none" w:sz="0" w:space="0" w:color="auto"/>
          </w:divBdr>
        </w:div>
        <w:div w:id="2024699813">
          <w:marLeft w:val="0"/>
          <w:marRight w:val="0"/>
          <w:marTop w:val="0"/>
          <w:marBottom w:val="0"/>
          <w:divBdr>
            <w:top w:val="none" w:sz="0" w:space="0" w:color="auto"/>
            <w:left w:val="none" w:sz="0" w:space="0" w:color="auto"/>
            <w:bottom w:val="none" w:sz="0" w:space="0" w:color="auto"/>
            <w:right w:val="none" w:sz="0" w:space="0" w:color="auto"/>
          </w:divBdr>
        </w:div>
        <w:div w:id="2024699814">
          <w:marLeft w:val="0"/>
          <w:marRight w:val="0"/>
          <w:marTop w:val="0"/>
          <w:marBottom w:val="0"/>
          <w:divBdr>
            <w:top w:val="none" w:sz="0" w:space="0" w:color="auto"/>
            <w:left w:val="none" w:sz="0" w:space="0" w:color="auto"/>
            <w:bottom w:val="none" w:sz="0" w:space="0" w:color="auto"/>
            <w:right w:val="none" w:sz="0" w:space="0" w:color="auto"/>
          </w:divBdr>
        </w:div>
        <w:div w:id="2024699815">
          <w:marLeft w:val="0"/>
          <w:marRight w:val="0"/>
          <w:marTop w:val="0"/>
          <w:marBottom w:val="0"/>
          <w:divBdr>
            <w:top w:val="none" w:sz="0" w:space="0" w:color="auto"/>
            <w:left w:val="none" w:sz="0" w:space="0" w:color="auto"/>
            <w:bottom w:val="none" w:sz="0" w:space="0" w:color="auto"/>
            <w:right w:val="none" w:sz="0" w:space="0" w:color="auto"/>
          </w:divBdr>
        </w:div>
        <w:div w:id="2024699816">
          <w:marLeft w:val="0"/>
          <w:marRight w:val="0"/>
          <w:marTop w:val="0"/>
          <w:marBottom w:val="0"/>
          <w:divBdr>
            <w:top w:val="none" w:sz="0" w:space="0" w:color="auto"/>
            <w:left w:val="none" w:sz="0" w:space="0" w:color="auto"/>
            <w:bottom w:val="none" w:sz="0" w:space="0" w:color="auto"/>
            <w:right w:val="none" w:sz="0" w:space="0" w:color="auto"/>
          </w:divBdr>
        </w:div>
        <w:div w:id="2024699817">
          <w:marLeft w:val="0"/>
          <w:marRight w:val="0"/>
          <w:marTop w:val="0"/>
          <w:marBottom w:val="0"/>
          <w:divBdr>
            <w:top w:val="none" w:sz="0" w:space="0" w:color="auto"/>
            <w:left w:val="none" w:sz="0" w:space="0" w:color="auto"/>
            <w:bottom w:val="none" w:sz="0" w:space="0" w:color="auto"/>
            <w:right w:val="none" w:sz="0" w:space="0" w:color="auto"/>
          </w:divBdr>
        </w:div>
        <w:div w:id="2024699818">
          <w:marLeft w:val="0"/>
          <w:marRight w:val="0"/>
          <w:marTop w:val="0"/>
          <w:marBottom w:val="0"/>
          <w:divBdr>
            <w:top w:val="none" w:sz="0" w:space="0" w:color="auto"/>
            <w:left w:val="none" w:sz="0" w:space="0" w:color="auto"/>
            <w:bottom w:val="none" w:sz="0" w:space="0" w:color="auto"/>
            <w:right w:val="none" w:sz="0" w:space="0" w:color="auto"/>
          </w:divBdr>
        </w:div>
        <w:div w:id="2024699819">
          <w:marLeft w:val="0"/>
          <w:marRight w:val="0"/>
          <w:marTop w:val="0"/>
          <w:marBottom w:val="0"/>
          <w:divBdr>
            <w:top w:val="none" w:sz="0" w:space="0" w:color="auto"/>
            <w:left w:val="none" w:sz="0" w:space="0" w:color="auto"/>
            <w:bottom w:val="none" w:sz="0" w:space="0" w:color="auto"/>
            <w:right w:val="none" w:sz="0" w:space="0" w:color="auto"/>
          </w:divBdr>
        </w:div>
        <w:div w:id="2024699820">
          <w:marLeft w:val="0"/>
          <w:marRight w:val="0"/>
          <w:marTop w:val="0"/>
          <w:marBottom w:val="0"/>
          <w:divBdr>
            <w:top w:val="none" w:sz="0" w:space="0" w:color="auto"/>
            <w:left w:val="none" w:sz="0" w:space="0" w:color="auto"/>
            <w:bottom w:val="none" w:sz="0" w:space="0" w:color="auto"/>
            <w:right w:val="none" w:sz="0" w:space="0" w:color="auto"/>
          </w:divBdr>
        </w:div>
        <w:div w:id="2024699821">
          <w:marLeft w:val="0"/>
          <w:marRight w:val="0"/>
          <w:marTop w:val="0"/>
          <w:marBottom w:val="0"/>
          <w:divBdr>
            <w:top w:val="none" w:sz="0" w:space="0" w:color="auto"/>
            <w:left w:val="none" w:sz="0" w:space="0" w:color="auto"/>
            <w:bottom w:val="none" w:sz="0" w:space="0" w:color="auto"/>
            <w:right w:val="none" w:sz="0" w:space="0" w:color="auto"/>
          </w:divBdr>
        </w:div>
        <w:div w:id="2024699822">
          <w:marLeft w:val="0"/>
          <w:marRight w:val="0"/>
          <w:marTop w:val="0"/>
          <w:marBottom w:val="0"/>
          <w:divBdr>
            <w:top w:val="none" w:sz="0" w:space="0" w:color="auto"/>
            <w:left w:val="none" w:sz="0" w:space="0" w:color="auto"/>
            <w:bottom w:val="none" w:sz="0" w:space="0" w:color="auto"/>
            <w:right w:val="none" w:sz="0" w:space="0" w:color="auto"/>
          </w:divBdr>
        </w:div>
        <w:div w:id="2024699824">
          <w:marLeft w:val="0"/>
          <w:marRight w:val="0"/>
          <w:marTop w:val="0"/>
          <w:marBottom w:val="0"/>
          <w:divBdr>
            <w:top w:val="none" w:sz="0" w:space="0" w:color="auto"/>
            <w:left w:val="none" w:sz="0" w:space="0" w:color="auto"/>
            <w:bottom w:val="none" w:sz="0" w:space="0" w:color="auto"/>
            <w:right w:val="none" w:sz="0" w:space="0" w:color="auto"/>
          </w:divBdr>
        </w:div>
        <w:div w:id="2024699825">
          <w:marLeft w:val="0"/>
          <w:marRight w:val="0"/>
          <w:marTop w:val="0"/>
          <w:marBottom w:val="0"/>
          <w:divBdr>
            <w:top w:val="none" w:sz="0" w:space="0" w:color="auto"/>
            <w:left w:val="none" w:sz="0" w:space="0" w:color="auto"/>
            <w:bottom w:val="none" w:sz="0" w:space="0" w:color="auto"/>
            <w:right w:val="none" w:sz="0" w:space="0" w:color="auto"/>
          </w:divBdr>
        </w:div>
        <w:div w:id="2024699826">
          <w:marLeft w:val="0"/>
          <w:marRight w:val="0"/>
          <w:marTop w:val="0"/>
          <w:marBottom w:val="0"/>
          <w:divBdr>
            <w:top w:val="none" w:sz="0" w:space="0" w:color="auto"/>
            <w:left w:val="none" w:sz="0" w:space="0" w:color="auto"/>
            <w:bottom w:val="none" w:sz="0" w:space="0" w:color="auto"/>
            <w:right w:val="none" w:sz="0" w:space="0" w:color="auto"/>
          </w:divBdr>
        </w:div>
        <w:div w:id="2024699827">
          <w:marLeft w:val="0"/>
          <w:marRight w:val="0"/>
          <w:marTop w:val="0"/>
          <w:marBottom w:val="0"/>
          <w:divBdr>
            <w:top w:val="none" w:sz="0" w:space="0" w:color="auto"/>
            <w:left w:val="none" w:sz="0" w:space="0" w:color="auto"/>
            <w:bottom w:val="none" w:sz="0" w:space="0" w:color="auto"/>
            <w:right w:val="none" w:sz="0" w:space="0" w:color="auto"/>
          </w:divBdr>
        </w:div>
        <w:div w:id="2024699828">
          <w:marLeft w:val="0"/>
          <w:marRight w:val="0"/>
          <w:marTop w:val="0"/>
          <w:marBottom w:val="0"/>
          <w:divBdr>
            <w:top w:val="none" w:sz="0" w:space="0" w:color="auto"/>
            <w:left w:val="none" w:sz="0" w:space="0" w:color="auto"/>
            <w:bottom w:val="none" w:sz="0" w:space="0" w:color="auto"/>
            <w:right w:val="none" w:sz="0" w:space="0" w:color="auto"/>
          </w:divBdr>
        </w:div>
        <w:div w:id="2024699829">
          <w:marLeft w:val="0"/>
          <w:marRight w:val="0"/>
          <w:marTop w:val="0"/>
          <w:marBottom w:val="0"/>
          <w:divBdr>
            <w:top w:val="none" w:sz="0" w:space="0" w:color="auto"/>
            <w:left w:val="none" w:sz="0" w:space="0" w:color="auto"/>
            <w:bottom w:val="none" w:sz="0" w:space="0" w:color="auto"/>
            <w:right w:val="none" w:sz="0" w:space="0" w:color="auto"/>
          </w:divBdr>
        </w:div>
        <w:div w:id="2024699830">
          <w:marLeft w:val="0"/>
          <w:marRight w:val="0"/>
          <w:marTop w:val="0"/>
          <w:marBottom w:val="0"/>
          <w:divBdr>
            <w:top w:val="none" w:sz="0" w:space="0" w:color="auto"/>
            <w:left w:val="none" w:sz="0" w:space="0" w:color="auto"/>
            <w:bottom w:val="none" w:sz="0" w:space="0" w:color="auto"/>
            <w:right w:val="none" w:sz="0" w:space="0" w:color="auto"/>
          </w:divBdr>
        </w:div>
        <w:div w:id="2024699831">
          <w:marLeft w:val="0"/>
          <w:marRight w:val="0"/>
          <w:marTop w:val="0"/>
          <w:marBottom w:val="0"/>
          <w:divBdr>
            <w:top w:val="none" w:sz="0" w:space="0" w:color="auto"/>
            <w:left w:val="none" w:sz="0" w:space="0" w:color="auto"/>
            <w:bottom w:val="none" w:sz="0" w:space="0" w:color="auto"/>
            <w:right w:val="none" w:sz="0" w:space="0" w:color="auto"/>
          </w:divBdr>
        </w:div>
        <w:div w:id="2024699832">
          <w:marLeft w:val="0"/>
          <w:marRight w:val="0"/>
          <w:marTop w:val="0"/>
          <w:marBottom w:val="0"/>
          <w:divBdr>
            <w:top w:val="none" w:sz="0" w:space="0" w:color="auto"/>
            <w:left w:val="none" w:sz="0" w:space="0" w:color="auto"/>
            <w:bottom w:val="none" w:sz="0" w:space="0" w:color="auto"/>
            <w:right w:val="none" w:sz="0" w:space="0" w:color="auto"/>
          </w:divBdr>
        </w:div>
        <w:div w:id="2024699833">
          <w:marLeft w:val="0"/>
          <w:marRight w:val="0"/>
          <w:marTop w:val="0"/>
          <w:marBottom w:val="0"/>
          <w:divBdr>
            <w:top w:val="none" w:sz="0" w:space="0" w:color="auto"/>
            <w:left w:val="none" w:sz="0" w:space="0" w:color="auto"/>
            <w:bottom w:val="none" w:sz="0" w:space="0" w:color="auto"/>
            <w:right w:val="none" w:sz="0" w:space="0" w:color="auto"/>
          </w:divBdr>
        </w:div>
        <w:div w:id="2024699834">
          <w:marLeft w:val="0"/>
          <w:marRight w:val="0"/>
          <w:marTop w:val="0"/>
          <w:marBottom w:val="0"/>
          <w:divBdr>
            <w:top w:val="none" w:sz="0" w:space="0" w:color="auto"/>
            <w:left w:val="none" w:sz="0" w:space="0" w:color="auto"/>
            <w:bottom w:val="none" w:sz="0" w:space="0" w:color="auto"/>
            <w:right w:val="none" w:sz="0" w:space="0" w:color="auto"/>
          </w:divBdr>
        </w:div>
        <w:div w:id="2024699835">
          <w:marLeft w:val="0"/>
          <w:marRight w:val="0"/>
          <w:marTop w:val="0"/>
          <w:marBottom w:val="0"/>
          <w:divBdr>
            <w:top w:val="none" w:sz="0" w:space="0" w:color="auto"/>
            <w:left w:val="none" w:sz="0" w:space="0" w:color="auto"/>
            <w:bottom w:val="none" w:sz="0" w:space="0" w:color="auto"/>
            <w:right w:val="none" w:sz="0" w:space="0" w:color="auto"/>
          </w:divBdr>
        </w:div>
        <w:div w:id="2024699836">
          <w:marLeft w:val="0"/>
          <w:marRight w:val="0"/>
          <w:marTop w:val="0"/>
          <w:marBottom w:val="0"/>
          <w:divBdr>
            <w:top w:val="none" w:sz="0" w:space="0" w:color="auto"/>
            <w:left w:val="none" w:sz="0" w:space="0" w:color="auto"/>
            <w:bottom w:val="none" w:sz="0" w:space="0" w:color="auto"/>
            <w:right w:val="none" w:sz="0" w:space="0" w:color="auto"/>
          </w:divBdr>
        </w:div>
        <w:div w:id="2024699837">
          <w:marLeft w:val="0"/>
          <w:marRight w:val="0"/>
          <w:marTop w:val="0"/>
          <w:marBottom w:val="0"/>
          <w:divBdr>
            <w:top w:val="none" w:sz="0" w:space="0" w:color="auto"/>
            <w:left w:val="none" w:sz="0" w:space="0" w:color="auto"/>
            <w:bottom w:val="none" w:sz="0" w:space="0" w:color="auto"/>
            <w:right w:val="none" w:sz="0" w:space="0" w:color="auto"/>
          </w:divBdr>
        </w:div>
        <w:div w:id="2024699838">
          <w:marLeft w:val="0"/>
          <w:marRight w:val="0"/>
          <w:marTop w:val="0"/>
          <w:marBottom w:val="0"/>
          <w:divBdr>
            <w:top w:val="none" w:sz="0" w:space="0" w:color="auto"/>
            <w:left w:val="none" w:sz="0" w:space="0" w:color="auto"/>
            <w:bottom w:val="none" w:sz="0" w:space="0" w:color="auto"/>
            <w:right w:val="none" w:sz="0" w:space="0" w:color="auto"/>
          </w:divBdr>
        </w:div>
        <w:div w:id="2024699839">
          <w:marLeft w:val="0"/>
          <w:marRight w:val="0"/>
          <w:marTop w:val="0"/>
          <w:marBottom w:val="0"/>
          <w:divBdr>
            <w:top w:val="none" w:sz="0" w:space="0" w:color="auto"/>
            <w:left w:val="none" w:sz="0" w:space="0" w:color="auto"/>
            <w:bottom w:val="none" w:sz="0" w:space="0" w:color="auto"/>
            <w:right w:val="none" w:sz="0" w:space="0" w:color="auto"/>
          </w:divBdr>
        </w:div>
        <w:div w:id="2024699840">
          <w:marLeft w:val="0"/>
          <w:marRight w:val="0"/>
          <w:marTop w:val="0"/>
          <w:marBottom w:val="0"/>
          <w:divBdr>
            <w:top w:val="none" w:sz="0" w:space="0" w:color="auto"/>
            <w:left w:val="none" w:sz="0" w:space="0" w:color="auto"/>
            <w:bottom w:val="none" w:sz="0" w:space="0" w:color="auto"/>
            <w:right w:val="none" w:sz="0" w:space="0" w:color="auto"/>
          </w:divBdr>
        </w:div>
        <w:div w:id="2024699841">
          <w:marLeft w:val="0"/>
          <w:marRight w:val="0"/>
          <w:marTop w:val="0"/>
          <w:marBottom w:val="0"/>
          <w:divBdr>
            <w:top w:val="none" w:sz="0" w:space="0" w:color="auto"/>
            <w:left w:val="none" w:sz="0" w:space="0" w:color="auto"/>
            <w:bottom w:val="none" w:sz="0" w:space="0" w:color="auto"/>
            <w:right w:val="none" w:sz="0" w:space="0" w:color="auto"/>
          </w:divBdr>
        </w:div>
        <w:div w:id="2024699843">
          <w:marLeft w:val="0"/>
          <w:marRight w:val="0"/>
          <w:marTop w:val="0"/>
          <w:marBottom w:val="0"/>
          <w:divBdr>
            <w:top w:val="none" w:sz="0" w:space="0" w:color="auto"/>
            <w:left w:val="none" w:sz="0" w:space="0" w:color="auto"/>
            <w:bottom w:val="none" w:sz="0" w:space="0" w:color="auto"/>
            <w:right w:val="none" w:sz="0" w:space="0" w:color="auto"/>
          </w:divBdr>
        </w:div>
        <w:div w:id="2024699844">
          <w:marLeft w:val="0"/>
          <w:marRight w:val="0"/>
          <w:marTop w:val="0"/>
          <w:marBottom w:val="0"/>
          <w:divBdr>
            <w:top w:val="none" w:sz="0" w:space="0" w:color="auto"/>
            <w:left w:val="none" w:sz="0" w:space="0" w:color="auto"/>
            <w:bottom w:val="none" w:sz="0" w:space="0" w:color="auto"/>
            <w:right w:val="none" w:sz="0" w:space="0" w:color="auto"/>
          </w:divBdr>
        </w:div>
        <w:div w:id="2024699846">
          <w:marLeft w:val="0"/>
          <w:marRight w:val="0"/>
          <w:marTop w:val="0"/>
          <w:marBottom w:val="0"/>
          <w:divBdr>
            <w:top w:val="none" w:sz="0" w:space="0" w:color="auto"/>
            <w:left w:val="none" w:sz="0" w:space="0" w:color="auto"/>
            <w:bottom w:val="none" w:sz="0" w:space="0" w:color="auto"/>
            <w:right w:val="none" w:sz="0" w:space="0" w:color="auto"/>
          </w:divBdr>
        </w:div>
        <w:div w:id="2024699847">
          <w:marLeft w:val="0"/>
          <w:marRight w:val="0"/>
          <w:marTop w:val="0"/>
          <w:marBottom w:val="0"/>
          <w:divBdr>
            <w:top w:val="none" w:sz="0" w:space="0" w:color="auto"/>
            <w:left w:val="none" w:sz="0" w:space="0" w:color="auto"/>
            <w:bottom w:val="none" w:sz="0" w:space="0" w:color="auto"/>
            <w:right w:val="none" w:sz="0" w:space="0" w:color="auto"/>
          </w:divBdr>
        </w:div>
        <w:div w:id="2024699848">
          <w:marLeft w:val="0"/>
          <w:marRight w:val="0"/>
          <w:marTop w:val="0"/>
          <w:marBottom w:val="0"/>
          <w:divBdr>
            <w:top w:val="none" w:sz="0" w:space="0" w:color="auto"/>
            <w:left w:val="none" w:sz="0" w:space="0" w:color="auto"/>
            <w:bottom w:val="none" w:sz="0" w:space="0" w:color="auto"/>
            <w:right w:val="none" w:sz="0" w:space="0" w:color="auto"/>
          </w:divBdr>
        </w:div>
        <w:div w:id="2024699849">
          <w:marLeft w:val="0"/>
          <w:marRight w:val="0"/>
          <w:marTop w:val="0"/>
          <w:marBottom w:val="0"/>
          <w:divBdr>
            <w:top w:val="none" w:sz="0" w:space="0" w:color="auto"/>
            <w:left w:val="none" w:sz="0" w:space="0" w:color="auto"/>
            <w:bottom w:val="none" w:sz="0" w:space="0" w:color="auto"/>
            <w:right w:val="none" w:sz="0" w:space="0" w:color="auto"/>
          </w:divBdr>
        </w:div>
        <w:div w:id="2024699850">
          <w:marLeft w:val="0"/>
          <w:marRight w:val="0"/>
          <w:marTop w:val="0"/>
          <w:marBottom w:val="0"/>
          <w:divBdr>
            <w:top w:val="none" w:sz="0" w:space="0" w:color="auto"/>
            <w:left w:val="none" w:sz="0" w:space="0" w:color="auto"/>
            <w:bottom w:val="none" w:sz="0" w:space="0" w:color="auto"/>
            <w:right w:val="none" w:sz="0" w:space="0" w:color="auto"/>
          </w:divBdr>
        </w:div>
        <w:div w:id="2024699851">
          <w:marLeft w:val="0"/>
          <w:marRight w:val="0"/>
          <w:marTop w:val="0"/>
          <w:marBottom w:val="0"/>
          <w:divBdr>
            <w:top w:val="none" w:sz="0" w:space="0" w:color="auto"/>
            <w:left w:val="none" w:sz="0" w:space="0" w:color="auto"/>
            <w:bottom w:val="none" w:sz="0" w:space="0" w:color="auto"/>
            <w:right w:val="none" w:sz="0" w:space="0" w:color="auto"/>
          </w:divBdr>
        </w:div>
        <w:div w:id="2024699852">
          <w:marLeft w:val="0"/>
          <w:marRight w:val="0"/>
          <w:marTop w:val="0"/>
          <w:marBottom w:val="0"/>
          <w:divBdr>
            <w:top w:val="none" w:sz="0" w:space="0" w:color="auto"/>
            <w:left w:val="none" w:sz="0" w:space="0" w:color="auto"/>
            <w:bottom w:val="none" w:sz="0" w:space="0" w:color="auto"/>
            <w:right w:val="none" w:sz="0" w:space="0" w:color="auto"/>
          </w:divBdr>
        </w:div>
        <w:div w:id="2024699853">
          <w:marLeft w:val="0"/>
          <w:marRight w:val="0"/>
          <w:marTop w:val="0"/>
          <w:marBottom w:val="0"/>
          <w:divBdr>
            <w:top w:val="none" w:sz="0" w:space="0" w:color="auto"/>
            <w:left w:val="none" w:sz="0" w:space="0" w:color="auto"/>
            <w:bottom w:val="none" w:sz="0" w:space="0" w:color="auto"/>
            <w:right w:val="none" w:sz="0" w:space="0" w:color="auto"/>
          </w:divBdr>
        </w:div>
        <w:div w:id="2024699854">
          <w:marLeft w:val="0"/>
          <w:marRight w:val="0"/>
          <w:marTop w:val="0"/>
          <w:marBottom w:val="0"/>
          <w:divBdr>
            <w:top w:val="none" w:sz="0" w:space="0" w:color="auto"/>
            <w:left w:val="none" w:sz="0" w:space="0" w:color="auto"/>
            <w:bottom w:val="none" w:sz="0" w:space="0" w:color="auto"/>
            <w:right w:val="none" w:sz="0" w:space="0" w:color="auto"/>
          </w:divBdr>
        </w:div>
        <w:div w:id="2024699855">
          <w:marLeft w:val="0"/>
          <w:marRight w:val="0"/>
          <w:marTop w:val="0"/>
          <w:marBottom w:val="0"/>
          <w:divBdr>
            <w:top w:val="none" w:sz="0" w:space="0" w:color="auto"/>
            <w:left w:val="none" w:sz="0" w:space="0" w:color="auto"/>
            <w:bottom w:val="none" w:sz="0" w:space="0" w:color="auto"/>
            <w:right w:val="none" w:sz="0" w:space="0" w:color="auto"/>
          </w:divBdr>
        </w:div>
        <w:div w:id="2024699856">
          <w:marLeft w:val="0"/>
          <w:marRight w:val="0"/>
          <w:marTop w:val="0"/>
          <w:marBottom w:val="0"/>
          <w:divBdr>
            <w:top w:val="none" w:sz="0" w:space="0" w:color="auto"/>
            <w:left w:val="none" w:sz="0" w:space="0" w:color="auto"/>
            <w:bottom w:val="none" w:sz="0" w:space="0" w:color="auto"/>
            <w:right w:val="none" w:sz="0" w:space="0" w:color="auto"/>
          </w:divBdr>
        </w:div>
        <w:div w:id="2024699857">
          <w:marLeft w:val="0"/>
          <w:marRight w:val="0"/>
          <w:marTop w:val="0"/>
          <w:marBottom w:val="0"/>
          <w:divBdr>
            <w:top w:val="none" w:sz="0" w:space="0" w:color="auto"/>
            <w:left w:val="none" w:sz="0" w:space="0" w:color="auto"/>
            <w:bottom w:val="none" w:sz="0" w:space="0" w:color="auto"/>
            <w:right w:val="none" w:sz="0" w:space="0" w:color="auto"/>
          </w:divBdr>
        </w:div>
        <w:div w:id="2024699858">
          <w:marLeft w:val="0"/>
          <w:marRight w:val="0"/>
          <w:marTop w:val="0"/>
          <w:marBottom w:val="0"/>
          <w:divBdr>
            <w:top w:val="none" w:sz="0" w:space="0" w:color="auto"/>
            <w:left w:val="none" w:sz="0" w:space="0" w:color="auto"/>
            <w:bottom w:val="none" w:sz="0" w:space="0" w:color="auto"/>
            <w:right w:val="none" w:sz="0" w:space="0" w:color="auto"/>
          </w:divBdr>
        </w:div>
        <w:div w:id="2024699859">
          <w:marLeft w:val="0"/>
          <w:marRight w:val="0"/>
          <w:marTop w:val="0"/>
          <w:marBottom w:val="0"/>
          <w:divBdr>
            <w:top w:val="none" w:sz="0" w:space="0" w:color="auto"/>
            <w:left w:val="none" w:sz="0" w:space="0" w:color="auto"/>
            <w:bottom w:val="none" w:sz="0" w:space="0" w:color="auto"/>
            <w:right w:val="none" w:sz="0" w:space="0" w:color="auto"/>
          </w:divBdr>
        </w:div>
        <w:div w:id="2024699861">
          <w:marLeft w:val="0"/>
          <w:marRight w:val="0"/>
          <w:marTop w:val="0"/>
          <w:marBottom w:val="0"/>
          <w:divBdr>
            <w:top w:val="none" w:sz="0" w:space="0" w:color="auto"/>
            <w:left w:val="none" w:sz="0" w:space="0" w:color="auto"/>
            <w:bottom w:val="none" w:sz="0" w:space="0" w:color="auto"/>
            <w:right w:val="none" w:sz="0" w:space="0" w:color="auto"/>
          </w:divBdr>
        </w:div>
        <w:div w:id="2024699862">
          <w:marLeft w:val="0"/>
          <w:marRight w:val="0"/>
          <w:marTop w:val="0"/>
          <w:marBottom w:val="0"/>
          <w:divBdr>
            <w:top w:val="none" w:sz="0" w:space="0" w:color="auto"/>
            <w:left w:val="none" w:sz="0" w:space="0" w:color="auto"/>
            <w:bottom w:val="none" w:sz="0" w:space="0" w:color="auto"/>
            <w:right w:val="none" w:sz="0" w:space="0" w:color="auto"/>
          </w:divBdr>
        </w:div>
        <w:div w:id="2024699863">
          <w:marLeft w:val="0"/>
          <w:marRight w:val="0"/>
          <w:marTop w:val="0"/>
          <w:marBottom w:val="0"/>
          <w:divBdr>
            <w:top w:val="none" w:sz="0" w:space="0" w:color="auto"/>
            <w:left w:val="none" w:sz="0" w:space="0" w:color="auto"/>
            <w:bottom w:val="none" w:sz="0" w:space="0" w:color="auto"/>
            <w:right w:val="none" w:sz="0" w:space="0" w:color="auto"/>
          </w:divBdr>
        </w:div>
        <w:div w:id="2024699864">
          <w:marLeft w:val="0"/>
          <w:marRight w:val="0"/>
          <w:marTop w:val="0"/>
          <w:marBottom w:val="0"/>
          <w:divBdr>
            <w:top w:val="none" w:sz="0" w:space="0" w:color="auto"/>
            <w:left w:val="none" w:sz="0" w:space="0" w:color="auto"/>
            <w:bottom w:val="none" w:sz="0" w:space="0" w:color="auto"/>
            <w:right w:val="none" w:sz="0" w:space="0" w:color="auto"/>
          </w:divBdr>
        </w:div>
        <w:div w:id="2024699865">
          <w:marLeft w:val="0"/>
          <w:marRight w:val="0"/>
          <w:marTop w:val="0"/>
          <w:marBottom w:val="0"/>
          <w:divBdr>
            <w:top w:val="none" w:sz="0" w:space="0" w:color="auto"/>
            <w:left w:val="none" w:sz="0" w:space="0" w:color="auto"/>
            <w:bottom w:val="none" w:sz="0" w:space="0" w:color="auto"/>
            <w:right w:val="none" w:sz="0" w:space="0" w:color="auto"/>
          </w:divBdr>
        </w:div>
        <w:div w:id="2024699866">
          <w:marLeft w:val="0"/>
          <w:marRight w:val="0"/>
          <w:marTop w:val="0"/>
          <w:marBottom w:val="0"/>
          <w:divBdr>
            <w:top w:val="none" w:sz="0" w:space="0" w:color="auto"/>
            <w:left w:val="none" w:sz="0" w:space="0" w:color="auto"/>
            <w:bottom w:val="none" w:sz="0" w:space="0" w:color="auto"/>
            <w:right w:val="none" w:sz="0" w:space="0" w:color="auto"/>
          </w:divBdr>
        </w:div>
        <w:div w:id="2024699867">
          <w:marLeft w:val="0"/>
          <w:marRight w:val="0"/>
          <w:marTop w:val="0"/>
          <w:marBottom w:val="0"/>
          <w:divBdr>
            <w:top w:val="none" w:sz="0" w:space="0" w:color="auto"/>
            <w:left w:val="none" w:sz="0" w:space="0" w:color="auto"/>
            <w:bottom w:val="none" w:sz="0" w:space="0" w:color="auto"/>
            <w:right w:val="none" w:sz="0" w:space="0" w:color="auto"/>
          </w:divBdr>
        </w:div>
        <w:div w:id="2024699868">
          <w:marLeft w:val="0"/>
          <w:marRight w:val="0"/>
          <w:marTop w:val="0"/>
          <w:marBottom w:val="0"/>
          <w:divBdr>
            <w:top w:val="none" w:sz="0" w:space="0" w:color="auto"/>
            <w:left w:val="none" w:sz="0" w:space="0" w:color="auto"/>
            <w:bottom w:val="none" w:sz="0" w:space="0" w:color="auto"/>
            <w:right w:val="none" w:sz="0" w:space="0" w:color="auto"/>
          </w:divBdr>
        </w:div>
        <w:div w:id="2024699869">
          <w:marLeft w:val="0"/>
          <w:marRight w:val="0"/>
          <w:marTop w:val="0"/>
          <w:marBottom w:val="0"/>
          <w:divBdr>
            <w:top w:val="none" w:sz="0" w:space="0" w:color="auto"/>
            <w:left w:val="none" w:sz="0" w:space="0" w:color="auto"/>
            <w:bottom w:val="none" w:sz="0" w:space="0" w:color="auto"/>
            <w:right w:val="none" w:sz="0" w:space="0" w:color="auto"/>
          </w:divBdr>
        </w:div>
        <w:div w:id="2024699870">
          <w:marLeft w:val="0"/>
          <w:marRight w:val="0"/>
          <w:marTop w:val="0"/>
          <w:marBottom w:val="0"/>
          <w:divBdr>
            <w:top w:val="none" w:sz="0" w:space="0" w:color="auto"/>
            <w:left w:val="none" w:sz="0" w:space="0" w:color="auto"/>
            <w:bottom w:val="none" w:sz="0" w:space="0" w:color="auto"/>
            <w:right w:val="none" w:sz="0" w:space="0" w:color="auto"/>
          </w:divBdr>
        </w:div>
        <w:div w:id="2024699871">
          <w:marLeft w:val="0"/>
          <w:marRight w:val="0"/>
          <w:marTop w:val="0"/>
          <w:marBottom w:val="0"/>
          <w:divBdr>
            <w:top w:val="none" w:sz="0" w:space="0" w:color="auto"/>
            <w:left w:val="none" w:sz="0" w:space="0" w:color="auto"/>
            <w:bottom w:val="none" w:sz="0" w:space="0" w:color="auto"/>
            <w:right w:val="none" w:sz="0" w:space="0" w:color="auto"/>
          </w:divBdr>
        </w:div>
        <w:div w:id="2024699872">
          <w:marLeft w:val="0"/>
          <w:marRight w:val="0"/>
          <w:marTop w:val="0"/>
          <w:marBottom w:val="0"/>
          <w:divBdr>
            <w:top w:val="none" w:sz="0" w:space="0" w:color="auto"/>
            <w:left w:val="none" w:sz="0" w:space="0" w:color="auto"/>
            <w:bottom w:val="none" w:sz="0" w:space="0" w:color="auto"/>
            <w:right w:val="none" w:sz="0" w:space="0" w:color="auto"/>
          </w:divBdr>
        </w:div>
        <w:div w:id="2024699873">
          <w:marLeft w:val="0"/>
          <w:marRight w:val="0"/>
          <w:marTop w:val="0"/>
          <w:marBottom w:val="0"/>
          <w:divBdr>
            <w:top w:val="none" w:sz="0" w:space="0" w:color="auto"/>
            <w:left w:val="none" w:sz="0" w:space="0" w:color="auto"/>
            <w:bottom w:val="none" w:sz="0" w:space="0" w:color="auto"/>
            <w:right w:val="none" w:sz="0" w:space="0" w:color="auto"/>
          </w:divBdr>
        </w:div>
        <w:div w:id="2024699874">
          <w:marLeft w:val="0"/>
          <w:marRight w:val="0"/>
          <w:marTop w:val="0"/>
          <w:marBottom w:val="0"/>
          <w:divBdr>
            <w:top w:val="none" w:sz="0" w:space="0" w:color="auto"/>
            <w:left w:val="none" w:sz="0" w:space="0" w:color="auto"/>
            <w:bottom w:val="none" w:sz="0" w:space="0" w:color="auto"/>
            <w:right w:val="none" w:sz="0" w:space="0" w:color="auto"/>
          </w:divBdr>
        </w:div>
        <w:div w:id="2024699875">
          <w:marLeft w:val="0"/>
          <w:marRight w:val="0"/>
          <w:marTop w:val="0"/>
          <w:marBottom w:val="0"/>
          <w:divBdr>
            <w:top w:val="none" w:sz="0" w:space="0" w:color="auto"/>
            <w:left w:val="none" w:sz="0" w:space="0" w:color="auto"/>
            <w:bottom w:val="none" w:sz="0" w:space="0" w:color="auto"/>
            <w:right w:val="none" w:sz="0" w:space="0" w:color="auto"/>
          </w:divBdr>
        </w:div>
        <w:div w:id="2024699876">
          <w:marLeft w:val="0"/>
          <w:marRight w:val="0"/>
          <w:marTop w:val="0"/>
          <w:marBottom w:val="0"/>
          <w:divBdr>
            <w:top w:val="none" w:sz="0" w:space="0" w:color="auto"/>
            <w:left w:val="none" w:sz="0" w:space="0" w:color="auto"/>
            <w:bottom w:val="none" w:sz="0" w:space="0" w:color="auto"/>
            <w:right w:val="none" w:sz="0" w:space="0" w:color="auto"/>
          </w:divBdr>
        </w:div>
        <w:div w:id="2024699877">
          <w:marLeft w:val="0"/>
          <w:marRight w:val="0"/>
          <w:marTop w:val="0"/>
          <w:marBottom w:val="0"/>
          <w:divBdr>
            <w:top w:val="none" w:sz="0" w:space="0" w:color="auto"/>
            <w:left w:val="none" w:sz="0" w:space="0" w:color="auto"/>
            <w:bottom w:val="none" w:sz="0" w:space="0" w:color="auto"/>
            <w:right w:val="none" w:sz="0" w:space="0" w:color="auto"/>
          </w:divBdr>
        </w:div>
        <w:div w:id="2024699878">
          <w:marLeft w:val="0"/>
          <w:marRight w:val="0"/>
          <w:marTop w:val="0"/>
          <w:marBottom w:val="0"/>
          <w:divBdr>
            <w:top w:val="none" w:sz="0" w:space="0" w:color="auto"/>
            <w:left w:val="none" w:sz="0" w:space="0" w:color="auto"/>
            <w:bottom w:val="none" w:sz="0" w:space="0" w:color="auto"/>
            <w:right w:val="none" w:sz="0" w:space="0" w:color="auto"/>
          </w:divBdr>
        </w:div>
        <w:div w:id="2024699879">
          <w:marLeft w:val="0"/>
          <w:marRight w:val="0"/>
          <w:marTop w:val="0"/>
          <w:marBottom w:val="0"/>
          <w:divBdr>
            <w:top w:val="none" w:sz="0" w:space="0" w:color="auto"/>
            <w:left w:val="none" w:sz="0" w:space="0" w:color="auto"/>
            <w:bottom w:val="none" w:sz="0" w:space="0" w:color="auto"/>
            <w:right w:val="none" w:sz="0" w:space="0" w:color="auto"/>
          </w:divBdr>
        </w:div>
        <w:div w:id="2024699881">
          <w:marLeft w:val="0"/>
          <w:marRight w:val="0"/>
          <w:marTop w:val="0"/>
          <w:marBottom w:val="0"/>
          <w:divBdr>
            <w:top w:val="none" w:sz="0" w:space="0" w:color="auto"/>
            <w:left w:val="none" w:sz="0" w:space="0" w:color="auto"/>
            <w:bottom w:val="none" w:sz="0" w:space="0" w:color="auto"/>
            <w:right w:val="none" w:sz="0" w:space="0" w:color="auto"/>
          </w:divBdr>
        </w:div>
        <w:div w:id="2024699882">
          <w:marLeft w:val="0"/>
          <w:marRight w:val="0"/>
          <w:marTop w:val="0"/>
          <w:marBottom w:val="0"/>
          <w:divBdr>
            <w:top w:val="none" w:sz="0" w:space="0" w:color="auto"/>
            <w:left w:val="none" w:sz="0" w:space="0" w:color="auto"/>
            <w:bottom w:val="none" w:sz="0" w:space="0" w:color="auto"/>
            <w:right w:val="none" w:sz="0" w:space="0" w:color="auto"/>
          </w:divBdr>
        </w:div>
        <w:div w:id="2024699883">
          <w:marLeft w:val="0"/>
          <w:marRight w:val="0"/>
          <w:marTop w:val="0"/>
          <w:marBottom w:val="0"/>
          <w:divBdr>
            <w:top w:val="none" w:sz="0" w:space="0" w:color="auto"/>
            <w:left w:val="none" w:sz="0" w:space="0" w:color="auto"/>
            <w:bottom w:val="none" w:sz="0" w:space="0" w:color="auto"/>
            <w:right w:val="none" w:sz="0" w:space="0" w:color="auto"/>
          </w:divBdr>
        </w:div>
        <w:div w:id="2024699884">
          <w:marLeft w:val="0"/>
          <w:marRight w:val="0"/>
          <w:marTop w:val="0"/>
          <w:marBottom w:val="0"/>
          <w:divBdr>
            <w:top w:val="none" w:sz="0" w:space="0" w:color="auto"/>
            <w:left w:val="none" w:sz="0" w:space="0" w:color="auto"/>
            <w:bottom w:val="none" w:sz="0" w:space="0" w:color="auto"/>
            <w:right w:val="none" w:sz="0" w:space="0" w:color="auto"/>
          </w:divBdr>
        </w:div>
        <w:div w:id="2024699886">
          <w:marLeft w:val="0"/>
          <w:marRight w:val="0"/>
          <w:marTop w:val="0"/>
          <w:marBottom w:val="0"/>
          <w:divBdr>
            <w:top w:val="none" w:sz="0" w:space="0" w:color="auto"/>
            <w:left w:val="none" w:sz="0" w:space="0" w:color="auto"/>
            <w:bottom w:val="none" w:sz="0" w:space="0" w:color="auto"/>
            <w:right w:val="none" w:sz="0" w:space="0" w:color="auto"/>
          </w:divBdr>
        </w:div>
        <w:div w:id="2024699887">
          <w:marLeft w:val="0"/>
          <w:marRight w:val="0"/>
          <w:marTop w:val="0"/>
          <w:marBottom w:val="0"/>
          <w:divBdr>
            <w:top w:val="none" w:sz="0" w:space="0" w:color="auto"/>
            <w:left w:val="none" w:sz="0" w:space="0" w:color="auto"/>
            <w:bottom w:val="none" w:sz="0" w:space="0" w:color="auto"/>
            <w:right w:val="none" w:sz="0" w:space="0" w:color="auto"/>
          </w:divBdr>
        </w:div>
        <w:div w:id="2024699888">
          <w:marLeft w:val="0"/>
          <w:marRight w:val="0"/>
          <w:marTop w:val="0"/>
          <w:marBottom w:val="0"/>
          <w:divBdr>
            <w:top w:val="none" w:sz="0" w:space="0" w:color="auto"/>
            <w:left w:val="none" w:sz="0" w:space="0" w:color="auto"/>
            <w:bottom w:val="none" w:sz="0" w:space="0" w:color="auto"/>
            <w:right w:val="none" w:sz="0" w:space="0" w:color="auto"/>
          </w:divBdr>
        </w:div>
        <w:div w:id="2024699889">
          <w:marLeft w:val="0"/>
          <w:marRight w:val="0"/>
          <w:marTop w:val="0"/>
          <w:marBottom w:val="0"/>
          <w:divBdr>
            <w:top w:val="none" w:sz="0" w:space="0" w:color="auto"/>
            <w:left w:val="none" w:sz="0" w:space="0" w:color="auto"/>
            <w:bottom w:val="none" w:sz="0" w:space="0" w:color="auto"/>
            <w:right w:val="none" w:sz="0" w:space="0" w:color="auto"/>
          </w:divBdr>
        </w:div>
        <w:div w:id="2024699890">
          <w:marLeft w:val="0"/>
          <w:marRight w:val="0"/>
          <w:marTop w:val="0"/>
          <w:marBottom w:val="0"/>
          <w:divBdr>
            <w:top w:val="none" w:sz="0" w:space="0" w:color="auto"/>
            <w:left w:val="none" w:sz="0" w:space="0" w:color="auto"/>
            <w:bottom w:val="none" w:sz="0" w:space="0" w:color="auto"/>
            <w:right w:val="none" w:sz="0" w:space="0" w:color="auto"/>
          </w:divBdr>
        </w:div>
        <w:div w:id="2024699891">
          <w:marLeft w:val="0"/>
          <w:marRight w:val="0"/>
          <w:marTop w:val="0"/>
          <w:marBottom w:val="0"/>
          <w:divBdr>
            <w:top w:val="none" w:sz="0" w:space="0" w:color="auto"/>
            <w:left w:val="none" w:sz="0" w:space="0" w:color="auto"/>
            <w:bottom w:val="none" w:sz="0" w:space="0" w:color="auto"/>
            <w:right w:val="none" w:sz="0" w:space="0" w:color="auto"/>
          </w:divBdr>
        </w:div>
        <w:div w:id="2024699893">
          <w:marLeft w:val="0"/>
          <w:marRight w:val="0"/>
          <w:marTop w:val="0"/>
          <w:marBottom w:val="0"/>
          <w:divBdr>
            <w:top w:val="none" w:sz="0" w:space="0" w:color="auto"/>
            <w:left w:val="none" w:sz="0" w:space="0" w:color="auto"/>
            <w:bottom w:val="none" w:sz="0" w:space="0" w:color="auto"/>
            <w:right w:val="none" w:sz="0" w:space="0" w:color="auto"/>
          </w:divBdr>
        </w:div>
        <w:div w:id="2024699894">
          <w:marLeft w:val="0"/>
          <w:marRight w:val="0"/>
          <w:marTop w:val="0"/>
          <w:marBottom w:val="0"/>
          <w:divBdr>
            <w:top w:val="none" w:sz="0" w:space="0" w:color="auto"/>
            <w:left w:val="none" w:sz="0" w:space="0" w:color="auto"/>
            <w:bottom w:val="none" w:sz="0" w:space="0" w:color="auto"/>
            <w:right w:val="none" w:sz="0" w:space="0" w:color="auto"/>
          </w:divBdr>
        </w:div>
        <w:div w:id="2024699895">
          <w:marLeft w:val="0"/>
          <w:marRight w:val="0"/>
          <w:marTop w:val="0"/>
          <w:marBottom w:val="0"/>
          <w:divBdr>
            <w:top w:val="none" w:sz="0" w:space="0" w:color="auto"/>
            <w:left w:val="none" w:sz="0" w:space="0" w:color="auto"/>
            <w:bottom w:val="none" w:sz="0" w:space="0" w:color="auto"/>
            <w:right w:val="none" w:sz="0" w:space="0" w:color="auto"/>
          </w:divBdr>
        </w:div>
        <w:div w:id="2024699896">
          <w:marLeft w:val="0"/>
          <w:marRight w:val="0"/>
          <w:marTop w:val="0"/>
          <w:marBottom w:val="0"/>
          <w:divBdr>
            <w:top w:val="none" w:sz="0" w:space="0" w:color="auto"/>
            <w:left w:val="none" w:sz="0" w:space="0" w:color="auto"/>
            <w:bottom w:val="none" w:sz="0" w:space="0" w:color="auto"/>
            <w:right w:val="none" w:sz="0" w:space="0" w:color="auto"/>
          </w:divBdr>
        </w:div>
        <w:div w:id="2024699897">
          <w:marLeft w:val="0"/>
          <w:marRight w:val="0"/>
          <w:marTop w:val="0"/>
          <w:marBottom w:val="0"/>
          <w:divBdr>
            <w:top w:val="none" w:sz="0" w:space="0" w:color="auto"/>
            <w:left w:val="none" w:sz="0" w:space="0" w:color="auto"/>
            <w:bottom w:val="none" w:sz="0" w:space="0" w:color="auto"/>
            <w:right w:val="none" w:sz="0" w:space="0" w:color="auto"/>
          </w:divBdr>
        </w:div>
        <w:div w:id="2024699898">
          <w:marLeft w:val="0"/>
          <w:marRight w:val="0"/>
          <w:marTop w:val="0"/>
          <w:marBottom w:val="0"/>
          <w:divBdr>
            <w:top w:val="none" w:sz="0" w:space="0" w:color="auto"/>
            <w:left w:val="none" w:sz="0" w:space="0" w:color="auto"/>
            <w:bottom w:val="none" w:sz="0" w:space="0" w:color="auto"/>
            <w:right w:val="none" w:sz="0" w:space="0" w:color="auto"/>
          </w:divBdr>
        </w:div>
        <w:div w:id="2024699899">
          <w:marLeft w:val="0"/>
          <w:marRight w:val="0"/>
          <w:marTop w:val="0"/>
          <w:marBottom w:val="0"/>
          <w:divBdr>
            <w:top w:val="none" w:sz="0" w:space="0" w:color="auto"/>
            <w:left w:val="none" w:sz="0" w:space="0" w:color="auto"/>
            <w:bottom w:val="none" w:sz="0" w:space="0" w:color="auto"/>
            <w:right w:val="none" w:sz="0" w:space="0" w:color="auto"/>
          </w:divBdr>
        </w:div>
        <w:div w:id="2024699900">
          <w:marLeft w:val="0"/>
          <w:marRight w:val="0"/>
          <w:marTop w:val="0"/>
          <w:marBottom w:val="0"/>
          <w:divBdr>
            <w:top w:val="none" w:sz="0" w:space="0" w:color="auto"/>
            <w:left w:val="none" w:sz="0" w:space="0" w:color="auto"/>
            <w:bottom w:val="none" w:sz="0" w:space="0" w:color="auto"/>
            <w:right w:val="none" w:sz="0" w:space="0" w:color="auto"/>
          </w:divBdr>
        </w:div>
        <w:div w:id="2024699901">
          <w:marLeft w:val="0"/>
          <w:marRight w:val="0"/>
          <w:marTop w:val="0"/>
          <w:marBottom w:val="0"/>
          <w:divBdr>
            <w:top w:val="none" w:sz="0" w:space="0" w:color="auto"/>
            <w:left w:val="none" w:sz="0" w:space="0" w:color="auto"/>
            <w:bottom w:val="none" w:sz="0" w:space="0" w:color="auto"/>
            <w:right w:val="none" w:sz="0" w:space="0" w:color="auto"/>
          </w:divBdr>
        </w:div>
        <w:div w:id="2024699902">
          <w:marLeft w:val="0"/>
          <w:marRight w:val="0"/>
          <w:marTop w:val="0"/>
          <w:marBottom w:val="0"/>
          <w:divBdr>
            <w:top w:val="none" w:sz="0" w:space="0" w:color="auto"/>
            <w:left w:val="none" w:sz="0" w:space="0" w:color="auto"/>
            <w:bottom w:val="none" w:sz="0" w:space="0" w:color="auto"/>
            <w:right w:val="none" w:sz="0" w:space="0" w:color="auto"/>
          </w:divBdr>
        </w:div>
        <w:div w:id="2024699903">
          <w:marLeft w:val="0"/>
          <w:marRight w:val="0"/>
          <w:marTop w:val="0"/>
          <w:marBottom w:val="0"/>
          <w:divBdr>
            <w:top w:val="none" w:sz="0" w:space="0" w:color="auto"/>
            <w:left w:val="none" w:sz="0" w:space="0" w:color="auto"/>
            <w:bottom w:val="none" w:sz="0" w:space="0" w:color="auto"/>
            <w:right w:val="none" w:sz="0" w:space="0" w:color="auto"/>
          </w:divBdr>
        </w:div>
        <w:div w:id="2024699904">
          <w:marLeft w:val="0"/>
          <w:marRight w:val="0"/>
          <w:marTop w:val="0"/>
          <w:marBottom w:val="0"/>
          <w:divBdr>
            <w:top w:val="none" w:sz="0" w:space="0" w:color="auto"/>
            <w:left w:val="none" w:sz="0" w:space="0" w:color="auto"/>
            <w:bottom w:val="none" w:sz="0" w:space="0" w:color="auto"/>
            <w:right w:val="none" w:sz="0" w:space="0" w:color="auto"/>
          </w:divBdr>
        </w:div>
        <w:div w:id="2024699905">
          <w:marLeft w:val="0"/>
          <w:marRight w:val="0"/>
          <w:marTop w:val="0"/>
          <w:marBottom w:val="0"/>
          <w:divBdr>
            <w:top w:val="none" w:sz="0" w:space="0" w:color="auto"/>
            <w:left w:val="none" w:sz="0" w:space="0" w:color="auto"/>
            <w:bottom w:val="none" w:sz="0" w:space="0" w:color="auto"/>
            <w:right w:val="none" w:sz="0" w:space="0" w:color="auto"/>
          </w:divBdr>
        </w:div>
        <w:div w:id="2024699906">
          <w:marLeft w:val="0"/>
          <w:marRight w:val="0"/>
          <w:marTop w:val="0"/>
          <w:marBottom w:val="0"/>
          <w:divBdr>
            <w:top w:val="none" w:sz="0" w:space="0" w:color="auto"/>
            <w:left w:val="none" w:sz="0" w:space="0" w:color="auto"/>
            <w:bottom w:val="none" w:sz="0" w:space="0" w:color="auto"/>
            <w:right w:val="none" w:sz="0" w:space="0" w:color="auto"/>
          </w:divBdr>
        </w:div>
        <w:div w:id="2024699907">
          <w:marLeft w:val="0"/>
          <w:marRight w:val="0"/>
          <w:marTop w:val="0"/>
          <w:marBottom w:val="0"/>
          <w:divBdr>
            <w:top w:val="none" w:sz="0" w:space="0" w:color="auto"/>
            <w:left w:val="none" w:sz="0" w:space="0" w:color="auto"/>
            <w:bottom w:val="none" w:sz="0" w:space="0" w:color="auto"/>
            <w:right w:val="none" w:sz="0" w:space="0" w:color="auto"/>
          </w:divBdr>
        </w:div>
        <w:div w:id="2024699908">
          <w:marLeft w:val="0"/>
          <w:marRight w:val="0"/>
          <w:marTop w:val="0"/>
          <w:marBottom w:val="0"/>
          <w:divBdr>
            <w:top w:val="none" w:sz="0" w:space="0" w:color="auto"/>
            <w:left w:val="none" w:sz="0" w:space="0" w:color="auto"/>
            <w:bottom w:val="none" w:sz="0" w:space="0" w:color="auto"/>
            <w:right w:val="none" w:sz="0" w:space="0" w:color="auto"/>
          </w:divBdr>
        </w:div>
        <w:div w:id="2024699909">
          <w:marLeft w:val="0"/>
          <w:marRight w:val="0"/>
          <w:marTop w:val="0"/>
          <w:marBottom w:val="0"/>
          <w:divBdr>
            <w:top w:val="none" w:sz="0" w:space="0" w:color="auto"/>
            <w:left w:val="none" w:sz="0" w:space="0" w:color="auto"/>
            <w:bottom w:val="none" w:sz="0" w:space="0" w:color="auto"/>
            <w:right w:val="none" w:sz="0" w:space="0" w:color="auto"/>
          </w:divBdr>
        </w:div>
        <w:div w:id="2024699910">
          <w:marLeft w:val="0"/>
          <w:marRight w:val="0"/>
          <w:marTop w:val="0"/>
          <w:marBottom w:val="0"/>
          <w:divBdr>
            <w:top w:val="none" w:sz="0" w:space="0" w:color="auto"/>
            <w:left w:val="none" w:sz="0" w:space="0" w:color="auto"/>
            <w:bottom w:val="none" w:sz="0" w:space="0" w:color="auto"/>
            <w:right w:val="none" w:sz="0" w:space="0" w:color="auto"/>
          </w:divBdr>
        </w:div>
        <w:div w:id="2024699911">
          <w:marLeft w:val="0"/>
          <w:marRight w:val="0"/>
          <w:marTop w:val="0"/>
          <w:marBottom w:val="0"/>
          <w:divBdr>
            <w:top w:val="none" w:sz="0" w:space="0" w:color="auto"/>
            <w:left w:val="none" w:sz="0" w:space="0" w:color="auto"/>
            <w:bottom w:val="none" w:sz="0" w:space="0" w:color="auto"/>
            <w:right w:val="none" w:sz="0" w:space="0" w:color="auto"/>
          </w:divBdr>
        </w:div>
        <w:div w:id="2024699912">
          <w:marLeft w:val="0"/>
          <w:marRight w:val="0"/>
          <w:marTop w:val="0"/>
          <w:marBottom w:val="0"/>
          <w:divBdr>
            <w:top w:val="none" w:sz="0" w:space="0" w:color="auto"/>
            <w:left w:val="none" w:sz="0" w:space="0" w:color="auto"/>
            <w:bottom w:val="none" w:sz="0" w:space="0" w:color="auto"/>
            <w:right w:val="none" w:sz="0" w:space="0" w:color="auto"/>
          </w:divBdr>
        </w:div>
        <w:div w:id="2024699913">
          <w:marLeft w:val="0"/>
          <w:marRight w:val="0"/>
          <w:marTop w:val="0"/>
          <w:marBottom w:val="0"/>
          <w:divBdr>
            <w:top w:val="none" w:sz="0" w:space="0" w:color="auto"/>
            <w:left w:val="none" w:sz="0" w:space="0" w:color="auto"/>
            <w:bottom w:val="none" w:sz="0" w:space="0" w:color="auto"/>
            <w:right w:val="none" w:sz="0" w:space="0" w:color="auto"/>
          </w:divBdr>
        </w:div>
        <w:div w:id="2024699914">
          <w:marLeft w:val="0"/>
          <w:marRight w:val="0"/>
          <w:marTop w:val="0"/>
          <w:marBottom w:val="0"/>
          <w:divBdr>
            <w:top w:val="none" w:sz="0" w:space="0" w:color="auto"/>
            <w:left w:val="none" w:sz="0" w:space="0" w:color="auto"/>
            <w:bottom w:val="none" w:sz="0" w:space="0" w:color="auto"/>
            <w:right w:val="none" w:sz="0" w:space="0" w:color="auto"/>
          </w:divBdr>
        </w:div>
        <w:div w:id="2024699915">
          <w:marLeft w:val="0"/>
          <w:marRight w:val="0"/>
          <w:marTop w:val="0"/>
          <w:marBottom w:val="0"/>
          <w:divBdr>
            <w:top w:val="none" w:sz="0" w:space="0" w:color="auto"/>
            <w:left w:val="none" w:sz="0" w:space="0" w:color="auto"/>
            <w:bottom w:val="none" w:sz="0" w:space="0" w:color="auto"/>
            <w:right w:val="none" w:sz="0" w:space="0" w:color="auto"/>
          </w:divBdr>
        </w:div>
        <w:div w:id="2024699916">
          <w:marLeft w:val="0"/>
          <w:marRight w:val="0"/>
          <w:marTop w:val="0"/>
          <w:marBottom w:val="0"/>
          <w:divBdr>
            <w:top w:val="none" w:sz="0" w:space="0" w:color="auto"/>
            <w:left w:val="none" w:sz="0" w:space="0" w:color="auto"/>
            <w:bottom w:val="none" w:sz="0" w:space="0" w:color="auto"/>
            <w:right w:val="none" w:sz="0" w:space="0" w:color="auto"/>
          </w:divBdr>
        </w:div>
        <w:div w:id="2024699917">
          <w:marLeft w:val="0"/>
          <w:marRight w:val="0"/>
          <w:marTop w:val="0"/>
          <w:marBottom w:val="0"/>
          <w:divBdr>
            <w:top w:val="none" w:sz="0" w:space="0" w:color="auto"/>
            <w:left w:val="none" w:sz="0" w:space="0" w:color="auto"/>
            <w:bottom w:val="none" w:sz="0" w:space="0" w:color="auto"/>
            <w:right w:val="none" w:sz="0" w:space="0" w:color="auto"/>
          </w:divBdr>
        </w:div>
        <w:div w:id="2024699919">
          <w:marLeft w:val="0"/>
          <w:marRight w:val="0"/>
          <w:marTop w:val="0"/>
          <w:marBottom w:val="0"/>
          <w:divBdr>
            <w:top w:val="none" w:sz="0" w:space="0" w:color="auto"/>
            <w:left w:val="none" w:sz="0" w:space="0" w:color="auto"/>
            <w:bottom w:val="none" w:sz="0" w:space="0" w:color="auto"/>
            <w:right w:val="none" w:sz="0" w:space="0" w:color="auto"/>
          </w:divBdr>
        </w:div>
        <w:div w:id="2024699920">
          <w:marLeft w:val="0"/>
          <w:marRight w:val="0"/>
          <w:marTop w:val="0"/>
          <w:marBottom w:val="0"/>
          <w:divBdr>
            <w:top w:val="none" w:sz="0" w:space="0" w:color="auto"/>
            <w:left w:val="none" w:sz="0" w:space="0" w:color="auto"/>
            <w:bottom w:val="none" w:sz="0" w:space="0" w:color="auto"/>
            <w:right w:val="none" w:sz="0" w:space="0" w:color="auto"/>
          </w:divBdr>
        </w:div>
        <w:div w:id="2024699921">
          <w:marLeft w:val="0"/>
          <w:marRight w:val="0"/>
          <w:marTop w:val="0"/>
          <w:marBottom w:val="0"/>
          <w:divBdr>
            <w:top w:val="none" w:sz="0" w:space="0" w:color="auto"/>
            <w:left w:val="none" w:sz="0" w:space="0" w:color="auto"/>
            <w:bottom w:val="none" w:sz="0" w:space="0" w:color="auto"/>
            <w:right w:val="none" w:sz="0" w:space="0" w:color="auto"/>
          </w:divBdr>
        </w:div>
        <w:div w:id="2024699923">
          <w:marLeft w:val="0"/>
          <w:marRight w:val="0"/>
          <w:marTop w:val="0"/>
          <w:marBottom w:val="0"/>
          <w:divBdr>
            <w:top w:val="none" w:sz="0" w:space="0" w:color="auto"/>
            <w:left w:val="none" w:sz="0" w:space="0" w:color="auto"/>
            <w:bottom w:val="none" w:sz="0" w:space="0" w:color="auto"/>
            <w:right w:val="none" w:sz="0" w:space="0" w:color="auto"/>
          </w:divBdr>
        </w:div>
        <w:div w:id="2024699924">
          <w:marLeft w:val="0"/>
          <w:marRight w:val="0"/>
          <w:marTop w:val="0"/>
          <w:marBottom w:val="0"/>
          <w:divBdr>
            <w:top w:val="none" w:sz="0" w:space="0" w:color="auto"/>
            <w:left w:val="none" w:sz="0" w:space="0" w:color="auto"/>
            <w:bottom w:val="none" w:sz="0" w:space="0" w:color="auto"/>
            <w:right w:val="none" w:sz="0" w:space="0" w:color="auto"/>
          </w:divBdr>
        </w:div>
        <w:div w:id="2024699925">
          <w:marLeft w:val="0"/>
          <w:marRight w:val="0"/>
          <w:marTop w:val="0"/>
          <w:marBottom w:val="0"/>
          <w:divBdr>
            <w:top w:val="none" w:sz="0" w:space="0" w:color="auto"/>
            <w:left w:val="none" w:sz="0" w:space="0" w:color="auto"/>
            <w:bottom w:val="none" w:sz="0" w:space="0" w:color="auto"/>
            <w:right w:val="none" w:sz="0" w:space="0" w:color="auto"/>
          </w:divBdr>
        </w:div>
        <w:div w:id="2024699926">
          <w:marLeft w:val="0"/>
          <w:marRight w:val="0"/>
          <w:marTop w:val="0"/>
          <w:marBottom w:val="0"/>
          <w:divBdr>
            <w:top w:val="none" w:sz="0" w:space="0" w:color="auto"/>
            <w:left w:val="none" w:sz="0" w:space="0" w:color="auto"/>
            <w:bottom w:val="none" w:sz="0" w:space="0" w:color="auto"/>
            <w:right w:val="none" w:sz="0" w:space="0" w:color="auto"/>
          </w:divBdr>
        </w:div>
        <w:div w:id="2024699927">
          <w:marLeft w:val="0"/>
          <w:marRight w:val="0"/>
          <w:marTop w:val="0"/>
          <w:marBottom w:val="0"/>
          <w:divBdr>
            <w:top w:val="none" w:sz="0" w:space="0" w:color="auto"/>
            <w:left w:val="none" w:sz="0" w:space="0" w:color="auto"/>
            <w:bottom w:val="none" w:sz="0" w:space="0" w:color="auto"/>
            <w:right w:val="none" w:sz="0" w:space="0" w:color="auto"/>
          </w:divBdr>
        </w:div>
        <w:div w:id="2024699928">
          <w:marLeft w:val="0"/>
          <w:marRight w:val="0"/>
          <w:marTop w:val="0"/>
          <w:marBottom w:val="0"/>
          <w:divBdr>
            <w:top w:val="none" w:sz="0" w:space="0" w:color="auto"/>
            <w:left w:val="none" w:sz="0" w:space="0" w:color="auto"/>
            <w:bottom w:val="none" w:sz="0" w:space="0" w:color="auto"/>
            <w:right w:val="none" w:sz="0" w:space="0" w:color="auto"/>
          </w:divBdr>
        </w:div>
        <w:div w:id="2024699929">
          <w:marLeft w:val="0"/>
          <w:marRight w:val="0"/>
          <w:marTop w:val="0"/>
          <w:marBottom w:val="0"/>
          <w:divBdr>
            <w:top w:val="none" w:sz="0" w:space="0" w:color="auto"/>
            <w:left w:val="none" w:sz="0" w:space="0" w:color="auto"/>
            <w:bottom w:val="none" w:sz="0" w:space="0" w:color="auto"/>
            <w:right w:val="none" w:sz="0" w:space="0" w:color="auto"/>
          </w:divBdr>
        </w:div>
        <w:div w:id="2024699930">
          <w:marLeft w:val="0"/>
          <w:marRight w:val="0"/>
          <w:marTop w:val="0"/>
          <w:marBottom w:val="0"/>
          <w:divBdr>
            <w:top w:val="none" w:sz="0" w:space="0" w:color="auto"/>
            <w:left w:val="none" w:sz="0" w:space="0" w:color="auto"/>
            <w:bottom w:val="none" w:sz="0" w:space="0" w:color="auto"/>
            <w:right w:val="none" w:sz="0" w:space="0" w:color="auto"/>
          </w:divBdr>
        </w:div>
        <w:div w:id="2024699931">
          <w:marLeft w:val="0"/>
          <w:marRight w:val="0"/>
          <w:marTop w:val="0"/>
          <w:marBottom w:val="0"/>
          <w:divBdr>
            <w:top w:val="none" w:sz="0" w:space="0" w:color="auto"/>
            <w:left w:val="none" w:sz="0" w:space="0" w:color="auto"/>
            <w:bottom w:val="none" w:sz="0" w:space="0" w:color="auto"/>
            <w:right w:val="none" w:sz="0" w:space="0" w:color="auto"/>
          </w:divBdr>
        </w:div>
        <w:div w:id="2024699932">
          <w:marLeft w:val="0"/>
          <w:marRight w:val="0"/>
          <w:marTop w:val="0"/>
          <w:marBottom w:val="0"/>
          <w:divBdr>
            <w:top w:val="none" w:sz="0" w:space="0" w:color="auto"/>
            <w:left w:val="none" w:sz="0" w:space="0" w:color="auto"/>
            <w:bottom w:val="none" w:sz="0" w:space="0" w:color="auto"/>
            <w:right w:val="none" w:sz="0" w:space="0" w:color="auto"/>
          </w:divBdr>
        </w:div>
        <w:div w:id="2024699933">
          <w:marLeft w:val="0"/>
          <w:marRight w:val="0"/>
          <w:marTop w:val="0"/>
          <w:marBottom w:val="0"/>
          <w:divBdr>
            <w:top w:val="none" w:sz="0" w:space="0" w:color="auto"/>
            <w:left w:val="none" w:sz="0" w:space="0" w:color="auto"/>
            <w:bottom w:val="none" w:sz="0" w:space="0" w:color="auto"/>
            <w:right w:val="none" w:sz="0" w:space="0" w:color="auto"/>
          </w:divBdr>
        </w:div>
        <w:div w:id="2024699934">
          <w:marLeft w:val="0"/>
          <w:marRight w:val="0"/>
          <w:marTop w:val="0"/>
          <w:marBottom w:val="0"/>
          <w:divBdr>
            <w:top w:val="none" w:sz="0" w:space="0" w:color="auto"/>
            <w:left w:val="none" w:sz="0" w:space="0" w:color="auto"/>
            <w:bottom w:val="none" w:sz="0" w:space="0" w:color="auto"/>
            <w:right w:val="none" w:sz="0" w:space="0" w:color="auto"/>
          </w:divBdr>
        </w:div>
        <w:div w:id="2024699935">
          <w:marLeft w:val="0"/>
          <w:marRight w:val="0"/>
          <w:marTop w:val="0"/>
          <w:marBottom w:val="0"/>
          <w:divBdr>
            <w:top w:val="none" w:sz="0" w:space="0" w:color="auto"/>
            <w:left w:val="none" w:sz="0" w:space="0" w:color="auto"/>
            <w:bottom w:val="none" w:sz="0" w:space="0" w:color="auto"/>
            <w:right w:val="none" w:sz="0" w:space="0" w:color="auto"/>
          </w:divBdr>
        </w:div>
        <w:div w:id="2024699936">
          <w:marLeft w:val="0"/>
          <w:marRight w:val="0"/>
          <w:marTop w:val="0"/>
          <w:marBottom w:val="0"/>
          <w:divBdr>
            <w:top w:val="none" w:sz="0" w:space="0" w:color="auto"/>
            <w:left w:val="none" w:sz="0" w:space="0" w:color="auto"/>
            <w:bottom w:val="none" w:sz="0" w:space="0" w:color="auto"/>
            <w:right w:val="none" w:sz="0" w:space="0" w:color="auto"/>
          </w:divBdr>
        </w:div>
        <w:div w:id="2024699937">
          <w:marLeft w:val="0"/>
          <w:marRight w:val="0"/>
          <w:marTop w:val="0"/>
          <w:marBottom w:val="0"/>
          <w:divBdr>
            <w:top w:val="none" w:sz="0" w:space="0" w:color="auto"/>
            <w:left w:val="none" w:sz="0" w:space="0" w:color="auto"/>
            <w:bottom w:val="none" w:sz="0" w:space="0" w:color="auto"/>
            <w:right w:val="none" w:sz="0" w:space="0" w:color="auto"/>
          </w:divBdr>
        </w:div>
        <w:div w:id="2024699938">
          <w:marLeft w:val="0"/>
          <w:marRight w:val="0"/>
          <w:marTop w:val="0"/>
          <w:marBottom w:val="0"/>
          <w:divBdr>
            <w:top w:val="none" w:sz="0" w:space="0" w:color="auto"/>
            <w:left w:val="none" w:sz="0" w:space="0" w:color="auto"/>
            <w:bottom w:val="none" w:sz="0" w:space="0" w:color="auto"/>
            <w:right w:val="none" w:sz="0" w:space="0" w:color="auto"/>
          </w:divBdr>
        </w:div>
        <w:div w:id="2024699939">
          <w:marLeft w:val="0"/>
          <w:marRight w:val="0"/>
          <w:marTop w:val="0"/>
          <w:marBottom w:val="0"/>
          <w:divBdr>
            <w:top w:val="none" w:sz="0" w:space="0" w:color="auto"/>
            <w:left w:val="none" w:sz="0" w:space="0" w:color="auto"/>
            <w:bottom w:val="none" w:sz="0" w:space="0" w:color="auto"/>
            <w:right w:val="none" w:sz="0" w:space="0" w:color="auto"/>
          </w:divBdr>
        </w:div>
        <w:div w:id="2024699940">
          <w:marLeft w:val="0"/>
          <w:marRight w:val="0"/>
          <w:marTop w:val="0"/>
          <w:marBottom w:val="0"/>
          <w:divBdr>
            <w:top w:val="none" w:sz="0" w:space="0" w:color="auto"/>
            <w:left w:val="none" w:sz="0" w:space="0" w:color="auto"/>
            <w:bottom w:val="none" w:sz="0" w:space="0" w:color="auto"/>
            <w:right w:val="none" w:sz="0" w:space="0" w:color="auto"/>
          </w:divBdr>
        </w:div>
        <w:div w:id="2024699941">
          <w:marLeft w:val="0"/>
          <w:marRight w:val="0"/>
          <w:marTop w:val="0"/>
          <w:marBottom w:val="0"/>
          <w:divBdr>
            <w:top w:val="none" w:sz="0" w:space="0" w:color="auto"/>
            <w:left w:val="none" w:sz="0" w:space="0" w:color="auto"/>
            <w:bottom w:val="none" w:sz="0" w:space="0" w:color="auto"/>
            <w:right w:val="none" w:sz="0" w:space="0" w:color="auto"/>
          </w:divBdr>
        </w:div>
        <w:div w:id="2024699942">
          <w:marLeft w:val="0"/>
          <w:marRight w:val="0"/>
          <w:marTop w:val="0"/>
          <w:marBottom w:val="0"/>
          <w:divBdr>
            <w:top w:val="none" w:sz="0" w:space="0" w:color="auto"/>
            <w:left w:val="none" w:sz="0" w:space="0" w:color="auto"/>
            <w:bottom w:val="none" w:sz="0" w:space="0" w:color="auto"/>
            <w:right w:val="none" w:sz="0" w:space="0" w:color="auto"/>
          </w:divBdr>
        </w:div>
        <w:div w:id="2024699943">
          <w:marLeft w:val="0"/>
          <w:marRight w:val="0"/>
          <w:marTop w:val="0"/>
          <w:marBottom w:val="0"/>
          <w:divBdr>
            <w:top w:val="none" w:sz="0" w:space="0" w:color="auto"/>
            <w:left w:val="none" w:sz="0" w:space="0" w:color="auto"/>
            <w:bottom w:val="none" w:sz="0" w:space="0" w:color="auto"/>
            <w:right w:val="none" w:sz="0" w:space="0" w:color="auto"/>
          </w:divBdr>
        </w:div>
        <w:div w:id="2024699944">
          <w:marLeft w:val="0"/>
          <w:marRight w:val="0"/>
          <w:marTop w:val="0"/>
          <w:marBottom w:val="0"/>
          <w:divBdr>
            <w:top w:val="none" w:sz="0" w:space="0" w:color="auto"/>
            <w:left w:val="none" w:sz="0" w:space="0" w:color="auto"/>
            <w:bottom w:val="none" w:sz="0" w:space="0" w:color="auto"/>
            <w:right w:val="none" w:sz="0" w:space="0" w:color="auto"/>
          </w:divBdr>
        </w:div>
        <w:div w:id="2024699945">
          <w:marLeft w:val="0"/>
          <w:marRight w:val="0"/>
          <w:marTop w:val="0"/>
          <w:marBottom w:val="0"/>
          <w:divBdr>
            <w:top w:val="none" w:sz="0" w:space="0" w:color="auto"/>
            <w:left w:val="none" w:sz="0" w:space="0" w:color="auto"/>
            <w:bottom w:val="none" w:sz="0" w:space="0" w:color="auto"/>
            <w:right w:val="none" w:sz="0" w:space="0" w:color="auto"/>
          </w:divBdr>
        </w:div>
        <w:div w:id="2024699946">
          <w:marLeft w:val="0"/>
          <w:marRight w:val="0"/>
          <w:marTop w:val="0"/>
          <w:marBottom w:val="0"/>
          <w:divBdr>
            <w:top w:val="none" w:sz="0" w:space="0" w:color="auto"/>
            <w:left w:val="none" w:sz="0" w:space="0" w:color="auto"/>
            <w:bottom w:val="none" w:sz="0" w:space="0" w:color="auto"/>
            <w:right w:val="none" w:sz="0" w:space="0" w:color="auto"/>
          </w:divBdr>
        </w:div>
        <w:div w:id="2024699947">
          <w:marLeft w:val="0"/>
          <w:marRight w:val="0"/>
          <w:marTop w:val="0"/>
          <w:marBottom w:val="0"/>
          <w:divBdr>
            <w:top w:val="none" w:sz="0" w:space="0" w:color="auto"/>
            <w:left w:val="none" w:sz="0" w:space="0" w:color="auto"/>
            <w:bottom w:val="none" w:sz="0" w:space="0" w:color="auto"/>
            <w:right w:val="none" w:sz="0" w:space="0" w:color="auto"/>
          </w:divBdr>
        </w:div>
        <w:div w:id="2024699948">
          <w:marLeft w:val="0"/>
          <w:marRight w:val="0"/>
          <w:marTop w:val="0"/>
          <w:marBottom w:val="0"/>
          <w:divBdr>
            <w:top w:val="none" w:sz="0" w:space="0" w:color="auto"/>
            <w:left w:val="none" w:sz="0" w:space="0" w:color="auto"/>
            <w:bottom w:val="none" w:sz="0" w:space="0" w:color="auto"/>
            <w:right w:val="none" w:sz="0" w:space="0" w:color="auto"/>
          </w:divBdr>
        </w:div>
        <w:div w:id="2024699949">
          <w:marLeft w:val="0"/>
          <w:marRight w:val="0"/>
          <w:marTop w:val="0"/>
          <w:marBottom w:val="0"/>
          <w:divBdr>
            <w:top w:val="none" w:sz="0" w:space="0" w:color="auto"/>
            <w:left w:val="none" w:sz="0" w:space="0" w:color="auto"/>
            <w:bottom w:val="none" w:sz="0" w:space="0" w:color="auto"/>
            <w:right w:val="none" w:sz="0" w:space="0" w:color="auto"/>
          </w:divBdr>
        </w:div>
        <w:div w:id="2024699950">
          <w:marLeft w:val="0"/>
          <w:marRight w:val="0"/>
          <w:marTop w:val="0"/>
          <w:marBottom w:val="0"/>
          <w:divBdr>
            <w:top w:val="none" w:sz="0" w:space="0" w:color="auto"/>
            <w:left w:val="none" w:sz="0" w:space="0" w:color="auto"/>
            <w:bottom w:val="none" w:sz="0" w:space="0" w:color="auto"/>
            <w:right w:val="none" w:sz="0" w:space="0" w:color="auto"/>
          </w:divBdr>
        </w:div>
        <w:div w:id="2024699951">
          <w:marLeft w:val="0"/>
          <w:marRight w:val="0"/>
          <w:marTop w:val="0"/>
          <w:marBottom w:val="0"/>
          <w:divBdr>
            <w:top w:val="none" w:sz="0" w:space="0" w:color="auto"/>
            <w:left w:val="none" w:sz="0" w:space="0" w:color="auto"/>
            <w:bottom w:val="none" w:sz="0" w:space="0" w:color="auto"/>
            <w:right w:val="none" w:sz="0" w:space="0" w:color="auto"/>
          </w:divBdr>
        </w:div>
        <w:div w:id="2024699952">
          <w:marLeft w:val="0"/>
          <w:marRight w:val="0"/>
          <w:marTop w:val="0"/>
          <w:marBottom w:val="0"/>
          <w:divBdr>
            <w:top w:val="none" w:sz="0" w:space="0" w:color="auto"/>
            <w:left w:val="none" w:sz="0" w:space="0" w:color="auto"/>
            <w:bottom w:val="none" w:sz="0" w:space="0" w:color="auto"/>
            <w:right w:val="none" w:sz="0" w:space="0" w:color="auto"/>
          </w:divBdr>
        </w:div>
        <w:div w:id="2024699953">
          <w:marLeft w:val="0"/>
          <w:marRight w:val="0"/>
          <w:marTop w:val="0"/>
          <w:marBottom w:val="0"/>
          <w:divBdr>
            <w:top w:val="none" w:sz="0" w:space="0" w:color="auto"/>
            <w:left w:val="none" w:sz="0" w:space="0" w:color="auto"/>
            <w:bottom w:val="none" w:sz="0" w:space="0" w:color="auto"/>
            <w:right w:val="none" w:sz="0" w:space="0" w:color="auto"/>
          </w:divBdr>
        </w:div>
        <w:div w:id="2024699954">
          <w:marLeft w:val="0"/>
          <w:marRight w:val="0"/>
          <w:marTop w:val="0"/>
          <w:marBottom w:val="0"/>
          <w:divBdr>
            <w:top w:val="none" w:sz="0" w:space="0" w:color="auto"/>
            <w:left w:val="none" w:sz="0" w:space="0" w:color="auto"/>
            <w:bottom w:val="none" w:sz="0" w:space="0" w:color="auto"/>
            <w:right w:val="none" w:sz="0" w:space="0" w:color="auto"/>
          </w:divBdr>
        </w:div>
        <w:div w:id="2024699955">
          <w:marLeft w:val="0"/>
          <w:marRight w:val="0"/>
          <w:marTop w:val="0"/>
          <w:marBottom w:val="0"/>
          <w:divBdr>
            <w:top w:val="none" w:sz="0" w:space="0" w:color="auto"/>
            <w:left w:val="none" w:sz="0" w:space="0" w:color="auto"/>
            <w:bottom w:val="none" w:sz="0" w:space="0" w:color="auto"/>
            <w:right w:val="none" w:sz="0" w:space="0" w:color="auto"/>
          </w:divBdr>
        </w:div>
        <w:div w:id="2024699956">
          <w:marLeft w:val="0"/>
          <w:marRight w:val="0"/>
          <w:marTop w:val="0"/>
          <w:marBottom w:val="0"/>
          <w:divBdr>
            <w:top w:val="none" w:sz="0" w:space="0" w:color="auto"/>
            <w:left w:val="none" w:sz="0" w:space="0" w:color="auto"/>
            <w:bottom w:val="none" w:sz="0" w:space="0" w:color="auto"/>
            <w:right w:val="none" w:sz="0" w:space="0" w:color="auto"/>
          </w:divBdr>
        </w:div>
        <w:div w:id="2024699957">
          <w:marLeft w:val="0"/>
          <w:marRight w:val="0"/>
          <w:marTop w:val="0"/>
          <w:marBottom w:val="0"/>
          <w:divBdr>
            <w:top w:val="none" w:sz="0" w:space="0" w:color="auto"/>
            <w:left w:val="none" w:sz="0" w:space="0" w:color="auto"/>
            <w:bottom w:val="none" w:sz="0" w:space="0" w:color="auto"/>
            <w:right w:val="none" w:sz="0" w:space="0" w:color="auto"/>
          </w:divBdr>
        </w:div>
        <w:div w:id="2024699958">
          <w:marLeft w:val="0"/>
          <w:marRight w:val="0"/>
          <w:marTop w:val="0"/>
          <w:marBottom w:val="0"/>
          <w:divBdr>
            <w:top w:val="none" w:sz="0" w:space="0" w:color="auto"/>
            <w:left w:val="none" w:sz="0" w:space="0" w:color="auto"/>
            <w:bottom w:val="none" w:sz="0" w:space="0" w:color="auto"/>
            <w:right w:val="none" w:sz="0" w:space="0" w:color="auto"/>
          </w:divBdr>
        </w:div>
        <w:div w:id="2024699959">
          <w:marLeft w:val="0"/>
          <w:marRight w:val="0"/>
          <w:marTop w:val="0"/>
          <w:marBottom w:val="0"/>
          <w:divBdr>
            <w:top w:val="none" w:sz="0" w:space="0" w:color="auto"/>
            <w:left w:val="none" w:sz="0" w:space="0" w:color="auto"/>
            <w:bottom w:val="none" w:sz="0" w:space="0" w:color="auto"/>
            <w:right w:val="none" w:sz="0" w:space="0" w:color="auto"/>
          </w:divBdr>
        </w:div>
        <w:div w:id="2024699960">
          <w:marLeft w:val="0"/>
          <w:marRight w:val="0"/>
          <w:marTop w:val="0"/>
          <w:marBottom w:val="0"/>
          <w:divBdr>
            <w:top w:val="none" w:sz="0" w:space="0" w:color="auto"/>
            <w:left w:val="none" w:sz="0" w:space="0" w:color="auto"/>
            <w:bottom w:val="none" w:sz="0" w:space="0" w:color="auto"/>
            <w:right w:val="none" w:sz="0" w:space="0" w:color="auto"/>
          </w:divBdr>
        </w:div>
        <w:div w:id="2024699961">
          <w:marLeft w:val="0"/>
          <w:marRight w:val="0"/>
          <w:marTop w:val="0"/>
          <w:marBottom w:val="0"/>
          <w:divBdr>
            <w:top w:val="none" w:sz="0" w:space="0" w:color="auto"/>
            <w:left w:val="none" w:sz="0" w:space="0" w:color="auto"/>
            <w:bottom w:val="none" w:sz="0" w:space="0" w:color="auto"/>
            <w:right w:val="none" w:sz="0" w:space="0" w:color="auto"/>
          </w:divBdr>
        </w:div>
        <w:div w:id="2024699962">
          <w:marLeft w:val="0"/>
          <w:marRight w:val="0"/>
          <w:marTop w:val="0"/>
          <w:marBottom w:val="0"/>
          <w:divBdr>
            <w:top w:val="none" w:sz="0" w:space="0" w:color="auto"/>
            <w:left w:val="none" w:sz="0" w:space="0" w:color="auto"/>
            <w:bottom w:val="none" w:sz="0" w:space="0" w:color="auto"/>
            <w:right w:val="none" w:sz="0" w:space="0" w:color="auto"/>
          </w:divBdr>
        </w:div>
        <w:div w:id="2024699963">
          <w:marLeft w:val="0"/>
          <w:marRight w:val="0"/>
          <w:marTop w:val="0"/>
          <w:marBottom w:val="0"/>
          <w:divBdr>
            <w:top w:val="none" w:sz="0" w:space="0" w:color="auto"/>
            <w:left w:val="none" w:sz="0" w:space="0" w:color="auto"/>
            <w:bottom w:val="none" w:sz="0" w:space="0" w:color="auto"/>
            <w:right w:val="none" w:sz="0" w:space="0" w:color="auto"/>
          </w:divBdr>
        </w:div>
        <w:div w:id="2024699964">
          <w:marLeft w:val="0"/>
          <w:marRight w:val="0"/>
          <w:marTop w:val="0"/>
          <w:marBottom w:val="0"/>
          <w:divBdr>
            <w:top w:val="none" w:sz="0" w:space="0" w:color="auto"/>
            <w:left w:val="none" w:sz="0" w:space="0" w:color="auto"/>
            <w:bottom w:val="none" w:sz="0" w:space="0" w:color="auto"/>
            <w:right w:val="none" w:sz="0" w:space="0" w:color="auto"/>
          </w:divBdr>
        </w:div>
        <w:div w:id="2024699965">
          <w:marLeft w:val="0"/>
          <w:marRight w:val="0"/>
          <w:marTop w:val="0"/>
          <w:marBottom w:val="0"/>
          <w:divBdr>
            <w:top w:val="none" w:sz="0" w:space="0" w:color="auto"/>
            <w:left w:val="none" w:sz="0" w:space="0" w:color="auto"/>
            <w:bottom w:val="none" w:sz="0" w:space="0" w:color="auto"/>
            <w:right w:val="none" w:sz="0" w:space="0" w:color="auto"/>
          </w:divBdr>
        </w:div>
        <w:div w:id="2024699966">
          <w:marLeft w:val="0"/>
          <w:marRight w:val="0"/>
          <w:marTop w:val="0"/>
          <w:marBottom w:val="0"/>
          <w:divBdr>
            <w:top w:val="none" w:sz="0" w:space="0" w:color="auto"/>
            <w:left w:val="none" w:sz="0" w:space="0" w:color="auto"/>
            <w:bottom w:val="none" w:sz="0" w:space="0" w:color="auto"/>
            <w:right w:val="none" w:sz="0" w:space="0" w:color="auto"/>
          </w:divBdr>
        </w:div>
        <w:div w:id="2024699967">
          <w:marLeft w:val="0"/>
          <w:marRight w:val="0"/>
          <w:marTop w:val="0"/>
          <w:marBottom w:val="0"/>
          <w:divBdr>
            <w:top w:val="none" w:sz="0" w:space="0" w:color="auto"/>
            <w:left w:val="none" w:sz="0" w:space="0" w:color="auto"/>
            <w:bottom w:val="none" w:sz="0" w:space="0" w:color="auto"/>
            <w:right w:val="none" w:sz="0" w:space="0" w:color="auto"/>
          </w:divBdr>
        </w:div>
        <w:div w:id="2024699968">
          <w:marLeft w:val="0"/>
          <w:marRight w:val="0"/>
          <w:marTop w:val="0"/>
          <w:marBottom w:val="0"/>
          <w:divBdr>
            <w:top w:val="none" w:sz="0" w:space="0" w:color="auto"/>
            <w:left w:val="none" w:sz="0" w:space="0" w:color="auto"/>
            <w:bottom w:val="none" w:sz="0" w:space="0" w:color="auto"/>
            <w:right w:val="none" w:sz="0" w:space="0" w:color="auto"/>
          </w:divBdr>
        </w:div>
        <w:div w:id="2024699969">
          <w:marLeft w:val="0"/>
          <w:marRight w:val="0"/>
          <w:marTop w:val="0"/>
          <w:marBottom w:val="0"/>
          <w:divBdr>
            <w:top w:val="none" w:sz="0" w:space="0" w:color="auto"/>
            <w:left w:val="none" w:sz="0" w:space="0" w:color="auto"/>
            <w:bottom w:val="none" w:sz="0" w:space="0" w:color="auto"/>
            <w:right w:val="none" w:sz="0" w:space="0" w:color="auto"/>
          </w:divBdr>
        </w:div>
        <w:div w:id="2024699970">
          <w:marLeft w:val="0"/>
          <w:marRight w:val="0"/>
          <w:marTop w:val="0"/>
          <w:marBottom w:val="0"/>
          <w:divBdr>
            <w:top w:val="none" w:sz="0" w:space="0" w:color="auto"/>
            <w:left w:val="none" w:sz="0" w:space="0" w:color="auto"/>
            <w:bottom w:val="none" w:sz="0" w:space="0" w:color="auto"/>
            <w:right w:val="none" w:sz="0" w:space="0" w:color="auto"/>
          </w:divBdr>
        </w:div>
        <w:div w:id="2024699971">
          <w:marLeft w:val="0"/>
          <w:marRight w:val="0"/>
          <w:marTop w:val="0"/>
          <w:marBottom w:val="0"/>
          <w:divBdr>
            <w:top w:val="none" w:sz="0" w:space="0" w:color="auto"/>
            <w:left w:val="none" w:sz="0" w:space="0" w:color="auto"/>
            <w:bottom w:val="none" w:sz="0" w:space="0" w:color="auto"/>
            <w:right w:val="none" w:sz="0" w:space="0" w:color="auto"/>
          </w:divBdr>
        </w:div>
        <w:div w:id="2024699972">
          <w:marLeft w:val="0"/>
          <w:marRight w:val="0"/>
          <w:marTop w:val="0"/>
          <w:marBottom w:val="0"/>
          <w:divBdr>
            <w:top w:val="none" w:sz="0" w:space="0" w:color="auto"/>
            <w:left w:val="none" w:sz="0" w:space="0" w:color="auto"/>
            <w:bottom w:val="none" w:sz="0" w:space="0" w:color="auto"/>
            <w:right w:val="none" w:sz="0" w:space="0" w:color="auto"/>
          </w:divBdr>
        </w:div>
        <w:div w:id="2024699973">
          <w:marLeft w:val="0"/>
          <w:marRight w:val="0"/>
          <w:marTop w:val="0"/>
          <w:marBottom w:val="0"/>
          <w:divBdr>
            <w:top w:val="none" w:sz="0" w:space="0" w:color="auto"/>
            <w:left w:val="none" w:sz="0" w:space="0" w:color="auto"/>
            <w:bottom w:val="none" w:sz="0" w:space="0" w:color="auto"/>
            <w:right w:val="none" w:sz="0" w:space="0" w:color="auto"/>
          </w:divBdr>
        </w:div>
        <w:div w:id="2024699974">
          <w:marLeft w:val="0"/>
          <w:marRight w:val="0"/>
          <w:marTop w:val="0"/>
          <w:marBottom w:val="0"/>
          <w:divBdr>
            <w:top w:val="none" w:sz="0" w:space="0" w:color="auto"/>
            <w:left w:val="none" w:sz="0" w:space="0" w:color="auto"/>
            <w:bottom w:val="none" w:sz="0" w:space="0" w:color="auto"/>
            <w:right w:val="none" w:sz="0" w:space="0" w:color="auto"/>
          </w:divBdr>
        </w:div>
        <w:div w:id="2024699975">
          <w:marLeft w:val="0"/>
          <w:marRight w:val="0"/>
          <w:marTop w:val="0"/>
          <w:marBottom w:val="0"/>
          <w:divBdr>
            <w:top w:val="none" w:sz="0" w:space="0" w:color="auto"/>
            <w:left w:val="none" w:sz="0" w:space="0" w:color="auto"/>
            <w:bottom w:val="none" w:sz="0" w:space="0" w:color="auto"/>
            <w:right w:val="none" w:sz="0" w:space="0" w:color="auto"/>
          </w:divBdr>
        </w:div>
        <w:div w:id="2024699977">
          <w:marLeft w:val="0"/>
          <w:marRight w:val="0"/>
          <w:marTop w:val="0"/>
          <w:marBottom w:val="0"/>
          <w:divBdr>
            <w:top w:val="none" w:sz="0" w:space="0" w:color="auto"/>
            <w:left w:val="none" w:sz="0" w:space="0" w:color="auto"/>
            <w:bottom w:val="none" w:sz="0" w:space="0" w:color="auto"/>
            <w:right w:val="none" w:sz="0" w:space="0" w:color="auto"/>
          </w:divBdr>
        </w:div>
        <w:div w:id="2024699978">
          <w:marLeft w:val="0"/>
          <w:marRight w:val="0"/>
          <w:marTop w:val="0"/>
          <w:marBottom w:val="0"/>
          <w:divBdr>
            <w:top w:val="none" w:sz="0" w:space="0" w:color="auto"/>
            <w:left w:val="none" w:sz="0" w:space="0" w:color="auto"/>
            <w:bottom w:val="none" w:sz="0" w:space="0" w:color="auto"/>
            <w:right w:val="none" w:sz="0" w:space="0" w:color="auto"/>
          </w:divBdr>
        </w:div>
        <w:div w:id="2024699979">
          <w:marLeft w:val="0"/>
          <w:marRight w:val="0"/>
          <w:marTop w:val="0"/>
          <w:marBottom w:val="0"/>
          <w:divBdr>
            <w:top w:val="none" w:sz="0" w:space="0" w:color="auto"/>
            <w:left w:val="none" w:sz="0" w:space="0" w:color="auto"/>
            <w:bottom w:val="none" w:sz="0" w:space="0" w:color="auto"/>
            <w:right w:val="none" w:sz="0" w:space="0" w:color="auto"/>
          </w:divBdr>
        </w:div>
        <w:div w:id="2024699980">
          <w:marLeft w:val="0"/>
          <w:marRight w:val="0"/>
          <w:marTop w:val="0"/>
          <w:marBottom w:val="0"/>
          <w:divBdr>
            <w:top w:val="none" w:sz="0" w:space="0" w:color="auto"/>
            <w:left w:val="none" w:sz="0" w:space="0" w:color="auto"/>
            <w:bottom w:val="none" w:sz="0" w:space="0" w:color="auto"/>
            <w:right w:val="none" w:sz="0" w:space="0" w:color="auto"/>
          </w:divBdr>
        </w:div>
        <w:div w:id="2024699981">
          <w:marLeft w:val="0"/>
          <w:marRight w:val="0"/>
          <w:marTop w:val="0"/>
          <w:marBottom w:val="0"/>
          <w:divBdr>
            <w:top w:val="none" w:sz="0" w:space="0" w:color="auto"/>
            <w:left w:val="none" w:sz="0" w:space="0" w:color="auto"/>
            <w:bottom w:val="none" w:sz="0" w:space="0" w:color="auto"/>
            <w:right w:val="none" w:sz="0" w:space="0" w:color="auto"/>
          </w:divBdr>
        </w:div>
        <w:div w:id="2024699982">
          <w:marLeft w:val="0"/>
          <w:marRight w:val="0"/>
          <w:marTop w:val="0"/>
          <w:marBottom w:val="0"/>
          <w:divBdr>
            <w:top w:val="none" w:sz="0" w:space="0" w:color="auto"/>
            <w:left w:val="none" w:sz="0" w:space="0" w:color="auto"/>
            <w:bottom w:val="none" w:sz="0" w:space="0" w:color="auto"/>
            <w:right w:val="none" w:sz="0" w:space="0" w:color="auto"/>
          </w:divBdr>
        </w:div>
        <w:div w:id="2024699983">
          <w:marLeft w:val="0"/>
          <w:marRight w:val="0"/>
          <w:marTop w:val="0"/>
          <w:marBottom w:val="0"/>
          <w:divBdr>
            <w:top w:val="none" w:sz="0" w:space="0" w:color="auto"/>
            <w:left w:val="none" w:sz="0" w:space="0" w:color="auto"/>
            <w:bottom w:val="none" w:sz="0" w:space="0" w:color="auto"/>
            <w:right w:val="none" w:sz="0" w:space="0" w:color="auto"/>
          </w:divBdr>
        </w:div>
        <w:div w:id="2024699984">
          <w:marLeft w:val="0"/>
          <w:marRight w:val="0"/>
          <w:marTop w:val="0"/>
          <w:marBottom w:val="0"/>
          <w:divBdr>
            <w:top w:val="none" w:sz="0" w:space="0" w:color="auto"/>
            <w:left w:val="none" w:sz="0" w:space="0" w:color="auto"/>
            <w:bottom w:val="none" w:sz="0" w:space="0" w:color="auto"/>
            <w:right w:val="none" w:sz="0" w:space="0" w:color="auto"/>
          </w:divBdr>
        </w:div>
        <w:div w:id="2024699985">
          <w:marLeft w:val="0"/>
          <w:marRight w:val="0"/>
          <w:marTop w:val="0"/>
          <w:marBottom w:val="0"/>
          <w:divBdr>
            <w:top w:val="none" w:sz="0" w:space="0" w:color="auto"/>
            <w:left w:val="none" w:sz="0" w:space="0" w:color="auto"/>
            <w:bottom w:val="none" w:sz="0" w:space="0" w:color="auto"/>
            <w:right w:val="none" w:sz="0" w:space="0" w:color="auto"/>
          </w:divBdr>
        </w:div>
        <w:div w:id="2024699986">
          <w:marLeft w:val="0"/>
          <w:marRight w:val="0"/>
          <w:marTop w:val="0"/>
          <w:marBottom w:val="0"/>
          <w:divBdr>
            <w:top w:val="none" w:sz="0" w:space="0" w:color="auto"/>
            <w:left w:val="none" w:sz="0" w:space="0" w:color="auto"/>
            <w:bottom w:val="none" w:sz="0" w:space="0" w:color="auto"/>
            <w:right w:val="none" w:sz="0" w:space="0" w:color="auto"/>
          </w:divBdr>
        </w:div>
        <w:div w:id="2024699987">
          <w:marLeft w:val="0"/>
          <w:marRight w:val="0"/>
          <w:marTop w:val="0"/>
          <w:marBottom w:val="0"/>
          <w:divBdr>
            <w:top w:val="none" w:sz="0" w:space="0" w:color="auto"/>
            <w:left w:val="none" w:sz="0" w:space="0" w:color="auto"/>
            <w:bottom w:val="none" w:sz="0" w:space="0" w:color="auto"/>
            <w:right w:val="none" w:sz="0" w:space="0" w:color="auto"/>
          </w:divBdr>
        </w:div>
        <w:div w:id="2024699989">
          <w:marLeft w:val="0"/>
          <w:marRight w:val="0"/>
          <w:marTop w:val="0"/>
          <w:marBottom w:val="0"/>
          <w:divBdr>
            <w:top w:val="none" w:sz="0" w:space="0" w:color="auto"/>
            <w:left w:val="none" w:sz="0" w:space="0" w:color="auto"/>
            <w:bottom w:val="none" w:sz="0" w:space="0" w:color="auto"/>
            <w:right w:val="none" w:sz="0" w:space="0" w:color="auto"/>
          </w:divBdr>
        </w:div>
        <w:div w:id="2024699990">
          <w:marLeft w:val="0"/>
          <w:marRight w:val="0"/>
          <w:marTop w:val="0"/>
          <w:marBottom w:val="0"/>
          <w:divBdr>
            <w:top w:val="none" w:sz="0" w:space="0" w:color="auto"/>
            <w:left w:val="none" w:sz="0" w:space="0" w:color="auto"/>
            <w:bottom w:val="none" w:sz="0" w:space="0" w:color="auto"/>
            <w:right w:val="none" w:sz="0" w:space="0" w:color="auto"/>
          </w:divBdr>
        </w:div>
        <w:div w:id="2024699991">
          <w:marLeft w:val="0"/>
          <w:marRight w:val="0"/>
          <w:marTop w:val="0"/>
          <w:marBottom w:val="0"/>
          <w:divBdr>
            <w:top w:val="none" w:sz="0" w:space="0" w:color="auto"/>
            <w:left w:val="none" w:sz="0" w:space="0" w:color="auto"/>
            <w:bottom w:val="none" w:sz="0" w:space="0" w:color="auto"/>
            <w:right w:val="none" w:sz="0" w:space="0" w:color="auto"/>
          </w:divBdr>
        </w:div>
        <w:div w:id="2024699992">
          <w:marLeft w:val="0"/>
          <w:marRight w:val="0"/>
          <w:marTop w:val="0"/>
          <w:marBottom w:val="0"/>
          <w:divBdr>
            <w:top w:val="none" w:sz="0" w:space="0" w:color="auto"/>
            <w:left w:val="none" w:sz="0" w:space="0" w:color="auto"/>
            <w:bottom w:val="none" w:sz="0" w:space="0" w:color="auto"/>
            <w:right w:val="none" w:sz="0" w:space="0" w:color="auto"/>
          </w:divBdr>
        </w:div>
        <w:div w:id="2024699993">
          <w:marLeft w:val="0"/>
          <w:marRight w:val="0"/>
          <w:marTop w:val="0"/>
          <w:marBottom w:val="0"/>
          <w:divBdr>
            <w:top w:val="none" w:sz="0" w:space="0" w:color="auto"/>
            <w:left w:val="none" w:sz="0" w:space="0" w:color="auto"/>
            <w:bottom w:val="none" w:sz="0" w:space="0" w:color="auto"/>
            <w:right w:val="none" w:sz="0" w:space="0" w:color="auto"/>
          </w:divBdr>
        </w:div>
        <w:div w:id="2024699994">
          <w:marLeft w:val="0"/>
          <w:marRight w:val="0"/>
          <w:marTop w:val="0"/>
          <w:marBottom w:val="0"/>
          <w:divBdr>
            <w:top w:val="none" w:sz="0" w:space="0" w:color="auto"/>
            <w:left w:val="none" w:sz="0" w:space="0" w:color="auto"/>
            <w:bottom w:val="none" w:sz="0" w:space="0" w:color="auto"/>
            <w:right w:val="none" w:sz="0" w:space="0" w:color="auto"/>
          </w:divBdr>
        </w:div>
        <w:div w:id="2024699995">
          <w:marLeft w:val="0"/>
          <w:marRight w:val="0"/>
          <w:marTop w:val="0"/>
          <w:marBottom w:val="0"/>
          <w:divBdr>
            <w:top w:val="none" w:sz="0" w:space="0" w:color="auto"/>
            <w:left w:val="none" w:sz="0" w:space="0" w:color="auto"/>
            <w:bottom w:val="none" w:sz="0" w:space="0" w:color="auto"/>
            <w:right w:val="none" w:sz="0" w:space="0" w:color="auto"/>
          </w:divBdr>
        </w:div>
        <w:div w:id="2024699996">
          <w:marLeft w:val="0"/>
          <w:marRight w:val="0"/>
          <w:marTop w:val="0"/>
          <w:marBottom w:val="0"/>
          <w:divBdr>
            <w:top w:val="none" w:sz="0" w:space="0" w:color="auto"/>
            <w:left w:val="none" w:sz="0" w:space="0" w:color="auto"/>
            <w:bottom w:val="none" w:sz="0" w:space="0" w:color="auto"/>
            <w:right w:val="none" w:sz="0" w:space="0" w:color="auto"/>
          </w:divBdr>
        </w:div>
        <w:div w:id="2024699997">
          <w:marLeft w:val="0"/>
          <w:marRight w:val="0"/>
          <w:marTop w:val="0"/>
          <w:marBottom w:val="0"/>
          <w:divBdr>
            <w:top w:val="none" w:sz="0" w:space="0" w:color="auto"/>
            <w:left w:val="none" w:sz="0" w:space="0" w:color="auto"/>
            <w:bottom w:val="none" w:sz="0" w:space="0" w:color="auto"/>
            <w:right w:val="none" w:sz="0" w:space="0" w:color="auto"/>
          </w:divBdr>
        </w:div>
        <w:div w:id="2024699998">
          <w:marLeft w:val="0"/>
          <w:marRight w:val="0"/>
          <w:marTop w:val="0"/>
          <w:marBottom w:val="0"/>
          <w:divBdr>
            <w:top w:val="none" w:sz="0" w:space="0" w:color="auto"/>
            <w:left w:val="none" w:sz="0" w:space="0" w:color="auto"/>
            <w:bottom w:val="none" w:sz="0" w:space="0" w:color="auto"/>
            <w:right w:val="none" w:sz="0" w:space="0" w:color="auto"/>
          </w:divBdr>
        </w:div>
        <w:div w:id="2024699999">
          <w:marLeft w:val="0"/>
          <w:marRight w:val="0"/>
          <w:marTop w:val="0"/>
          <w:marBottom w:val="0"/>
          <w:divBdr>
            <w:top w:val="none" w:sz="0" w:space="0" w:color="auto"/>
            <w:left w:val="none" w:sz="0" w:space="0" w:color="auto"/>
            <w:bottom w:val="none" w:sz="0" w:space="0" w:color="auto"/>
            <w:right w:val="none" w:sz="0" w:space="0" w:color="auto"/>
          </w:divBdr>
        </w:div>
        <w:div w:id="2024700000">
          <w:marLeft w:val="0"/>
          <w:marRight w:val="0"/>
          <w:marTop w:val="0"/>
          <w:marBottom w:val="0"/>
          <w:divBdr>
            <w:top w:val="none" w:sz="0" w:space="0" w:color="auto"/>
            <w:left w:val="none" w:sz="0" w:space="0" w:color="auto"/>
            <w:bottom w:val="none" w:sz="0" w:space="0" w:color="auto"/>
            <w:right w:val="none" w:sz="0" w:space="0" w:color="auto"/>
          </w:divBdr>
        </w:div>
        <w:div w:id="2024700001">
          <w:marLeft w:val="0"/>
          <w:marRight w:val="0"/>
          <w:marTop w:val="0"/>
          <w:marBottom w:val="0"/>
          <w:divBdr>
            <w:top w:val="none" w:sz="0" w:space="0" w:color="auto"/>
            <w:left w:val="none" w:sz="0" w:space="0" w:color="auto"/>
            <w:bottom w:val="none" w:sz="0" w:space="0" w:color="auto"/>
            <w:right w:val="none" w:sz="0" w:space="0" w:color="auto"/>
          </w:divBdr>
        </w:div>
        <w:div w:id="2024700002">
          <w:marLeft w:val="0"/>
          <w:marRight w:val="0"/>
          <w:marTop w:val="0"/>
          <w:marBottom w:val="0"/>
          <w:divBdr>
            <w:top w:val="none" w:sz="0" w:space="0" w:color="auto"/>
            <w:left w:val="none" w:sz="0" w:space="0" w:color="auto"/>
            <w:bottom w:val="none" w:sz="0" w:space="0" w:color="auto"/>
            <w:right w:val="none" w:sz="0" w:space="0" w:color="auto"/>
          </w:divBdr>
        </w:div>
        <w:div w:id="2024700003">
          <w:marLeft w:val="0"/>
          <w:marRight w:val="0"/>
          <w:marTop w:val="0"/>
          <w:marBottom w:val="0"/>
          <w:divBdr>
            <w:top w:val="none" w:sz="0" w:space="0" w:color="auto"/>
            <w:left w:val="none" w:sz="0" w:space="0" w:color="auto"/>
            <w:bottom w:val="none" w:sz="0" w:space="0" w:color="auto"/>
            <w:right w:val="none" w:sz="0" w:space="0" w:color="auto"/>
          </w:divBdr>
        </w:div>
        <w:div w:id="2024700004">
          <w:marLeft w:val="0"/>
          <w:marRight w:val="0"/>
          <w:marTop w:val="0"/>
          <w:marBottom w:val="0"/>
          <w:divBdr>
            <w:top w:val="none" w:sz="0" w:space="0" w:color="auto"/>
            <w:left w:val="none" w:sz="0" w:space="0" w:color="auto"/>
            <w:bottom w:val="none" w:sz="0" w:space="0" w:color="auto"/>
            <w:right w:val="none" w:sz="0" w:space="0" w:color="auto"/>
          </w:divBdr>
        </w:div>
        <w:div w:id="2024700005">
          <w:marLeft w:val="0"/>
          <w:marRight w:val="0"/>
          <w:marTop w:val="0"/>
          <w:marBottom w:val="0"/>
          <w:divBdr>
            <w:top w:val="none" w:sz="0" w:space="0" w:color="auto"/>
            <w:left w:val="none" w:sz="0" w:space="0" w:color="auto"/>
            <w:bottom w:val="none" w:sz="0" w:space="0" w:color="auto"/>
            <w:right w:val="none" w:sz="0" w:space="0" w:color="auto"/>
          </w:divBdr>
        </w:div>
        <w:div w:id="2024700006">
          <w:marLeft w:val="0"/>
          <w:marRight w:val="0"/>
          <w:marTop w:val="0"/>
          <w:marBottom w:val="0"/>
          <w:divBdr>
            <w:top w:val="none" w:sz="0" w:space="0" w:color="auto"/>
            <w:left w:val="none" w:sz="0" w:space="0" w:color="auto"/>
            <w:bottom w:val="none" w:sz="0" w:space="0" w:color="auto"/>
            <w:right w:val="none" w:sz="0" w:space="0" w:color="auto"/>
          </w:divBdr>
        </w:div>
        <w:div w:id="2024700007">
          <w:marLeft w:val="0"/>
          <w:marRight w:val="0"/>
          <w:marTop w:val="0"/>
          <w:marBottom w:val="0"/>
          <w:divBdr>
            <w:top w:val="none" w:sz="0" w:space="0" w:color="auto"/>
            <w:left w:val="none" w:sz="0" w:space="0" w:color="auto"/>
            <w:bottom w:val="none" w:sz="0" w:space="0" w:color="auto"/>
            <w:right w:val="none" w:sz="0" w:space="0" w:color="auto"/>
          </w:divBdr>
        </w:div>
        <w:div w:id="2024700008">
          <w:marLeft w:val="0"/>
          <w:marRight w:val="0"/>
          <w:marTop w:val="0"/>
          <w:marBottom w:val="0"/>
          <w:divBdr>
            <w:top w:val="none" w:sz="0" w:space="0" w:color="auto"/>
            <w:left w:val="none" w:sz="0" w:space="0" w:color="auto"/>
            <w:bottom w:val="none" w:sz="0" w:space="0" w:color="auto"/>
            <w:right w:val="none" w:sz="0" w:space="0" w:color="auto"/>
          </w:divBdr>
        </w:div>
        <w:div w:id="2024700009">
          <w:marLeft w:val="0"/>
          <w:marRight w:val="0"/>
          <w:marTop w:val="0"/>
          <w:marBottom w:val="0"/>
          <w:divBdr>
            <w:top w:val="none" w:sz="0" w:space="0" w:color="auto"/>
            <w:left w:val="none" w:sz="0" w:space="0" w:color="auto"/>
            <w:bottom w:val="none" w:sz="0" w:space="0" w:color="auto"/>
            <w:right w:val="none" w:sz="0" w:space="0" w:color="auto"/>
          </w:divBdr>
        </w:div>
        <w:div w:id="2024700010">
          <w:marLeft w:val="0"/>
          <w:marRight w:val="0"/>
          <w:marTop w:val="0"/>
          <w:marBottom w:val="0"/>
          <w:divBdr>
            <w:top w:val="none" w:sz="0" w:space="0" w:color="auto"/>
            <w:left w:val="none" w:sz="0" w:space="0" w:color="auto"/>
            <w:bottom w:val="none" w:sz="0" w:space="0" w:color="auto"/>
            <w:right w:val="none" w:sz="0" w:space="0" w:color="auto"/>
          </w:divBdr>
        </w:div>
        <w:div w:id="2024700011">
          <w:marLeft w:val="0"/>
          <w:marRight w:val="0"/>
          <w:marTop w:val="0"/>
          <w:marBottom w:val="0"/>
          <w:divBdr>
            <w:top w:val="none" w:sz="0" w:space="0" w:color="auto"/>
            <w:left w:val="none" w:sz="0" w:space="0" w:color="auto"/>
            <w:bottom w:val="none" w:sz="0" w:space="0" w:color="auto"/>
            <w:right w:val="none" w:sz="0" w:space="0" w:color="auto"/>
          </w:divBdr>
        </w:div>
        <w:div w:id="2024700012">
          <w:marLeft w:val="0"/>
          <w:marRight w:val="0"/>
          <w:marTop w:val="0"/>
          <w:marBottom w:val="0"/>
          <w:divBdr>
            <w:top w:val="none" w:sz="0" w:space="0" w:color="auto"/>
            <w:left w:val="none" w:sz="0" w:space="0" w:color="auto"/>
            <w:bottom w:val="none" w:sz="0" w:space="0" w:color="auto"/>
            <w:right w:val="none" w:sz="0" w:space="0" w:color="auto"/>
          </w:divBdr>
        </w:div>
        <w:div w:id="2024700013">
          <w:marLeft w:val="0"/>
          <w:marRight w:val="0"/>
          <w:marTop w:val="0"/>
          <w:marBottom w:val="0"/>
          <w:divBdr>
            <w:top w:val="none" w:sz="0" w:space="0" w:color="auto"/>
            <w:left w:val="none" w:sz="0" w:space="0" w:color="auto"/>
            <w:bottom w:val="none" w:sz="0" w:space="0" w:color="auto"/>
            <w:right w:val="none" w:sz="0" w:space="0" w:color="auto"/>
          </w:divBdr>
        </w:div>
        <w:div w:id="2024700014">
          <w:marLeft w:val="0"/>
          <w:marRight w:val="0"/>
          <w:marTop w:val="0"/>
          <w:marBottom w:val="0"/>
          <w:divBdr>
            <w:top w:val="none" w:sz="0" w:space="0" w:color="auto"/>
            <w:left w:val="none" w:sz="0" w:space="0" w:color="auto"/>
            <w:bottom w:val="none" w:sz="0" w:space="0" w:color="auto"/>
            <w:right w:val="none" w:sz="0" w:space="0" w:color="auto"/>
          </w:divBdr>
        </w:div>
        <w:div w:id="2024700015">
          <w:marLeft w:val="0"/>
          <w:marRight w:val="0"/>
          <w:marTop w:val="0"/>
          <w:marBottom w:val="0"/>
          <w:divBdr>
            <w:top w:val="none" w:sz="0" w:space="0" w:color="auto"/>
            <w:left w:val="none" w:sz="0" w:space="0" w:color="auto"/>
            <w:bottom w:val="none" w:sz="0" w:space="0" w:color="auto"/>
            <w:right w:val="none" w:sz="0" w:space="0" w:color="auto"/>
          </w:divBdr>
        </w:div>
        <w:div w:id="2024700016">
          <w:marLeft w:val="0"/>
          <w:marRight w:val="0"/>
          <w:marTop w:val="0"/>
          <w:marBottom w:val="0"/>
          <w:divBdr>
            <w:top w:val="none" w:sz="0" w:space="0" w:color="auto"/>
            <w:left w:val="none" w:sz="0" w:space="0" w:color="auto"/>
            <w:bottom w:val="none" w:sz="0" w:space="0" w:color="auto"/>
            <w:right w:val="none" w:sz="0" w:space="0" w:color="auto"/>
          </w:divBdr>
        </w:div>
        <w:div w:id="2024700017">
          <w:marLeft w:val="0"/>
          <w:marRight w:val="0"/>
          <w:marTop w:val="0"/>
          <w:marBottom w:val="0"/>
          <w:divBdr>
            <w:top w:val="none" w:sz="0" w:space="0" w:color="auto"/>
            <w:left w:val="none" w:sz="0" w:space="0" w:color="auto"/>
            <w:bottom w:val="none" w:sz="0" w:space="0" w:color="auto"/>
            <w:right w:val="none" w:sz="0" w:space="0" w:color="auto"/>
          </w:divBdr>
        </w:div>
        <w:div w:id="2024700018">
          <w:marLeft w:val="0"/>
          <w:marRight w:val="0"/>
          <w:marTop w:val="0"/>
          <w:marBottom w:val="0"/>
          <w:divBdr>
            <w:top w:val="none" w:sz="0" w:space="0" w:color="auto"/>
            <w:left w:val="none" w:sz="0" w:space="0" w:color="auto"/>
            <w:bottom w:val="none" w:sz="0" w:space="0" w:color="auto"/>
            <w:right w:val="none" w:sz="0" w:space="0" w:color="auto"/>
          </w:divBdr>
        </w:div>
        <w:div w:id="2024700019">
          <w:marLeft w:val="0"/>
          <w:marRight w:val="0"/>
          <w:marTop w:val="0"/>
          <w:marBottom w:val="0"/>
          <w:divBdr>
            <w:top w:val="none" w:sz="0" w:space="0" w:color="auto"/>
            <w:left w:val="none" w:sz="0" w:space="0" w:color="auto"/>
            <w:bottom w:val="none" w:sz="0" w:space="0" w:color="auto"/>
            <w:right w:val="none" w:sz="0" w:space="0" w:color="auto"/>
          </w:divBdr>
        </w:div>
        <w:div w:id="2024700020">
          <w:marLeft w:val="0"/>
          <w:marRight w:val="0"/>
          <w:marTop w:val="0"/>
          <w:marBottom w:val="0"/>
          <w:divBdr>
            <w:top w:val="none" w:sz="0" w:space="0" w:color="auto"/>
            <w:left w:val="none" w:sz="0" w:space="0" w:color="auto"/>
            <w:bottom w:val="none" w:sz="0" w:space="0" w:color="auto"/>
            <w:right w:val="none" w:sz="0" w:space="0" w:color="auto"/>
          </w:divBdr>
        </w:div>
        <w:div w:id="2024700021">
          <w:marLeft w:val="0"/>
          <w:marRight w:val="0"/>
          <w:marTop w:val="0"/>
          <w:marBottom w:val="0"/>
          <w:divBdr>
            <w:top w:val="none" w:sz="0" w:space="0" w:color="auto"/>
            <w:left w:val="none" w:sz="0" w:space="0" w:color="auto"/>
            <w:bottom w:val="none" w:sz="0" w:space="0" w:color="auto"/>
            <w:right w:val="none" w:sz="0" w:space="0" w:color="auto"/>
          </w:divBdr>
        </w:div>
        <w:div w:id="2024700022">
          <w:marLeft w:val="0"/>
          <w:marRight w:val="0"/>
          <w:marTop w:val="0"/>
          <w:marBottom w:val="0"/>
          <w:divBdr>
            <w:top w:val="none" w:sz="0" w:space="0" w:color="auto"/>
            <w:left w:val="none" w:sz="0" w:space="0" w:color="auto"/>
            <w:bottom w:val="none" w:sz="0" w:space="0" w:color="auto"/>
            <w:right w:val="none" w:sz="0" w:space="0" w:color="auto"/>
          </w:divBdr>
        </w:div>
        <w:div w:id="2024700023">
          <w:marLeft w:val="0"/>
          <w:marRight w:val="0"/>
          <w:marTop w:val="0"/>
          <w:marBottom w:val="0"/>
          <w:divBdr>
            <w:top w:val="none" w:sz="0" w:space="0" w:color="auto"/>
            <w:left w:val="none" w:sz="0" w:space="0" w:color="auto"/>
            <w:bottom w:val="none" w:sz="0" w:space="0" w:color="auto"/>
            <w:right w:val="none" w:sz="0" w:space="0" w:color="auto"/>
          </w:divBdr>
        </w:div>
        <w:div w:id="2024700024">
          <w:marLeft w:val="0"/>
          <w:marRight w:val="0"/>
          <w:marTop w:val="0"/>
          <w:marBottom w:val="0"/>
          <w:divBdr>
            <w:top w:val="none" w:sz="0" w:space="0" w:color="auto"/>
            <w:left w:val="none" w:sz="0" w:space="0" w:color="auto"/>
            <w:bottom w:val="none" w:sz="0" w:space="0" w:color="auto"/>
            <w:right w:val="none" w:sz="0" w:space="0" w:color="auto"/>
          </w:divBdr>
        </w:div>
        <w:div w:id="2024700025">
          <w:marLeft w:val="0"/>
          <w:marRight w:val="0"/>
          <w:marTop w:val="0"/>
          <w:marBottom w:val="0"/>
          <w:divBdr>
            <w:top w:val="none" w:sz="0" w:space="0" w:color="auto"/>
            <w:left w:val="none" w:sz="0" w:space="0" w:color="auto"/>
            <w:bottom w:val="none" w:sz="0" w:space="0" w:color="auto"/>
            <w:right w:val="none" w:sz="0" w:space="0" w:color="auto"/>
          </w:divBdr>
        </w:div>
        <w:div w:id="2024700026">
          <w:marLeft w:val="0"/>
          <w:marRight w:val="0"/>
          <w:marTop w:val="0"/>
          <w:marBottom w:val="0"/>
          <w:divBdr>
            <w:top w:val="none" w:sz="0" w:space="0" w:color="auto"/>
            <w:left w:val="none" w:sz="0" w:space="0" w:color="auto"/>
            <w:bottom w:val="none" w:sz="0" w:space="0" w:color="auto"/>
            <w:right w:val="none" w:sz="0" w:space="0" w:color="auto"/>
          </w:divBdr>
        </w:div>
        <w:div w:id="2024700027">
          <w:marLeft w:val="0"/>
          <w:marRight w:val="0"/>
          <w:marTop w:val="0"/>
          <w:marBottom w:val="0"/>
          <w:divBdr>
            <w:top w:val="none" w:sz="0" w:space="0" w:color="auto"/>
            <w:left w:val="none" w:sz="0" w:space="0" w:color="auto"/>
            <w:bottom w:val="none" w:sz="0" w:space="0" w:color="auto"/>
            <w:right w:val="none" w:sz="0" w:space="0" w:color="auto"/>
          </w:divBdr>
        </w:div>
        <w:div w:id="2024700028">
          <w:marLeft w:val="0"/>
          <w:marRight w:val="0"/>
          <w:marTop w:val="0"/>
          <w:marBottom w:val="0"/>
          <w:divBdr>
            <w:top w:val="none" w:sz="0" w:space="0" w:color="auto"/>
            <w:left w:val="none" w:sz="0" w:space="0" w:color="auto"/>
            <w:bottom w:val="none" w:sz="0" w:space="0" w:color="auto"/>
            <w:right w:val="none" w:sz="0" w:space="0" w:color="auto"/>
          </w:divBdr>
        </w:div>
        <w:div w:id="2024700029">
          <w:marLeft w:val="0"/>
          <w:marRight w:val="0"/>
          <w:marTop w:val="0"/>
          <w:marBottom w:val="0"/>
          <w:divBdr>
            <w:top w:val="none" w:sz="0" w:space="0" w:color="auto"/>
            <w:left w:val="none" w:sz="0" w:space="0" w:color="auto"/>
            <w:bottom w:val="none" w:sz="0" w:space="0" w:color="auto"/>
            <w:right w:val="none" w:sz="0" w:space="0" w:color="auto"/>
          </w:divBdr>
        </w:div>
        <w:div w:id="2024700030">
          <w:marLeft w:val="0"/>
          <w:marRight w:val="0"/>
          <w:marTop w:val="0"/>
          <w:marBottom w:val="0"/>
          <w:divBdr>
            <w:top w:val="none" w:sz="0" w:space="0" w:color="auto"/>
            <w:left w:val="none" w:sz="0" w:space="0" w:color="auto"/>
            <w:bottom w:val="none" w:sz="0" w:space="0" w:color="auto"/>
            <w:right w:val="none" w:sz="0" w:space="0" w:color="auto"/>
          </w:divBdr>
        </w:div>
        <w:div w:id="2024700031">
          <w:marLeft w:val="0"/>
          <w:marRight w:val="0"/>
          <w:marTop w:val="0"/>
          <w:marBottom w:val="0"/>
          <w:divBdr>
            <w:top w:val="none" w:sz="0" w:space="0" w:color="auto"/>
            <w:left w:val="none" w:sz="0" w:space="0" w:color="auto"/>
            <w:bottom w:val="none" w:sz="0" w:space="0" w:color="auto"/>
            <w:right w:val="none" w:sz="0" w:space="0" w:color="auto"/>
          </w:divBdr>
        </w:div>
        <w:div w:id="2024700033">
          <w:marLeft w:val="0"/>
          <w:marRight w:val="0"/>
          <w:marTop w:val="0"/>
          <w:marBottom w:val="0"/>
          <w:divBdr>
            <w:top w:val="none" w:sz="0" w:space="0" w:color="auto"/>
            <w:left w:val="none" w:sz="0" w:space="0" w:color="auto"/>
            <w:bottom w:val="none" w:sz="0" w:space="0" w:color="auto"/>
            <w:right w:val="none" w:sz="0" w:space="0" w:color="auto"/>
          </w:divBdr>
        </w:div>
        <w:div w:id="2024700034">
          <w:marLeft w:val="0"/>
          <w:marRight w:val="0"/>
          <w:marTop w:val="0"/>
          <w:marBottom w:val="0"/>
          <w:divBdr>
            <w:top w:val="none" w:sz="0" w:space="0" w:color="auto"/>
            <w:left w:val="none" w:sz="0" w:space="0" w:color="auto"/>
            <w:bottom w:val="none" w:sz="0" w:space="0" w:color="auto"/>
            <w:right w:val="none" w:sz="0" w:space="0" w:color="auto"/>
          </w:divBdr>
        </w:div>
        <w:div w:id="2024700035">
          <w:marLeft w:val="0"/>
          <w:marRight w:val="0"/>
          <w:marTop w:val="0"/>
          <w:marBottom w:val="0"/>
          <w:divBdr>
            <w:top w:val="none" w:sz="0" w:space="0" w:color="auto"/>
            <w:left w:val="none" w:sz="0" w:space="0" w:color="auto"/>
            <w:bottom w:val="none" w:sz="0" w:space="0" w:color="auto"/>
            <w:right w:val="none" w:sz="0" w:space="0" w:color="auto"/>
          </w:divBdr>
        </w:div>
        <w:div w:id="2024700036">
          <w:marLeft w:val="0"/>
          <w:marRight w:val="0"/>
          <w:marTop w:val="0"/>
          <w:marBottom w:val="0"/>
          <w:divBdr>
            <w:top w:val="none" w:sz="0" w:space="0" w:color="auto"/>
            <w:left w:val="none" w:sz="0" w:space="0" w:color="auto"/>
            <w:bottom w:val="none" w:sz="0" w:space="0" w:color="auto"/>
            <w:right w:val="none" w:sz="0" w:space="0" w:color="auto"/>
          </w:divBdr>
        </w:div>
        <w:div w:id="2024700037">
          <w:marLeft w:val="0"/>
          <w:marRight w:val="0"/>
          <w:marTop w:val="0"/>
          <w:marBottom w:val="0"/>
          <w:divBdr>
            <w:top w:val="none" w:sz="0" w:space="0" w:color="auto"/>
            <w:left w:val="none" w:sz="0" w:space="0" w:color="auto"/>
            <w:bottom w:val="none" w:sz="0" w:space="0" w:color="auto"/>
            <w:right w:val="none" w:sz="0" w:space="0" w:color="auto"/>
          </w:divBdr>
        </w:div>
        <w:div w:id="2024700038">
          <w:marLeft w:val="0"/>
          <w:marRight w:val="0"/>
          <w:marTop w:val="0"/>
          <w:marBottom w:val="0"/>
          <w:divBdr>
            <w:top w:val="none" w:sz="0" w:space="0" w:color="auto"/>
            <w:left w:val="none" w:sz="0" w:space="0" w:color="auto"/>
            <w:bottom w:val="none" w:sz="0" w:space="0" w:color="auto"/>
            <w:right w:val="none" w:sz="0" w:space="0" w:color="auto"/>
          </w:divBdr>
        </w:div>
        <w:div w:id="2024700039">
          <w:marLeft w:val="0"/>
          <w:marRight w:val="0"/>
          <w:marTop w:val="0"/>
          <w:marBottom w:val="0"/>
          <w:divBdr>
            <w:top w:val="none" w:sz="0" w:space="0" w:color="auto"/>
            <w:left w:val="none" w:sz="0" w:space="0" w:color="auto"/>
            <w:bottom w:val="none" w:sz="0" w:space="0" w:color="auto"/>
            <w:right w:val="none" w:sz="0" w:space="0" w:color="auto"/>
          </w:divBdr>
        </w:div>
        <w:div w:id="2024700040">
          <w:marLeft w:val="0"/>
          <w:marRight w:val="0"/>
          <w:marTop w:val="0"/>
          <w:marBottom w:val="0"/>
          <w:divBdr>
            <w:top w:val="none" w:sz="0" w:space="0" w:color="auto"/>
            <w:left w:val="none" w:sz="0" w:space="0" w:color="auto"/>
            <w:bottom w:val="none" w:sz="0" w:space="0" w:color="auto"/>
            <w:right w:val="none" w:sz="0" w:space="0" w:color="auto"/>
          </w:divBdr>
        </w:div>
        <w:div w:id="2024700041">
          <w:marLeft w:val="0"/>
          <w:marRight w:val="0"/>
          <w:marTop w:val="0"/>
          <w:marBottom w:val="0"/>
          <w:divBdr>
            <w:top w:val="none" w:sz="0" w:space="0" w:color="auto"/>
            <w:left w:val="none" w:sz="0" w:space="0" w:color="auto"/>
            <w:bottom w:val="none" w:sz="0" w:space="0" w:color="auto"/>
            <w:right w:val="none" w:sz="0" w:space="0" w:color="auto"/>
          </w:divBdr>
        </w:div>
        <w:div w:id="2024700042">
          <w:marLeft w:val="0"/>
          <w:marRight w:val="0"/>
          <w:marTop w:val="0"/>
          <w:marBottom w:val="0"/>
          <w:divBdr>
            <w:top w:val="none" w:sz="0" w:space="0" w:color="auto"/>
            <w:left w:val="none" w:sz="0" w:space="0" w:color="auto"/>
            <w:bottom w:val="none" w:sz="0" w:space="0" w:color="auto"/>
            <w:right w:val="none" w:sz="0" w:space="0" w:color="auto"/>
          </w:divBdr>
        </w:div>
        <w:div w:id="2024700043">
          <w:marLeft w:val="0"/>
          <w:marRight w:val="0"/>
          <w:marTop w:val="0"/>
          <w:marBottom w:val="0"/>
          <w:divBdr>
            <w:top w:val="none" w:sz="0" w:space="0" w:color="auto"/>
            <w:left w:val="none" w:sz="0" w:space="0" w:color="auto"/>
            <w:bottom w:val="none" w:sz="0" w:space="0" w:color="auto"/>
            <w:right w:val="none" w:sz="0" w:space="0" w:color="auto"/>
          </w:divBdr>
        </w:div>
        <w:div w:id="2024700044">
          <w:marLeft w:val="0"/>
          <w:marRight w:val="0"/>
          <w:marTop w:val="0"/>
          <w:marBottom w:val="0"/>
          <w:divBdr>
            <w:top w:val="none" w:sz="0" w:space="0" w:color="auto"/>
            <w:left w:val="none" w:sz="0" w:space="0" w:color="auto"/>
            <w:bottom w:val="none" w:sz="0" w:space="0" w:color="auto"/>
            <w:right w:val="none" w:sz="0" w:space="0" w:color="auto"/>
          </w:divBdr>
        </w:div>
        <w:div w:id="2024700045">
          <w:marLeft w:val="0"/>
          <w:marRight w:val="0"/>
          <w:marTop w:val="0"/>
          <w:marBottom w:val="0"/>
          <w:divBdr>
            <w:top w:val="none" w:sz="0" w:space="0" w:color="auto"/>
            <w:left w:val="none" w:sz="0" w:space="0" w:color="auto"/>
            <w:bottom w:val="none" w:sz="0" w:space="0" w:color="auto"/>
            <w:right w:val="none" w:sz="0" w:space="0" w:color="auto"/>
          </w:divBdr>
        </w:div>
        <w:div w:id="2024700046">
          <w:marLeft w:val="0"/>
          <w:marRight w:val="0"/>
          <w:marTop w:val="0"/>
          <w:marBottom w:val="0"/>
          <w:divBdr>
            <w:top w:val="none" w:sz="0" w:space="0" w:color="auto"/>
            <w:left w:val="none" w:sz="0" w:space="0" w:color="auto"/>
            <w:bottom w:val="none" w:sz="0" w:space="0" w:color="auto"/>
            <w:right w:val="none" w:sz="0" w:space="0" w:color="auto"/>
          </w:divBdr>
        </w:div>
        <w:div w:id="2024700047">
          <w:marLeft w:val="0"/>
          <w:marRight w:val="0"/>
          <w:marTop w:val="0"/>
          <w:marBottom w:val="0"/>
          <w:divBdr>
            <w:top w:val="none" w:sz="0" w:space="0" w:color="auto"/>
            <w:left w:val="none" w:sz="0" w:space="0" w:color="auto"/>
            <w:bottom w:val="none" w:sz="0" w:space="0" w:color="auto"/>
            <w:right w:val="none" w:sz="0" w:space="0" w:color="auto"/>
          </w:divBdr>
        </w:div>
        <w:div w:id="2024700048">
          <w:marLeft w:val="0"/>
          <w:marRight w:val="0"/>
          <w:marTop w:val="0"/>
          <w:marBottom w:val="0"/>
          <w:divBdr>
            <w:top w:val="none" w:sz="0" w:space="0" w:color="auto"/>
            <w:left w:val="none" w:sz="0" w:space="0" w:color="auto"/>
            <w:bottom w:val="none" w:sz="0" w:space="0" w:color="auto"/>
            <w:right w:val="none" w:sz="0" w:space="0" w:color="auto"/>
          </w:divBdr>
        </w:div>
        <w:div w:id="2024700049">
          <w:marLeft w:val="0"/>
          <w:marRight w:val="0"/>
          <w:marTop w:val="0"/>
          <w:marBottom w:val="0"/>
          <w:divBdr>
            <w:top w:val="none" w:sz="0" w:space="0" w:color="auto"/>
            <w:left w:val="none" w:sz="0" w:space="0" w:color="auto"/>
            <w:bottom w:val="none" w:sz="0" w:space="0" w:color="auto"/>
            <w:right w:val="none" w:sz="0" w:space="0" w:color="auto"/>
          </w:divBdr>
        </w:div>
        <w:div w:id="2024700050">
          <w:marLeft w:val="0"/>
          <w:marRight w:val="0"/>
          <w:marTop w:val="0"/>
          <w:marBottom w:val="0"/>
          <w:divBdr>
            <w:top w:val="none" w:sz="0" w:space="0" w:color="auto"/>
            <w:left w:val="none" w:sz="0" w:space="0" w:color="auto"/>
            <w:bottom w:val="none" w:sz="0" w:space="0" w:color="auto"/>
            <w:right w:val="none" w:sz="0" w:space="0" w:color="auto"/>
          </w:divBdr>
        </w:div>
        <w:div w:id="2024700051">
          <w:marLeft w:val="0"/>
          <w:marRight w:val="0"/>
          <w:marTop w:val="0"/>
          <w:marBottom w:val="0"/>
          <w:divBdr>
            <w:top w:val="none" w:sz="0" w:space="0" w:color="auto"/>
            <w:left w:val="none" w:sz="0" w:space="0" w:color="auto"/>
            <w:bottom w:val="none" w:sz="0" w:space="0" w:color="auto"/>
            <w:right w:val="none" w:sz="0" w:space="0" w:color="auto"/>
          </w:divBdr>
        </w:div>
        <w:div w:id="2024700052">
          <w:marLeft w:val="0"/>
          <w:marRight w:val="0"/>
          <w:marTop w:val="0"/>
          <w:marBottom w:val="0"/>
          <w:divBdr>
            <w:top w:val="none" w:sz="0" w:space="0" w:color="auto"/>
            <w:left w:val="none" w:sz="0" w:space="0" w:color="auto"/>
            <w:bottom w:val="none" w:sz="0" w:space="0" w:color="auto"/>
            <w:right w:val="none" w:sz="0" w:space="0" w:color="auto"/>
          </w:divBdr>
        </w:div>
        <w:div w:id="2024700053">
          <w:marLeft w:val="0"/>
          <w:marRight w:val="0"/>
          <w:marTop w:val="0"/>
          <w:marBottom w:val="0"/>
          <w:divBdr>
            <w:top w:val="none" w:sz="0" w:space="0" w:color="auto"/>
            <w:left w:val="none" w:sz="0" w:space="0" w:color="auto"/>
            <w:bottom w:val="none" w:sz="0" w:space="0" w:color="auto"/>
            <w:right w:val="none" w:sz="0" w:space="0" w:color="auto"/>
          </w:divBdr>
        </w:div>
        <w:div w:id="2024700054">
          <w:marLeft w:val="0"/>
          <w:marRight w:val="0"/>
          <w:marTop w:val="0"/>
          <w:marBottom w:val="0"/>
          <w:divBdr>
            <w:top w:val="none" w:sz="0" w:space="0" w:color="auto"/>
            <w:left w:val="none" w:sz="0" w:space="0" w:color="auto"/>
            <w:bottom w:val="none" w:sz="0" w:space="0" w:color="auto"/>
            <w:right w:val="none" w:sz="0" w:space="0" w:color="auto"/>
          </w:divBdr>
        </w:div>
        <w:div w:id="2024700055">
          <w:marLeft w:val="0"/>
          <w:marRight w:val="0"/>
          <w:marTop w:val="0"/>
          <w:marBottom w:val="0"/>
          <w:divBdr>
            <w:top w:val="none" w:sz="0" w:space="0" w:color="auto"/>
            <w:left w:val="none" w:sz="0" w:space="0" w:color="auto"/>
            <w:bottom w:val="none" w:sz="0" w:space="0" w:color="auto"/>
            <w:right w:val="none" w:sz="0" w:space="0" w:color="auto"/>
          </w:divBdr>
        </w:div>
        <w:div w:id="2024700056">
          <w:marLeft w:val="0"/>
          <w:marRight w:val="0"/>
          <w:marTop w:val="0"/>
          <w:marBottom w:val="0"/>
          <w:divBdr>
            <w:top w:val="none" w:sz="0" w:space="0" w:color="auto"/>
            <w:left w:val="none" w:sz="0" w:space="0" w:color="auto"/>
            <w:bottom w:val="none" w:sz="0" w:space="0" w:color="auto"/>
            <w:right w:val="none" w:sz="0" w:space="0" w:color="auto"/>
          </w:divBdr>
        </w:div>
        <w:div w:id="2024700057">
          <w:marLeft w:val="0"/>
          <w:marRight w:val="0"/>
          <w:marTop w:val="0"/>
          <w:marBottom w:val="0"/>
          <w:divBdr>
            <w:top w:val="none" w:sz="0" w:space="0" w:color="auto"/>
            <w:left w:val="none" w:sz="0" w:space="0" w:color="auto"/>
            <w:bottom w:val="none" w:sz="0" w:space="0" w:color="auto"/>
            <w:right w:val="none" w:sz="0" w:space="0" w:color="auto"/>
          </w:divBdr>
        </w:div>
        <w:div w:id="2024700058">
          <w:marLeft w:val="0"/>
          <w:marRight w:val="0"/>
          <w:marTop w:val="0"/>
          <w:marBottom w:val="0"/>
          <w:divBdr>
            <w:top w:val="none" w:sz="0" w:space="0" w:color="auto"/>
            <w:left w:val="none" w:sz="0" w:space="0" w:color="auto"/>
            <w:bottom w:val="none" w:sz="0" w:space="0" w:color="auto"/>
            <w:right w:val="none" w:sz="0" w:space="0" w:color="auto"/>
          </w:divBdr>
        </w:div>
        <w:div w:id="2024700059">
          <w:marLeft w:val="0"/>
          <w:marRight w:val="0"/>
          <w:marTop w:val="0"/>
          <w:marBottom w:val="0"/>
          <w:divBdr>
            <w:top w:val="none" w:sz="0" w:space="0" w:color="auto"/>
            <w:left w:val="none" w:sz="0" w:space="0" w:color="auto"/>
            <w:bottom w:val="none" w:sz="0" w:space="0" w:color="auto"/>
            <w:right w:val="none" w:sz="0" w:space="0" w:color="auto"/>
          </w:divBdr>
        </w:div>
        <w:div w:id="2024700060">
          <w:marLeft w:val="0"/>
          <w:marRight w:val="0"/>
          <w:marTop w:val="0"/>
          <w:marBottom w:val="0"/>
          <w:divBdr>
            <w:top w:val="none" w:sz="0" w:space="0" w:color="auto"/>
            <w:left w:val="none" w:sz="0" w:space="0" w:color="auto"/>
            <w:bottom w:val="none" w:sz="0" w:space="0" w:color="auto"/>
            <w:right w:val="none" w:sz="0" w:space="0" w:color="auto"/>
          </w:divBdr>
        </w:div>
        <w:div w:id="2024700062">
          <w:marLeft w:val="0"/>
          <w:marRight w:val="0"/>
          <w:marTop w:val="0"/>
          <w:marBottom w:val="0"/>
          <w:divBdr>
            <w:top w:val="none" w:sz="0" w:space="0" w:color="auto"/>
            <w:left w:val="none" w:sz="0" w:space="0" w:color="auto"/>
            <w:bottom w:val="none" w:sz="0" w:space="0" w:color="auto"/>
            <w:right w:val="none" w:sz="0" w:space="0" w:color="auto"/>
          </w:divBdr>
        </w:div>
        <w:div w:id="2024700063">
          <w:marLeft w:val="0"/>
          <w:marRight w:val="0"/>
          <w:marTop w:val="0"/>
          <w:marBottom w:val="0"/>
          <w:divBdr>
            <w:top w:val="none" w:sz="0" w:space="0" w:color="auto"/>
            <w:left w:val="none" w:sz="0" w:space="0" w:color="auto"/>
            <w:bottom w:val="none" w:sz="0" w:space="0" w:color="auto"/>
            <w:right w:val="none" w:sz="0" w:space="0" w:color="auto"/>
          </w:divBdr>
        </w:div>
        <w:div w:id="2024700064">
          <w:marLeft w:val="0"/>
          <w:marRight w:val="0"/>
          <w:marTop w:val="0"/>
          <w:marBottom w:val="0"/>
          <w:divBdr>
            <w:top w:val="none" w:sz="0" w:space="0" w:color="auto"/>
            <w:left w:val="none" w:sz="0" w:space="0" w:color="auto"/>
            <w:bottom w:val="none" w:sz="0" w:space="0" w:color="auto"/>
            <w:right w:val="none" w:sz="0" w:space="0" w:color="auto"/>
          </w:divBdr>
        </w:div>
        <w:div w:id="2024700065">
          <w:marLeft w:val="0"/>
          <w:marRight w:val="0"/>
          <w:marTop w:val="0"/>
          <w:marBottom w:val="0"/>
          <w:divBdr>
            <w:top w:val="none" w:sz="0" w:space="0" w:color="auto"/>
            <w:left w:val="none" w:sz="0" w:space="0" w:color="auto"/>
            <w:bottom w:val="none" w:sz="0" w:space="0" w:color="auto"/>
            <w:right w:val="none" w:sz="0" w:space="0" w:color="auto"/>
          </w:divBdr>
        </w:div>
        <w:div w:id="2024700066">
          <w:marLeft w:val="0"/>
          <w:marRight w:val="0"/>
          <w:marTop w:val="0"/>
          <w:marBottom w:val="0"/>
          <w:divBdr>
            <w:top w:val="none" w:sz="0" w:space="0" w:color="auto"/>
            <w:left w:val="none" w:sz="0" w:space="0" w:color="auto"/>
            <w:bottom w:val="none" w:sz="0" w:space="0" w:color="auto"/>
            <w:right w:val="none" w:sz="0" w:space="0" w:color="auto"/>
          </w:divBdr>
        </w:div>
        <w:div w:id="2024700067">
          <w:marLeft w:val="0"/>
          <w:marRight w:val="0"/>
          <w:marTop w:val="0"/>
          <w:marBottom w:val="0"/>
          <w:divBdr>
            <w:top w:val="none" w:sz="0" w:space="0" w:color="auto"/>
            <w:left w:val="none" w:sz="0" w:space="0" w:color="auto"/>
            <w:bottom w:val="none" w:sz="0" w:space="0" w:color="auto"/>
            <w:right w:val="none" w:sz="0" w:space="0" w:color="auto"/>
          </w:divBdr>
        </w:div>
        <w:div w:id="2024700068">
          <w:marLeft w:val="0"/>
          <w:marRight w:val="0"/>
          <w:marTop w:val="0"/>
          <w:marBottom w:val="0"/>
          <w:divBdr>
            <w:top w:val="none" w:sz="0" w:space="0" w:color="auto"/>
            <w:left w:val="none" w:sz="0" w:space="0" w:color="auto"/>
            <w:bottom w:val="none" w:sz="0" w:space="0" w:color="auto"/>
            <w:right w:val="none" w:sz="0" w:space="0" w:color="auto"/>
          </w:divBdr>
        </w:div>
        <w:div w:id="2024700069">
          <w:marLeft w:val="0"/>
          <w:marRight w:val="0"/>
          <w:marTop w:val="0"/>
          <w:marBottom w:val="0"/>
          <w:divBdr>
            <w:top w:val="none" w:sz="0" w:space="0" w:color="auto"/>
            <w:left w:val="none" w:sz="0" w:space="0" w:color="auto"/>
            <w:bottom w:val="none" w:sz="0" w:space="0" w:color="auto"/>
            <w:right w:val="none" w:sz="0" w:space="0" w:color="auto"/>
          </w:divBdr>
        </w:div>
        <w:div w:id="2024700070">
          <w:marLeft w:val="0"/>
          <w:marRight w:val="0"/>
          <w:marTop w:val="0"/>
          <w:marBottom w:val="0"/>
          <w:divBdr>
            <w:top w:val="none" w:sz="0" w:space="0" w:color="auto"/>
            <w:left w:val="none" w:sz="0" w:space="0" w:color="auto"/>
            <w:bottom w:val="none" w:sz="0" w:space="0" w:color="auto"/>
            <w:right w:val="none" w:sz="0" w:space="0" w:color="auto"/>
          </w:divBdr>
        </w:div>
        <w:div w:id="2024700071">
          <w:marLeft w:val="0"/>
          <w:marRight w:val="0"/>
          <w:marTop w:val="0"/>
          <w:marBottom w:val="0"/>
          <w:divBdr>
            <w:top w:val="none" w:sz="0" w:space="0" w:color="auto"/>
            <w:left w:val="none" w:sz="0" w:space="0" w:color="auto"/>
            <w:bottom w:val="none" w:sz="0" w:space="0" w:color="auto"/>
            <w:right w:val="none" w:sz="0" w:space="0" w:color="auto"/>
          </w:divBdr>
        </w:div>
        <w:div w:id="2024700072">
          <w:marLeft w:val="0"/>
          <w:marRight w:val="0"/>
          <w:marTop w:val="0"/>
          <w:marBottom w:val="0"/>
          <w:divBdr>
            <w:top w:val="none" w:sz="0" w:space="0" w:color="auto"/>
            <w:left w:val="none" w:sz="0" w:space="0" w:color="auto"/>
            <w:bottom w:val="none" w:sz="0" w:space="0" w:color="auto"/>
            <w:right w:val="none" w:sz="0" w:space="0" w:color="auto"/>
          </w:divBdr>
        </w:div>
        <w:div w:id="2024700073">
          <w:marLeft w:val="0"/>
          <w:marRight w:val="0"/>
          <w:marTop w:val="0"/>
          <w:marBottom w:val="0"/>
          <w:divBdr>
            <w:top w:val="none" w:sz="0" w:space="0" w:color="auto"/>
            <w:left w:val="none" w:sz="0" w:space="0" w:color="auto"/>
            <w:bottom w:val="none" w:sz="0" w:space="0" w:color="auto"/>
            <w:right w:val="none" w:sz="0" w:space="0" w:color="auto"/>
          </w:divBdr>
        </w:div>
        <w:div w:id="2024700074">
          <w:marLeft w:val="0"/>
          <w:marRight w:val="0"/>
          <w:marTop w:val="0"/>
          <w:marBottom w:val="0"/>
          <w:divBdr>
            <w:top w:val="none" w:sz="0" w:space="0" w:color="auto"/>
            <w:left w:val="none" w:sz="0" w:space="0" w:color="auto"/>
            <w:bottom w:val="none" w:sz="0" w:space="0" w:color="auto"/>
            <w:right w:val="none" w:sz="0" w:space="0" w:color="auto"/>
          </w:divBdr>
        </w:div>
        <w:div w:id="2024700075">
          <w:marLeft w:val="0"/>
          <w:marRight w:val="0"/>
          <w:marTop w:val="0"/>
          <w:marBottom w:val="0"/>
          <w:divBdr>
            <w:top w:val="none" w:sz="0" w:space="0" w:color="auto"/>
            <w:left w:val="none" w:sz="0" w:space="0" w:color="auto"/>
            <w:bottom w:val="none" w:sz="0" w:space="0" w:color="auto"/>
            <w:right w:val="none" w:sz="0" w:space="0" w:color="auto"/>
          </w:divBdr>
        </w:div>
        <w:div w:id="2024700076">
          <w:marLeft w:val="0"/>
          <w:marRight w:val="0"/>
          <w:marTop w:val="0"/>
          <w:marBottom w:val="0"/>
          <w:divBdr>
            <w:top w:val="none" w:sz="0" w:space="0" w:color="auto"/>
            <w:left w:val="none" w:sz="0" w:space="0" w:color="auto"/>
            <w:bottom w:val="none" w:sz="0" w:space="0" w:color="auto"/>
            <w:right w:val="none" w:sz="0" w:space="0" w:color="auto"/>
          </w:divBdr>
        </w:div>
        <w:div w:id="2024700077">
          <w:marLeft w:val="0"/>
          <w:marRight w:val="0"/>
          <w:marTop w:val="0"/>
          <w:marBottom w:val="0"/>
          <w:divBdr>
            <w:top w:val="none" w:sz="0" w:space="0" w:color="auto"/>
            <w:left w:val="none" w:sz="0" w:space="0" w:color="auto"/>
            <w:bottom w:val="none" w:sz="0" w:space="0" w:color="auto"/>
            <w:right w:val="none" w:sz="0" w:space="0" w:color="auto"/>
          </w:divBdr>
        </w:div>
        <w:div w:id="2024700078">
          <w:marLeft w:val="0"/>
          <w:marRight w:val="0"/>
          <w:marTop w:val="0"/>
          <w:marBottom w:val="0"/>
          <w:divBdr>
            <w:top w:val="none" w:sz="0" w:space="0" w:color="auto"/>
            <w:left w:val="none" w:sz="0" w:space="0" w:color="auto"/>
            <w:bottom w:val="none" w:sz="0" w:space="0" w:color="auto"/>
            <w:right w:val="none" w:sz="0" w:space="0" w:color="auto"/>
          </w:divBdr>
        </w:div>
        <w:div w:id="2024700079">
          <w:marLeft w:val="0"/>
          <w:marRight w:val="0"/>
          <w:marTop w:val="0"/>
          <w:marBottom w:val="0"/>
          <w:divBdr>
            <w:top w:val="none" w:sz="0" w:space="0" w:color="auto"/>
            <w:left w:val="none" w:sz="0" w:space="0" w:color="auto"/>
            <w:bottom w:val="none" w:sz="0" w:space="0" w:color="auto"/>
            <w:right w:val="none" w:sz="0" w:space="0" w:color="auto"/>
          </w:divBdr>
        </w:div>
        <w:div w:id="2024700080">
          <w:marLeft w:val="0"/>
          <w:marRight w:val="0"/>
          <w:marTop w:val="0"/>
          <w:marBottom w:val="0"/>
          <w:divBdr>
            <w:top w:val="none" w:sz="0" w:space="0" w:color="auto"/>
            <w:left w:val="none" w:sz="0" w:space="0" w:color="auto"/>
            <w:bottom w:val="none" w:sz="0" w:space="0" w:color="auto"/>
            <w:right w:val="none" w:sz="0" w:space="0" w:color="auto"/>
          </w:divBdr>
        </w:div>
        <w:div w:id="2024700081">
          <w:marLeft w:val="0"/>
          <w:marRight w:val="0"/>
          <w:marTop w:val="0"/>
          <w:marBottom w:val="0"/>
          <w:divBdr>
            <w:top w:val="none" w:sz="0" w:space="0" w:color="auto"/>
            <w:left w:val="none" w:sz="0" w:space="0" w:color="auto"/>
            <w:bottom w:val="none" w:sz="0" w:space="0" w:color="auto"/>
            <w:right w:val="none" w:sz="0" w:space="0" w:color="auto"/>
          </w:divBdr>
        </w:div>
        <w:div w:id="2024700082">
          <w:marLeft w:val="0"/>
          <w:marRight w:val="0"/>
          <w:marTop w:val="0"/>
          <w:marBottom w:val="0"/>
          <w:divBdr>
            <w:top w:val="none" w:sz="0" w:space="0" w:color="auto"/>
            <w:left w:val="none" w:sz="0" w:space="0" w:color="auto"/>
            <w:bottom w:val="none" w:sz="0" w:space="0" w:color="auto"/>
            <w:right w:val="none" w:sz="0" w:space="0" w:color="auto"/>
          </w:divBdr>
        </w:div>
        <w:div w:id="2024700083">
          <w:marLeft w:val="0"/>
          <w:marRight w:val="0"/>
          <w:marTop w:val="0"/>
          <w:marBottom w:val="0"/>
          <w:divBdr>
            <w:top w:val="none" w:sz="0" w:space="0" w:color="auto"/>
            <w:left w:val="none" w:sz="0" w:space="0" w:color="auto"/>
            <w:bottom w:val="none" w:sz="0" w:space="0" w:color="auto"/>
            <w:right w:val="none" w:sz="0" w:space="0" w:color="auto"/>
          </w:divBdr>
        </w:div>
        <w:div w:id="2024700084">
          <w:marLeft w:val="0"/>
          <w:marRight w:val="0"/>
          <w:marTop w:val="0"/>
          <w:marBottom w:val="0"/>
          <w:divBdr>
            <w:top w:val="none" w:sz="0" w:space="0" w:color="auto"/>
            <w:left w:val="none" w:sz="0" w:space="0" w:color="auto"/>
            <w:bottom w:val="none" w:sz="0" w:space="0" w:color="auto"/>
            <w:right w:val="none" w:sz="0" w:space="0" w:color="auto"/>
          </w:divBdr>
        </w:div>
        <w:div w:id="2024700085">
          <w:marLeft w:val="0"/>
          <w:marRight w:val="0"/>
          <w:marTop w:val="0"/>
          <w:marBottom w:val="0"/>
          <w:divBdr>
            <w:top w:val="none" w:sz="0" w:space="0" w:color="auto"/>
            <w:left w:val="none" w:sz="0" w:space="0" w:color="auto"/>
            <w:bottom w:val="none" w:sz="0" w:space="0" w:color="auto"/>
            <w:right w:val="none" w:sz="0" w:space="0" w:color="auto"/>
          </w:divBdr>
        </w:div>
        <w:div w:id="2024700086">
          <w:marLeft w:val="0"/>
          <w:marRight w:val="0"/>
          <w:marTop w:val="0"/>
          <w:marBottom w:val="0"/>
          <w:divBdr>
            <w:top w:val="none" w:sz="0" w:space="0" w:color="auto"/>
            <w:left w:val="none" w:sz="0" w:space="0" w:color="auto"/>
            <w:bottom w:val="none" w:sz="0" w:space="0" w:color="auto"/>
            <w:right w:val="none" w:sz="0" w:space="0" w:color="auto"/>
          </w:divBdr>
        </w:div>
        <w:div w:id="2024700087">
          <w:marLeft w:val="0"/>
          <w:marRight w:val="0"/>
          <w:marTop w:val="0"/>
          <w:marBottom w:val="0"/>
          <w:divBdr>
            <w:top w:val="none" w:sz="0" w:space="0" w:color="auto"/>
            <w:left w:val="none" w:sz="0" w:space="0" w:color="auto"/>
            <w:bottom w:val="none" w:sz="0" w:space="0" w:color="auto"/>
            <w:right w:val="none" w:sz="0" w:space="0" w:color="auto"/>
          </w:divBdr>
        </w:div>
        <w:div w:id="2024700088">
          <w:marLeft w:val="0"/>
          <w:marRight w:val="0"/>
          <w:marTop w:val="0"/>
          <w:marBottom w:val="0"/>
          <w:divBdr>
            <w:top w:val="none" w:sz="0" w:space="0" w:color="auto"/>
            <w:left w:val="none" w:sz="0" w:space="0" w:color="auto"/>
            <w:bottom w:val="none" w:sz="0" w:space="0" w:color="auto"/>
            <w:right w:val="none" w:sz="0" w:space="0" w:color="auto"/>
          </w:divBdr>
        </w:div>
        <w:div w:id="2024700089">
          <w:marLeft w:val="0"/>
          <w:marRight w:val="0"/>
          <w:marTop w:val="0"/>
          <w:marBottom w:val="0"/>
          <w:divBdr>
            <w:top w:val="none" w:sz="0" w:space="0" w:color="auto"/>
            <w:left w:val="none" w:sz="0" w:space="0" w:color="auto"/>
            <w:bottom w:val="none" w:sz="0" w:space="0" w:color="auto"/>
            <w:right w:val="none" w:sz="0" w:space="0" w:color="auto"/>
          </w:divBdr>
        </w:div>
        <w:div w:id="2024700090">
          <w:marLeft w:val="0"/>
          <w:marRight w:val="0"/>
          <w:marTop w:val="0"/>
          <w:marBottom w:val="0"/>
          <w:divBdr>
            <w:top w:val="none" w:sz="0" w:space="0" w:color="auto"/>
            <w:left w:val="none" w:sz="0" w:space="0" w:color="auto"/>
            <w:bottom w:val="none" w:sz="0" w:space="0" w:color="auto"/>
            <w:right w:val="none" w:sz="0" w:space="0" w:color="auto"/>
          </w:divBdr>
        </w:div>
        <w:div w:id="2024700091">
          <w:marLeft w:val="0"/>
          <w:marRight w:val="0"/>
          <w:marTop w:val="0"/>
          <w:marBottom w:val="0"/>
          <w:divBdr>
            <w:top w:val="none" w:sz="0" w:space="0" w:color="auto"/>
            <w:left w:val="none" w:sz="0" w:space="0" w:color="auto"/>
            <w:bottom w:val="none" w:sz="0" w:space="0" w:color="auto"/>
            <w:right w:val="none" w:sz="0" w:space="0" w:color="auto"/>
          </w:divBdr>
        </w:div>
        <w:div w:id="2024700092">
          <w:marLeft w:val="0"/>
          <w:marRight w:val="0"/>
          <w:marTop w:val="0"/>
          <w:marBottom w:val="0"/>
          <w:divBdr>
            <w:top w:val="none" w:sz="0" w:space="0" w:color="auto"/>
            <w:left w:val="none" w:sz="0" w:space="0" w:color="auto"/>
            <w:bottom w:val="none" w:sz="0" w:space="0" w:color="auto"/>
            <w:right w:val="none" w:sz="0" w:space="0" w:color="auto"/>
          </w:divBdr>
        </w:div>
        <w:div w:id="2024700093">
          <w:marLeft w:val="0"/>
          <w:marRight w:val="0"/>
          <w:marTop w:val="0"/>
          <w:marBottom w:val="0"/>
          <w:divBdr>
            <w:top w:val="none" w:sz="0" w:space="0" w:color="auto"/>
            <w:left w:val="none" w:sz="0" w:space="0" w:color="auto"/>
            <w:bottom w:val="none" w:sz="0" w:space="0" w:color="auto"/>
            <w:right w:val="none" w:sz="0" w:space="0" w:color="auto"/>
          </w:divBdr>
        </w:div>
        <w:div w:id="2024700094">
          <w:marLeft w:val="0"/>
          <w:marRight w:val="0"/>
          <w:marTop w:val="0"/>
          <w:marBottom w:val="0"/>
          <w:divBdr>
            <w:top w:val="none" w:sz="0" w:space="0" w:color="auto"/>
            <w:left w:val="none" w:sz="0" w:space="0" w:color="auto"/>
            <w:bottom w:val="none" w:sz="0" w:space="0" w:color="auto"/>
            <w:right w:val="none" w:sz="0" w:space="0" w:color="auto"/>
          </w:divBdr>
        </w:div>
        <w:div w:id="2024700095">
          <w:marLeft w:val="0"/>
          <w:marRight w:val="0"/>
          <w:marTop w:val="0"/>
          <w:marBottom w:val="0"/>
          <w:divBdr>
            <w:top w:val="none" w:sz="0" w:space="0" w:color="auto"/>
            <w:left w:val="none" w:sz="0" w:space="0" w:color="auto"/>
            <w:bottom w:val="none" w:sz="0" w:space="0" w:color="auto"/>
            <w:right w:val="none" w:sz="0" w:space="0" w:color="auto"/>
          </w:divBdr>
        </w:div>
        <w:div w:id="2024700096">
          <w:marLeft w:val="0"/>
          <w:marRight w:val="0"/>
          <w:marTop w:val="0"/>
          <w:marBottom w:val="0"/>
          <w:divBdr>
            <w:top w:val="none" w:sz="0" w:space="0" w:color="auto"/>
            <w:left w:val="none" w:sz="0" w:space="0" w:color="auto"/>
            <w:bottom w:val="none" w:sz="0" w:space="0" w:color="auto"/>
            <w:right w:val="none" w:sz="0" w:space="0" w:color="auto"/>
          </w:divBdr>
        </w:div>
        <w:div w:id="2024700097">
          <w:marLeft w:val="0"/>
          <w:marRight w:val="0"/>
          <w:marTop w:val="0"/>
          <w:marBottom w:val="0"/>
          <w:divBdr>
            <w:top w:val="none" w:sz="0" w:space="0" w:color="auto"/>
            <w:left w:val="none" w:sz="0" w:space="0" w:color="auto"/>
            <w:bottom w:val="none" w:sz="0" w:space="0" w:color="auto"/>
            <w:right w:val="none" w:sz="0" w:space="0" w:color="auto"/>
          </w:divBdr>
        </w:div>
        <w:div w:id="2024700098">
          <w:marLeft w:val="0"/>
          <w:marRight w:val="0"/>
          <w:marTop w:val="0"/>
          <w:marBottom w:val="0"/>
          <w:divBdr>
            <w:top w:val="none" w:sz="0" w:space="0" w:color="auto"/>
            <w:left w:val="none" w:sz="0" w:space="0" w:color="auto"/>
            <w:bottom w:val="none" w:sz="0" w:space="0" w:color="auto"/>
            <w:right w:val="none" w:sz="0" w:space="0" w:color="auto"/>
          </w:divBdr>
        </w:div>
        <w:div w:id="2024700099">
          <w:marLeft w:val="0"/>
          <w:marRight w:val="0"/>
          <w:marTop w:val="0"/>
          <w:marBottom w:val="0"/>
          <w:divBdr>
            <w:top w:val="none" w:sz="0" w:space="0" w:color="auto"/>
            <w:left w:val="none" w:sz="0" w:space="0" w:color="auto"/>
            <w:bottom w:val="none" w:sz="0" w:space="0" w:color="auto"/>
            <w:right w:val="none" w:sz="0" w:space="0" w:color="auto"/>
          </w:divBdr>
        </w:div>
        <w:div w:id="2024700100">
          <w:marLeft w:val="0"/>
          <w:marRight w:val="0"/>
          <w:marTop w:val="0"/>
          <w:marBottom w:val="0"/>
          <w:divBdr>
            <w:top w:val="none" w:sz="0" w:space="0" w:color="auto"/>
            <w:left w:val="none" w:sz="0" w:space="0" w:color="auto"/>
            <w:bottom w:val="none" w:sz="0" w:space="0" w:color="auto"/>
            <w:right w:val="none" w:sz="0" w:space="0" w:color="auto"/>
          </w:divBdr>
        </w:div>
        <w:div w:id="2024700101">
          <w:marLeft w:val="0"/>
          <w:marRight w:val="0"/>
          <w:marTop w:val="0"/>
          <w:marBottom w:val="0"/>
          <w:divBdr>
            <w:top w:val="none" w:sz="0" w:space="0" w:color="auto"/>
            <w:left w:val="none" w:sz="0" w:space="0" w:color="auto"/>
            <w:bottom w:val="none" w:sz="0" w:space="0" w:color="auto"/>
            <w:right w:val="none" w:sz="0" w:space="0" w:color="auto"/>
          </w:divBdr>
        </w:div>
        <w:div w:id="2024700102">
          <w:marLeft w:val="0"/>
          <w:marRight w:val="0"/>
          <w:marTop w:val="0"/>
          <w:marBottom w:val="0"/>
          <w:divBdr>
            <w:top w:val="none" w:sz="0" w:space="0" w:color="auto"/>
            <w:left w:val="none" w:sz="0" w:space="0" w:color="auto"/>
            <w:bottom w:val="none" w:sz="0" w:space="0" w:color="auto"/>
            <w:right w:val="none" w:sz="0" w:space="0" w:color="auto"/>
          </w:divBdr>
        </w:div>
        <w:div w:id="2024700103">
          <w:marLeft w:val="0"/>
          <w:marRight w:val="0"/>
          <w:marTop w:val="0"/>
          <w:marBottom w:val="0"/>
          <w:divBdr>
            <w:top w:val="none" w:sz="0" w:space="0" w:color="auto"/>
            <w:left w:val="none" w:sz="0" w:space="0" w:color="auto"/>
            <w:bottom w:val="none" w:sz="0" w:space="0" w:color="auto"/>
            <w:right w:val="none" w:sz="0" w:space="0" w:color="auto"/>
          </w:divBdr>
        </w:div>
        <w:div w:id="2024700104">
          <w:marLeft w:val="0"/>
          <w:marRight w:val="0"/>
          <w:marTop w:val="0"/>
          <w:marBottom w:val="0"/>
          <w:divBdr>
            <w:top w:val="none" w:sz="0" w:space="0" w:color="auto"/>
            <w:left w:val="none" w:sz="0" w:space="0" w:color="auto"/>
            <w:bottom w:val="none" w:sz="0" w:space="0" w:color="auto"/>
            <w:right w:val="none" w:sz="0" w:space="0" w:color="auto"/>
          </w:divBdr>
        </w:div>
        <w:div w:id="2024700105">
          <w:marLeft w:val="0"/>
          <w:marRight w:val="0"/>
          <w:marTop w:val="0"/>
          <w:marBottom w:val="0"/>
          <w:divBdr>
            <w:top w:val="none" w:sz="0" w:space="0" w:color="auto"/>
            <w:left w:val="none" w:sz="0" w:space="0" w:color="auto"/>
            <w:bottom w:val="none" w:sz="0" w:space="0" w:color="auto"/>
            <w:right w:val="none" w:sz="0" w:space="0" w:color="auto"/>
          </w:divBdr>
        </w:div>
        <w:div w:id="2024700107">
          <w:marLeft w:val="0"/>
          <w:marRight w:val="0"/>
          <w:marTop w:val="0"/>
          <w:marBottom w:val="0"/>
          <w:divBdr>
            <w:top w:val="none" w:sz="0" w:space="0" w:color="auto"/>
            <w:left w:val="none" w:sz="0" w:space="0" w:color="auto"/>
            <w:bottom w:val="none" w:sz="0" w:space="0" w:color="auto"/>
            <w:right w:val="none" w:sz="0" w:space="0" w:color="auto"/>
          </w:divBdr>
        </w:div>
        <w:div w:id="2024700108">
          <w:marLeft w:val="0"/>
          <w:marRight w:val="0"/>
          <w:marTop w:val="0"/>
          <w:marBottom w:val="0"/>
          <w:divBdr>
            <w:top w:val="none" w:sz="0" w:space="0" w:color="auto"/>
            <w:left w:val="none" w:sz="0" w:space="0" w:color="auto"/>
            <w:bottom w:val="none" w:sz="0" w:space="0" w:color="auto"/>
            <w:right w:val="none" w:sz="0" w:space="0" w:color="auto"/>
          </w:divBdr>
        </w:div>
        <w:div w:id="2024700109">
          <w:marLeft w:val="0"/>
          <w:marRight w:val="0"/>
          <w:marTop w:val="0"/>
          <w:marBottom w:val="0"/>
          <w:divBdr>
            <w:top w:val="none" w:sz="0" w:space="0" w:color="auto"/>
            <w:left w:val="none" w:sz="0" w:space="0" w:color="auto"/>
            <w:bottom w:val="none" w:sz="0" w:space="0" w:color="auto"/>
            <w:right w:val="none" w:sz="0" w:space="0" w:color="auto"/>
          </w:divBdr>
        </w:div>
        <w:div w:id="2024700110">
          <w:marLeft w:val="0"/>
          <w:marRight w:val="0"/>
          <w:marTop w:val="0"/>
          <w:marBottom w:val="0"/>
          <w:divBdr>
            <w:top w:val="none" w:sz="0" w:space="0" w:color="auto"/>
            <w:left w:val="none" w:sz="0" w:space="0" w:color="auto"/>
            <w:bottom w:val="none" w:sz="0" w:space="0" w:color="auto"/>
            <w:right w:val="none" w:sz="0" w:space="0" w:color="auto"/>
          </w:divBdr>
        </w:div>
        <w:div w:id="2024700112">
          <w:marLeft w:val="0"/>
          <w:marRight w:val="0"/>
          <w:marTop w:val="0"/>
          <w:marBottom w:val="0"/>
          <w:divBdr>
            <w:top w:val="none" w:sz="0" w:space="0" w:color="auto"/>
            <w:left w:val="none" w:sz="0" w:space="0" w:color="auto"/>
            <w:bottom w:val="none" w:sz="0" w:space="0" w:color="auto"/>
            <w:right w:val="none" w:sz="0" w:space="0" w:color="auto"/>
          </w:divBdr>
        </w:div>
        <w:div w:id="2024700113">
          <w:marLeft w:val="0"/>
          <w:marRight w:val="0"/>
          <w:marTop w:val="0"/>
          <w:marBottom w:val="0"/>
          <w:divBdr>
            <w:top w:val="none" w:sz="0" w:space="0" w:color="auto"/>
            <w:left w:val="none" w:sz="0" w:space="0" w:color="auto"/>
            <w:bottom w:val="none" w:sz="0" w:space="0" w:color="auto"/>
            <w:right w:val="none" w:sz="0" w:space="0" w:color="auto"/>
          </w:divBdr>
        </w:div>
        <w:div w:id="2024700114">
          <w:marLeft w:val="0"/>
          <w:marRight w:val="0"/>
          <w:marTop w:val="0"/>
          <w:marBottom w:val="0"/>
          <w:divBdr>
            <w:top w:val="none" w:sz="0" w:space="0" w:color="auto"/>
            <w:left w:val="none" w:sz="0" w:space="0" w:color="auto"/>
            <w:bottom w:val="none" w:sz="0" w:space="0" w:color="auto"/>
            <w:right w:val="none" w:sz="0" w:space="0" w:color="auto"/>
          </w:divBdr>
        </w:div>
        <w:div w:id="2024700115">
          <w:marLeft w:val="0"/>
          <w:marRight w:val="0"/>
          <w:marTop w:val="0"/>
          <w:marBottom w:val="0"/>
          <w:divBdr>
            <w:top w:val="none" w:sz="0" w:space="0" w:color="auto"/>
            <w:left w:val="none" w:sz="0" w:space="0" w:color="auto"/>
            <w:bottom w:val="none" w:sz="0" w:space="0" w:color="auto"/>
            <w:right w:val="none" w:sz="0" w:space="0" w:color="auto"/>
          </w:divBdr>
        </w:div>
        <w:div w:id="2024700116">
          <w:marLeft w:val="0"/>
          <w:marRight w:val="0"/>
          <w:marTop w:val="0"/>
          <w:marBottom w:val="0"/>
          <w:divBdr>
            <w:top w:val="none" w:sz="0" w:space="0" w:color="auto"/>
            <w:left w:val="none" w:sz="0" w:space="0" w:color="auto"/>
            <w:bottom w:val="none" w:sz="0" w:space="0" w:color="auto"/>
            <w:right w:val="none" w:sz="0" w:space="0" w:color="auto"/>
          </w:divBdr>
        </w:div>
        <w:div w:id="2024700117">
          <w:marLeft w:val="0"/>
          <w:marRight w:val="0"/>
          <w:marTop w:val="0"/>
          <w:marBottom w:val="0"/>
          <w:divBdr>
            <w:top w:val="none" w:sz="0" w:space="0" w:color="auto"/>
            <w:left w:val="none" w:sz="0" w:space="0" w:color="auto"/>
            <w:bottom w:val="none" w:sz="0" w:space="0" w:color="auto"/>
            <w:right w:val="none" w:sz="0" w:space="0" w:color="auto"/>
          </w:divBdr>
        </w:div>
        <w:div w:id="2024700118">
          <w:marLeft w:val="0"/>
          <w:marRight w:val="0"/>
          <w:marTop w:val="0"/>
          <w:marBottom w:val="0"/>
          <w:divBdr>
            <w:top w:val="none" w:sz="0" w:space="0" w:color="auto"/>
            <w:left w:val="none" w:sz="0" w:space="0" w:color="auto"/>
            <w:bottom w:val="none" w:sz="0" w:space="0" w:color="auto"/>
            <w:right w:val="none" w:sz="0" w:space="0" w:color="auto"/>
          </w:divBdr>
        </w:div>
        <w:div w:id="2024700119">
          <w:marLeft w:val="0"/>
          <w:marRight w:val="0"/>
          <w:marTop w:val="0"/>
          <w:marBottom w:val="0"/>
          <w:divBdr>
            <w:top w:val="none" w:sz="0" w:space="0" w:color="auto"/>
            <w:left w:val="none" w:sz="0" w:space="0" w:color="auto"/>
            <w:bottom w:val="none" w:sz="0" w:space="0" w:color="auto"/>
            <w:right w:val="none" w:sz="0" w:space="0" w:color="auto"/>
          </w:divBdr>
        </w:div>
        <w:div w:id="2024700120">
          <w:marLeft w:val="0"/>
          <w:marRight w:val="0"/>
          <w:marTop w:val="0"/>
          <w:marBottom w:val="0"/>
          <w:divBdr>
            <w:top w:val="none" w:sz="0" w:space="0" w:color="auto"/>
            <w:left w:val="none" w:sz="0" w:space="0" w:color="auto"/>
            <w:bottom w:val="none" w:sz="0" w:space="0" w:color="auto"/>
            <w:right w:val="none" w:sz="0" w:space="0" w:color="auto"/>
          </w:divBdr>
        </w:div>
        <w:div w:id="2024700121">
          <w:marLeft w:val="0"/>
          <w:marRight w:val="0"/>
          <w:marTop w:val="0"/>
          <w:marBottom w:val="0"/>
          <w:divBdr>
            <w:top w:val="none" w:sz="0" w:space="0" w:color="auto"/>
            <w:left w:val="none" w:sz="0" w:space="0" w:color="auto"/>
            <w:bottom w:val="none" w:sz="0" w:space="0" w:color="auto"/>
            <w:right w:val="none" w:sz="0" w:space="0" w:color="auto"/>
          </w:divBdr>
        </w:div>
        <w:div w:id="2024700123">
          <w:marLeft w:val="0"/>
          <w:marRight w:val="0"/>
          <w:marTop w:val="0"/>
          <w:marBottom w:val="0"/>
          <w:divBdr>
            <w:top w:val="none" w:sz="0" w:space="0" w:color="auto"/>
            <w:left w:val="none" w:sz="0" w:space="0" w:color="auto"/>
            <w:bottom w:val="none" w:sz="0" w:space="0" w:color="auto"/>
            <w:right w:val="none" w:sz="0" w:space="0" w:color="auto"/>
          </w:divBdr>
        </w:div>
        <w:div w:id="2024700124">
          <w:marLeft w:val="0"/>
          <w:marRight w:val="0"/>
          <w:marTop w:val="0"/>
          <w:marBottom w:val="0"/>
          <w:divBdr>
            <w:top w:val="none" w:sz="0" w:space="0" w:color="auto"/>
            <w:left w:val="none" w:sz="0" w:space="0" w:color="auto"/>
            <w:bottom w:val="none" w:sz="0" w:space="0" w:color="auto"/>
            <w:right w:val="none" w:sz="0" w:space="0" w:color="auto"/>
          </w:divBdr>
        </w:div>
        <w:div w:id="2024700125">
          <w:marLeft w:val="0"/>
          <w:marRight w:val="0"/>
          <w:marTop w:val="0"/>
          <w:marBottom w:val="0"/>
          <w:divBdr>
            <w:top w:val="none" w:sz="0" w:space="0" w:color="auto"/>
            <w:left w:val="none" w:sz="0" w:space="0" w:color="auto"/>
            <w:bottom w:val="none" w:sz="0" w:space="0" w:color="auto"/>
            <w:right w:val="none" w:sz="0" w:space="0" w:color="auto"/>
          </w:divBdr>
        </w:div>
        <w:div w:id="2024700126">
          <w:marLeft w:val="0"/>
          <w:marRight w:val="0"/>
          <w:marTop w:val="0"/>
          <w:marBottom w:val="0"/>
          <w:divBdr>
            <w:top w:val="none" w:sz="0" w:space="0" w:color="auto"/>
            <w:left w:val="none" w:sz="0" w:space="0" w:color="auto"/>
            <w:bottom w:val="none" w:sz="0" w:space="0" w:color="auto"/>
            <w:right w:val="none" w:sz="0" w:space="0" w:color="auto"/>
          </w:divBdr>
        </w:div>
        <w:div w:id="2024700127">
          <w:marLeft w:val="0"/>
          <w:marRight w:val="0"/>
          <w:marTop w:val="0"/>
          <w:marBottom w:val="0"/>
          <w:divBdr>
            <w:top w:val="none" w:sz="0" w:space="0" w:color="auto"/>
            <w:left w:val="none" w:sz="0" w:space="0" w:color="auto"/>
            <w:bottom w:val="none" w:sz="0" w:space="0" w:color="auto"/>
            <w:right w:val="none" w:sz="0" w:space="0" w:color="auto"/>
          </w:divBdr>
        </w:div>
        <w:div w:id="2024700128">
          <w:marLeft w:val="0"/>
          <w:marRight w:val="0"/>
          <w:marTop w:val="0"/>
          <w:marBottom w:val="0"/>
          <w:divBdr>
            <w:top w:val="none" w:sz="0" w:space="0" w:color="auto"/>
            <w:left w:val="none" w:sz="0" w:space="0" w:color="auto"/>
            <w:bottom w:val="none" w:sz="0" w:space="0" w:color="auto"/>
            <w:right w:val="none" w:sz="0" w:space="0" w:color="auto"/>
          </w:divBdr>
        </w:div>
        <w:div w:id="2024700129">
          <w:marLeft w:val="0"/>
          <w:marRight w:val="0"/>
          <w:marTop w:val="0"/>
          <w:marBottom w:val="0"/>
          <w:divBdr>
            <w:top w:val="none" w:sz="0" w:space="0" w:color="auto"/>
            <w:left w:val="none" w:sz="0" w:space="0" w:color="auto"/>
            <w:bottom w:val="none" w:sz="0" w:space="0" w:color="auto"/>
            <w:right w:val="none" w:sz="0" w:space="0" w:color="auto"/>
          </w:divBdr>
        </w:div>
        <w:div w:id="2024700130">
          <w:marLeft w:val="0"/>
          <w:marRight w:val="0"/>
          <w:marTop w:val="0"/>
          <w:marBottom w:val="0"/>
          <w:divBdr>
            <w:top w:val="none" w:sz="0" w:space="0" w:color="auto"/>
            <w:left w:val="none" w:sz="0" w:space="0" w:color="auto"/>
            <w:bottom w:val="none" w:sz="0" w:space="0" w:color="auto"/>
            <w:right w:val="none" w:sz="0" w:space="0" w:color="auto"/>
          </w:divBdr>
        </w:div>
        <w:div w:id="2024700131">
          <w:marLeft w:val="0"/>
          <w:marRight w:val="0"/>
          <w:marTop w:val="0"/>
          <w:marBottom w:val="0"/>
          <w:divBdr>
            <w:top w:val="none" w:sz="0" w:space="0" w:color="auto"/>
            <w:left w:val="none" w:sz="0" w:space="0" w:color="auto"/>
            <w:bottom w:val="none" w:sz="0" w:space="0" w:color="auto"/>
            <w:right w:val="none" w:sz="0" w:space="0" w:color="auto"/>
          </w:divBdr>
        </w:div>
        <w:div w:id="2024700132">
          <w:marLeft w:val="0"/>
          <w:marRight w:val="0"/>
          <w:marTop w:val="0"/>
          <w:marBottom w:val="0"/>
          <w:divBdr>
            <w:top w:val="none" w:sz="0" w:space="0" w:color="auto"/>
            <w:left w:val="none" w:sz="0" w:space="0" w:color="auto"/>
            <w:bottom w:val="none" w:sz="0" w:space="0" w:color="auto"/>
            <w:right w:val="none" w:sz="0" w:space="0" w:color="auto"/>
          </w:divBdr>
        </w:div>
        <w:div w:id="2024700133">
          <w:marLeft w:val="0"/>
          <w:marRight w:val="0"/>
          <w:marTop w:val="0"/>
          <w:marBottom w:val="0"/>
          <w:divBdr>
            <w:top w:val="none" w:sz="0" w:space="0" w:color="auto"/>
            <w:left w:val="none" w:sz="0" w:space="0" w:color="auto"/>
            <w:bottom w:val="none" w:sz="0" w:space="0" w:color="auto"/>
            <w:right w:val="none" w:sz="0" w:space="0" w:color="auto"/>
          </w:divBdr>
        </w:div>
        <w:div w:id="2024700134">
          <w:marLeft w:val="0"/>
          <w:marRight w:val="0"/>
          <w:marTop w:val="0"/>
          <w:marBottom w:val="0"/>
          <w:divBdr>
            <w:top w:val="none" w:sz="0" w:space="0" w:color="auto"/>
            <w:left w:val="none" w:sz="0" w:space="0" w:color="auto"/>
            <w:bottom w:val="none" w:sz="0" w:space="0" w:color="auto"/>
            <w:right w:val="none" w:sz="0" w:space="0" w:color="auto"/>
          </w:divBdr>
        </w:div>
        <w:div w:id="2024700135">
          <w:marLeft w:val="0"/>
          <w:marRight w:val="0"/>
          <w:marTop w:val="0"/>
          <w:marBottom w:val="0"/>
          <w:divBdr>
            <w:top w:val="none" w:sz="0" w:space="0" w:color="auto"/>
            <w:left w:val="none" w:sz="0" w:space="0" w:color="auto"/>
            <w:bottom w:val="none" w:sz="0" w:space="0" w:color="auto"/>
            <w:right w:val="none" w:sz="0" w:space="0" w:color="auto"/>
          </w:divBdr>
        </w:div>
        <w:div w:id="2024700136">
          <w:marLeft w:val="0"/>
          <w:marRight w:val="0"/>
          <w:marTop w:val="0"/>
          <w:marBottom w:val="0"/>
          <w:divBdr>
            <w:top w:val="none" w:sz="0" w:space="0" w:color="auto"/>
            <w:left w:val="none" w:sz="0" w:space="0" w:color="auto"/>
            <w:bottom w:val="none" w:sz="0" w:space="0" w:color="auto"/>
            <w:right w:val="none" w:sz="0" w:space="0" w:color="auto"/>
          </w:divBdr>
        </w:div>
        <w:div w:id="2024700137">
          <w:marLeft w:val="0"/>
          <w:marRight w:val="0"/>
          <w:marTop w:val="0"/>
          <w:marBottom w:val="0"/>
          <w:divBdr>
            <w:top w:val="none" w:sz="0" w:space="0" w:color="auto"/>
            <w:left w:val="none" w:sz="0" w:space="0" w:color="auto"/>
            <w:bottom w:val="none" w:sz="0" w:space="0" w:color="auto"/>
            <w:right w:val="none" w:sz="0" w:space="0" w:color="auto"/>
          </w:divBdr>
        </w:div>
        <w:div w:id="2024700138">
          <w:marLeft w:val="0"/>
          <w:marRight w:val="0"/>
          <w:marTop w:val="0"/>
          <w:marBottom w:val="0"/>
          <w:divBdr>
            <w:top w:val="none" w:sz="0" w:space="0" w:color="auto"/>
            <w:left w:val="none" w:sz="0" w:space="0" w:color="auto"/>
            <w:bottom w:val="none" w:sz="0" w:space="0" w:color="auto"/>
            <w:right w:val="none" w:sz="0" w:space="0" w:color="auto"/>
          </w:divBdr>
        </w:div>
        <w:div w:id="2024700139">
          <w:marLeft w:val="0"/>
          <w:marRight w:val="0"/>
          <w:marTop w:val="0"/>
          <w:marBottom w:val="0"/>
          <w:divBdr>
            <w:top w:val="none" w:sz="0" w:space="0" w:color="auto"/>
            <w:left w:val="none" w:sz="0" w:space="0" w:color="auto"/>
            <w:bottom w:val="none" w:sz="0" w:space="0" w:color="auto"/>
            <w:right w:val="none" w:sz="0" w:space="0" w:color="auto"/>
          </w:divBdr>
        </w:div>
        <w:div w:id="2024700140">
          <w:marLeft w:val="0"/>
          <w:marRight w:val="0"/>
          <w:marTop w:val="0"/>
          <w:marBottom w:val="0"/>
          <w:divBdr>
            <w:top w:val="none" w:sz="0" w:space="0" w:color="auto"/>
            <w:left w:val="none" w:sz="0" w:space="0" w:color="auto"/>
            <w:bottom w:val="none" w:sz="0" w:space="0" w:color="auto"/>
            <w:right w:val="none" w:sz="0" w:space="0" w:color="auto"/>
          </w:divBdr>
        </w:div>
        <w:div w:id="2024700141">
          <w:marLeft w:val="0"/>
          <w:marRight w:val="0"/>
          <w:marTop w:val="0"/>
          <w:marBottom w:val="0"/>
          <w:divBdr>
            <w:top w:val="none" w:sz="0" w:space="0" w:color="auto"/>
            <w:left w:val="none" w:sz="0" w:space="0" w:color="auto"/>
            <w:bottom w:val="none" w:sz="0" w:space="0" w:color="auto"/>
            <w:right w:val="none" w:sz="0" w:space="0" w:color="auto"/>
          </w:divBdr>
        </w:div>
        <w:div w:id="2024700142">
          <w:marLeft w:val="0"/>
          <w:marRight w:val="0"/>
          <w:marTop w:val="0"/>
          <w:marBottom w:val="0"/>
          <w:divBdr>
            <w:top w:val="none" w:sz="0" w:space="0" w:color="auto"/>
            <w:left w:val="none" w:sz="0" w:space="0" w:color="auto"/>
            <w:bottom w:val="none" w:sz="0" w:space="0" w:color="auto"/>
            <w:right w:val="none" w:sz="0" w:space="0" w:color="auto"/>
          </w:divBdr>
        </w:div>
        <w:div w:id="2024700143">
          <w:marLeft w:val="0"/>
          <w:marRight w:val="0"/>
          <w:marTop w:val="0"/>
          <w:marBottom w:val="0"/>
          <w:divBdr>
            <w:top w:val="none" w:sz="0" w:space="0" w:color="auto"/>
            <w:left w:val="none" w:sz="0" w:space="0" w:color="auto"/>
            <w:bottom w:val="none" w:sz="0" w:space="0" w:color="auto"/>
            <w:right w:val="none" w:sz="0" w:space="0" w:color="auto"/>
          </w:divBdr>
        </w:div>
        <w:div w:id="2024700144">
          <w:marLeft w:val="0"/>
          <w:marRight w:val="0"/>
          <w:marTop w:val="0"/>
          <w:marBottom w:val="0"/>
          <w:divBdr>
            <w:top w:val="none" w:sz="0" w:space="0" w:color="auto"/>
            <w:left w:val="none" w:sz="0" w:space="0" w:color="auto"/>
            <w:bottom w:val="none" w:sz="0" w:space="0" w:color="auto"/>
            <w:right w:val="none" w:sz="0" w:space="0" w:color="auto"/>
          </w:divBdr>
        </w:div>
        <w:div w:id="2024700145">
          <w:marLeft w:val="0"/>
          <w:marRight w:val="0"/>
          <w:marTop w:val="0"/>
          <w:marBottom w:val="0"/>
          <w:divBdr>
            <w:top w:val="none" w:sz="0" w:space="0" w:color="auto"/>
            <w:left w:val="none" w:sz="0" w:space="0" w:color="auto"/>
            <w:bottom w:val="none" w:sz="0" w:space="0" w:color="auto"/>
            <w:right w:val="none" w:sz="0" w:space="0" w:color="auto"/>
          </w:divBdr>
        </w:div>
        <w:div w:id="2024700146">
          <w:marLeft w:val="0"/>
          <w:marRight w:val="0"/>
          <w:marTop w:val="0"/>
          <w:marBottom w:val="0"/>
          <w:divBdr>
            <w:top w:val="none" w:sz="0" w:space="0" w:color="auto"/>
            <w:left w:val="none" w:sz="0" w:space="0" w:color="auto"/>
            <w:bottom w:val="none" w:sz="0" w:space="0" w:color="auto"/>
            <w:right w:val="none" w:sz="0" w:space="0" w:color="auto"/>
          </w:divBdr>
        </w:div>
        <w:div w:id="2024700147">
          <w:marLeft w:val="0"/>
          <w:marRight w:val="0"/>
          <w:marTop w:val="0"/>
          <w:marBottom w:val="0"/>
          <w:divBdr>
            <w:top w:val="none" w:sz="0" w:space="0" w:color="auto"/>
            <w:left w:val="none" w:sz="0" w:space="0" w:color="auto"/>
            <w:bottom w:val="none" w:sz="0" w:space="0" w:color="auto"/>
            <w:right w:val="none" w:sz="0" w:space="0" w:color="auto"/>
          </w:divBdr>
        </w:div>
        <w:div w:id="2024700148">
          <w:marLeft w:val="0"/>
          <w:marRight w:val="0"/>
          <w:marTop w:val="0"/>
          <w:marBottom w:val="0"/>
          <w:divBdr>
            <w:top w:val="none" w:sz="0" w:space="0" w:color="auto"/>
            <w:left w:val="none" w:sz="0" w:space="0" w:color="auto"/>
            <w:bottom w:val="none" w:sz="0" w:space="0" w:color="auto"/>
            <w:right w:val="none" w:sz="0" w:space="0" w:color="auto"/>
          </w:divBdr>
        </w:div>
        <w:div w:id="2024700149">
          <w:marLeft w:val="0"/>
          <w:marRight w:val="0"/>
          <w:marTop w:val="0"/>
          <w:marBottom w:val="0"/>
          <w:divBdr>
            <w:top w:val="none" w:sz="0" w:space="0" w:color="auto"/>
            <w:left w:val="none" w:sz="0" w:space="0" w:color="auto"/>
            <w:bottom w:val="none" w:sz="0" w:space="0" w:color="auto"/>
            <w:right w:val="none" w:sz="0" w:space="0" w:color="auto"/>
          </w:divBdr>
        </w:div>
        <w:div w:id="2024700150">
          <w:marLeft w:val="0"/>
          <w:marRight w:val="0"/>
          <w:marTop w:val="0"/>
          <w:marBottom w:val="0"/>
          <w:divBdr>
            <w:top w:val="none" w:sz="0" w:space="0" w:color="auto"/>
            <w:left w:val="none" w:sz="0" w:space="0" w:color="auto"/>
            <w:bottom w:val="none" w:sz="0" w:space="0" w:color="auto"/>
            <w:right w:val="none" w:sz="0" w:space="0" w:color="auto"/>
          </w:divBdr>
        </w:div>
        <w:div w:id="2024700151">
          <w:marLeft w:val="0"/>
          <w:marRight w:val="0"/>
          <w:marTop w:val="0"/>
          <w:marBottom w:val="0"/>
          <w:divBdr>
            <w:top w:val="none" w:sz="0" w:space="0" w:color="auto"/>
            <w:left w:val="none" w:sz="0" w:space="0" w:color="auto"/>
            <w:bottom w:val="none" w:sz="0" w:space="0" w:color="auto"/>
            <w:right w:val="none" w:sz="0" w:space="0" w:color="auto"/>
          </w:divBdr>
        </w:div>
        <w:div w:id="2024700152">
          <w:marLeft w:val="0"/>
          <w:marRight w:val="0"/>
          <w:marTop w:val="0"/>
          <w:marBottom w:val="0"/>
          <w:divBdr>
            <w:top w:val="none" w:sz="0" w:space="0" w:color="auto"/>
            <w:left w:val="none" w:sz="0" w:space="0" w:color="auto"/>
            <w:bottom w:val="none" w:sz="0" w:space="0" w:color="auto"/>
            <w:right w:val="none" w:sz="0" w:space="0" w:color="auto"/>
          </w:divBdr>
        </w:div>
        <w:div w:id="2024700153">
          <w:marLeft w:val="0"/>
          <w:marRight w:val="0"/>
          <w:marTop w:val="0"/>
          <w:marBottom w:val="0"/>
          <w:divBdr>
            <w:top w:val="none" w:sz="0" w:space="0" w:color="auto"/>
            <w:left w:val="none" w:sz="0" w:space="0" w:color="auto"/>
            <w:bottom w:val="none" w:sz="0" w:space="0" w:color="auto"/>
            <w:right w:val="none" w:sz="0" w:space="0" w:color="auto"/>
          </w:divBdr>
        </w:div>
        <w:div w:id="2024700154">
          <w:marLeft w:val="0"/>
          <w:marRight w:val="0"/>
          <w:marTop w:val="0"/>
          <w:marBottom w:val="0"/>
          <w:divBdr>
            <w:top w:val="none" w:sz="0" w:space="0" w:color="auto"/>
            <w:left w:val="none" w:sz="0" w:space="0" w:color="auto"/>
            <w:bottom w:val="none" w:sz="0" w:space="0" w:color="auto"/>
            <w:right w:val="none" w:sz="0" w:space="0" w:color="auto"/>
          </w:divBdr>
        </w:div>
        <w:div w:id="2024700155">
          <w:marLeft w:val="0"/>
          <w:marRight w:val="0"/>
          <w:marTop w:val="0"/>
          <w:marBottom w:val="0"/>
          <w:divBdr>
            <w:top w:val="none" w:sz="0" w:space="0" w:color="auto"/>
            <w:left w:val="none" w:sz="0" w:space="0" w:color="auto"/>
            <w:bottom w:val="none" w:sz="0" w:space="0" w:color="auto"/>
            <w:right w:val="none" w:sz="0" w:space="0" w:color="auto"/>
          </w:divBdr>
        </w:div>
        <w:div w:id="2024700156">
          <w:marLeft w:val="0"/>
          <w:marRight w:val="0"/>
          <w:marTop w:val="0"/>
          <w:marBottom w:val="0"/>
          <w:divBdr>
            <w:top w:val="none" w:sz="0" w:space="0" w:color="auto"/>
            <w:left w:val="none" w:sz="0" w:space="0" w:color="auto"/>
            <w:bottom w:val="none" w:sz="0" w:space="0" w:color="auto"/>
            <w:right w:val="none" w:sz="0" w:space="0" w:color="auto"/>
          </w:divBdr>
        </w:div>
        <w:div w:id="2024700157">
          <w:marLeft w:val="0"/>
          <w:marRight w:val="0"/>
          <w:marTop w:val="0"/>
          <w:marBottom w:val="0"/>
          <w:divBdr>
            <w:top w:val="none" w:sz="0" w:space="0" w:color="auto"/>
            <w:left w:val="none" w:sz="0" w:space="0" w:color="auto"/>
            <w:bottom w:val="none" w:sz="0" w:space="0" w:color="auto"/>
            <w:right w:val="none" w:sz="0" w:space="0" w:color="auto"/>
          </w:divBdr>
        </w:div>
        <w:div w:id="2024700159">
          <w:marLeft w:val="0"/>
          <w:marRight w:val="0"/>
          <w:marTop w:val="0"/>
          <w:marBottom w:val="0"/>
          <w:divBdr>
            <w:top w:val="none" w:sz="0" w:space="0" w:color="auto"/>
            <w:left w:val="none" w:sz="0" w:space="0" w:color="auto"/>
            <w:bottom w:val="none" w:sz="0" w:space="0" w:color="auto"/>
            <w:right w:val="none" w:sz="0" w:space="0" w:color="auto"/>
          </w:divBdr>
        </w:div>
        <w:div w:id="2024700160">
          <w:marLeft w:val="0"/>
          <w:marRight w:val="0"/>
          <w:marTop w:val="0"/>
          <w:marBottom w:val="0"/>
          <w:divBdr>
            <w:top w:val="none" w:sz="0" w:space="0" w:color="auto"/>
            <w:left w:val="none" w:sz="0" w:space="0" w:color="auto"/>
            <w:bottom w:val="none" w:sz="0" w:space="0" w:color="auto"/>
            <w:right w:val="none" w:sz="0" w:space="0" w:color="auto"/>
          </w:divBdr>
        </w:div>
        <w:div w:id="2024700161">
          <w:marLeft w:val="0"/>
          <w:marRight w:val="0"/>
          <w:marTop w:val="0"/>
          <w:marBottom w:val="0"/>
          <w:divBdr>
            <w:top w:val="none" w:sz="0" w:space="0" w:color="auto"/>
            <w:left w:val="none" w:sz="0" w:space="0" w:color="auto"/>
            <w:bottom w:val="none" w:sz="0" w:space="0" w:color="auto"/>
            <w:right w:val="none" w:sz="0" w:space="0" w:color="auto"/>
          </w:divBdr>
        </w:div>
        <w:div w:id="2024700162">
          <w:marLeft w:val="0"/>
          <w:marRight w:val="0"/>
          <w:marTop w:val="0"/>
          <w:marBottom w:val="0"/>
          <w:divBdr>
            <w:top w:val="none" w:sz="0" w:space="0" w:color="auto"/>
            <w:left w:val="none" w:sz="0" w:space="0" w:color="auto"/>
            <w:bottom w:val="none" w:sz="0" w:space="0" w:color="auto"/>
            <w:right w:val="none" w:sz="0" w:space="0" w:color="auto"/>
          </w:divBdr>
        </w:div>
        <w:div w:id="2024700163">
          <w:marLeft w:val="0"/>
          <w:marRight w:val="0"/>
          <w:marTop w:val="0"/>
          <w:marBottom w:val="0"/>
          <w:divBdr>
            <w:top w:val="none" w:sz="0" w:space="0" w:color="auto"/>
            <w:left w:val="none" w:sz="0" w:space="0" w:color="auto"/>
            <w:bottom w:val="none" w:sz="0" w:space="0" w:color="auto"/>
            <w:right w:val="none" w:sz="0" w:space="0" w:color="auto"/>
          </w:divBdr>
        </w:div>
        <w:div w:id="2024700164">
          <w:marLeft w:val="0"/>
          <w:marRight w:val="0"/>
          <w:marTop w:val="0"/>
          <w:marBottom w:val="0"/>
          <w:divBdr>
            <w:top w:val="none" w:sz="0" w:space="0" w:color="auto"/>
            <w:left w:val="none" w:sz="0" w:space="0" w:color="auto"/>
            <w:bottom w:val="none" w:sz="0" w:space="0" w:color="auto"/>
            <w:right w:val="none" w:sz="0" w:space="0" w:color="auto"/>
          </w:divBdr>
        </w:div>
        <w:div w:id="2024700165">
          <w:marLeft w:val="0"/>
          <w:marRight w:val="0"/>
          <w:marTop w:val="0"/>
          <w:marBottom w:val="0"/>
          <w:divBdr>
            <w:top w:val="none" w:sz="0" w:space="0" w:color="auto"/>
            <w:left w:val="none" w:sz="0" w:space="0" w:color="auto"/>
            <w:bottom w:val="none" w:sz="0" w:space="0" w:color="auto"/>
            <w:right w:val="none" w:sz="0" w:space="0" w:color="auto"/>
          </w:divBdr>
        </w:div>
        <w:div w:id="2024700166">
          <w:marLeft w:val="0"/>
          <w:marRight w:val="0"/>
          <w:marTop w:val="0"/>
          <w:marBottom w:val="0"/>
          <w:divBdr>
            <w:top w:val="none" w:sz="0" w:space="0" w:color="auto"/>
            <w:left w:val="none" w:sz="0" w:space="0" w:color="auto"/>
            <w:bottom w:val="none" w:sz="0" w:space="0" w:color="auto"/>
            <w:right w:val="none" w:sz="0" w:space="0" w:color="auto"/>
          </w:divBdr>
        </w:div>
        <w:div w:id="2024700167">
          <w:marLeft w:val="0"/>
          <w:marRight w:val="0"/>
          <w:marTop w:val="0"/>
          <w:marBottom w:val="0"/>
          <w:divBdr>
            <w:top w:val="none" w:sz="0" w:space="0" w:color="auto"/>
            <w:left w:val="none" w:sz="0" w:space="0" w:color="auto"/>
            <w:bottom w:val="none" w:sz="0" w:space="0" w:color="auto"/>
            <w:right w:val="none" w:sz="0" w:space="0" w:color="auto"/>
          </w:divBdr>
        </w:div>
        <w:div w:id="2024700168">
          <w:marLeft w:val="0"/>
          <w:marRight w:val="0"/>
          <w:marTop w:val="0"/>
          <w:marBottom w:val="0"/>
          <w:divBdr>
            <w:top w:val="none" w:sz="0" w:space="0" w:color="auto"/>
            <w:left w:val="none" w:sz="0" w:space="0" w:color="auto"/>
            <w:bottom w:val="none" w:sz="0" w:space="0" w:color="auto"/>
            <w:right w:val="none" w:sz="0" w:space="0" w:color="auto"/>
          </w:divBdr>
        </w:div>
        <w:div w:id="2024700169">
          <w:marLeft w:val="0"/>
          <w:marRight w:val="0"/>
          <w:marTop w:val="0"/>
          <w:marBottom w:val="0"/>
          <w:divBdr>
            <w:top w:val="none" w:sz="0" w:space="0" w:color="auto"/>
            <w:left w:val="none" w:sz="0" w:space="0" w:color="auto"/>
            <w:bottom w:val="none" w:sz="0" w:space="0" w:color="auto"/>
            <w:right w:val="none" w:sz="0" w:space="0" w:color="auto"/>
          </w:divBdr>
        </w:div>
        <w:div w:id="2024700170">
          <w:marLeft w:val="0"/>
          <w:marRight w:val="0"/>
          <w:marTop w:val="0"/>
          <w:marBottom w:val="0"/>
          <w:divBdr>
            <w:top w:val="none" w:sz="0" w:space="0" w:color="auto"/>
            <w:left w:val="none" w:sz="0" w:space="0" w:color="auto"/>
            <w:bottom w:val="none" w:sz="0" w:space="0" w:color="auto"/>
            <w:right w:val="none" w:sz="0" w:space="0" w:color="auto"/>
          </w:divBdr>
        </w:div>
        <w:div w:id="2024700171">
          <w:marLeft w:val="0"/>
          <w:marRight w:val="0"/>
          <w:marTop w:val="0"/>
          <w:marBottom w:val="0"/>
          <w:divBdr>
            <w:top w:val="none" w:sz="0" w:space="0" w:color="auto"/>
            <w:left w:val="none" w:sz="0" w:space="0" w:color="auto"/>
            <w:bottom w:val="none" w:sz="0" w:space="0" w:color="auto"/>
            <w:right w:val="none" w:sz="0" w:space="0" w:color="auto"/>
          </w:divBdr>
        </w:div>
        <w:div w:id="2024700172">
          <w:marLeft w:val="0"/>
          <w:marRight w:val="0"/>
          <w:marTop w:val="0"/>
          <w:marBottom w:val="0"/>
          <w:divBdr>
            <w:top w:val="none" w:sz="0" w:space="0" w:color="auto"/>
            <w:left w:val="none" w:sz="0" w:space="0" w:color="auto"/>
            <w:bottom w:val="none" w:sz="0" w:space="0" w:color="auto"/>
            <w:right w:val="none" w:sz="0" w:space="0" w:color="auto"/>
          </w:divBdr>
        </w:div>
        <w:div w:id="2024700173">
          <w:marLeft w:val="0"/>
          <w:marRight w:val="0"/>
          <w:marTop w:val="0"/>
          <w:marBottom w:val="0"/>
          <w:divBdr>
            <w:top w:val="none" w:sz="0" w:space="0" w:color="auto"/>
            <w:left w:val="none" w:sz="0" w:space="0" w:color="auto"/>
            <w:bottom w:val="none" w:sz="0" w:space="0" w:color="auto"/>
            <w:right w:val="none" w:sz="0" w:space="0" w:color="auto"/>
          </w:divBdr>
        </w:div>
        <w:div w:id="2024700174">
          <w:marLeft w:val="0"/>
          <w:marRight w:val="0"/>
          <w:marTop w:val="0"/>
          <w:marBottom w:val="0"/>
          <w:divBdr>
            <w:top w:val="none" w:sz="0" w:space="0" w:color="auto"/>
            <w:left w:val="none" w:sz="0" w:space="0" w:color="auto"/>
            <w:bottom w:val="none" w:sz="0" w:space="0" w:color="auto"/>
            <w:right w:val="none" w:sz="0" w:space="0" w:color="auto"/>
          </w:divBdr>
        </w:div>
        <w:div w:id="2024700175">
          <w:marLeft w:val="0"/>
          <w:marRight w:val="0"/>
          <w:marTop w:val="0"/>
          <w:marBottom w:val="0"/>
          <w:divBdr>
            <w:top w:val="none" w:sz="0" w:space="0" w:color="auto"/>
            <w:left w:val="none" w:sz="0" w:space="0" w:color="auto"/>
            <w:bottom w:val="none" w:sz="0" w:space="0" w:color="auto"/>
            <w:right w:val="none" w:sz="0" w:space="0" w:color="auto"/>
          </w:divBdr>
        </w:div>
        <w:div w:id="2024700176">
          <w:marLeft w:val="0"/>
          <w:marRight w:val="0"/>
          <w:marTop w:val="0"/>
          <w:marBottom w:val="0"/>
          <w:divBdr>
            <w:top w:val="none" w:sz="0" w:space="0" w:color="auto"/>
            <w:left w:val="none" w:sz="0" w:space="0" w:color="auto"/>
            <w:bottom w:val="none" w:sz="0" w:space="0" w:color="auto"/>
            <w:right w:val="none" w:sz="0" w:space="0" w:color="auto"/>
          </w:divBdr>
        </w:div>
        <w:div w:id="2024700177">
          <w:marLeft w:val="0"/>
          <w:marRight w:val="0"/>
          <w:marTop w:val="0"/>
          <w:marBottom w:val="0"/>
          <w:divBdr>
            <w:top w:val="none" w:sz="0" w:space="0" w:color="auto"/>
            <w:left w:val="none" w:sz="0" w:space="0" w:color="auto"/>
            <w:bottom w:val="none" w:sz="0" w:space="0" w:color="auto"/>
            <w:right w:val="none" w:sz="0" w:space="0" w:color="auto"/>
          </w:divBdr>
        </w:div>
        <w:div w:id="2024700178">
          <w:marLeft w:val="0"/>
          <w:marRight w:val="0"/>
          <w:marTop w:val="0"/>
          <w:marBottom w:val="0"/>
          <w:divBdr>
            <w:top w:val="none" w:sz="0" w:space="0" w:color="auto"/>
            <w:left w:val="none" w:sz="0" w:space="0" w:color="auto"/>
            <w:bottom w:val="none" w:sz="0" w:space="0" w:color="auto"/>
            <w:right w:val="none" w:sz="0" w:space="0" w:color="auto"/>
          </w:divBdr>
        </w:div>
        <w:div w:id="2024700179">
          <w:marLeft w:val="0"/>
          <w:marRight w:val="0"/>
          <w:marTop w:val="0"/>
          <w:marBottom w:val="0"/>
          <w:divBdr>
            <w:top w:val="none" w:sz="0" w:space="0" w:color="auto"/>
            <w:left w:val="none" w:sz="0" w:space="0" w:color="auto"/>
            <w:bottom w:val="none" w:sz="0" w:space="0" w:color="auto"/>
            <w:right w:val="none" w:sz="0" w:space="0" w:color="auto"/>
          </w:divBdr>
        </w:div>
        <w:div w:id="2024700180">
          <w:marLeft w:val="0"/>
          <w:marRight w:val="0"/>
          <w:marTop w:val="0"/>
          <w:marBottom w:val="0"/>
          <w:divBdr>
            <w:top w:val="none" w:sz="0" w:space="0" w:color="auto"/>
            <w:left w:val="none" w:sz="0" w:space="0" w:color="auto"/>
            <w:bottom w:val="none" w:sz="0" w:space="0" w:color="auto"/>
            <w:right w:val="none" w:sz="0" w:space="0" w:color="auto"/>
          </w:divBdr>
        </w:div>
        <w:div w:id="2024700181">
          <w:marLeft w:val="0"/>
          <w:marRight w:val="0"/>
          <w:marTop w:val="0"/>
          <w:marBottom w:val="0"/>
          <w:divBdr>
            <w:top w:val="none" w:sz="0" w:space="0" w:color="auto"/>
            <w:left w:val="none" w:sz="0" w:space="0" w:color="auto"/>
            <w:bottom w:val="none" w:sz="0" w:space="0" w:color="auto"/>
            <w:right w:val="none" w:sz="0" w:space="0" w:color="auto"/>
          </w:divBdr>
        </w:div>
        <w:div w:id="2024700182">
          <w:marLeft w:val="0"/>
          <w:marRight w:val="0"/>
          <w:marTop w:val="0"/>
          <w:marBottom w:val="0"/>
          <w:divBdr>
            <w:top w:val="none" w:sz="0" w:space="0" w:color="auto"/>
            <w:left w:val="none" w:sz="0" w:space="0" w:color="auto"/>
            <w:bottom w:val="none" w:sz="0" w:space="0" w:color="auto"/>
            <w:right w:val="none" w:sz="0" w:space="0" w:color="auto"/>
          </w:divBdr>
        </w:div>
        <w:div w:id="2024700183">
          <w:marLeft w:val="0"/>
          <w:marRight w:val="0"/>
          <w:marTop w:val="0"/>
          <w:marBottom w:val="0"/>
          <w:divBdr>
            <w:top w:val="none" w:sz="0" w:space="0" w:color="auto"/>
            <w:left w:val="none" w:sz="0" w:space="0" w:color="auto"/>
            <w:bottom w:val="none" w:sz="0" w:space="0" w:color="auto"/>
            <w:right w:val="none" w:sz="0" w:space="0" w:color="auto"/>
          </w:divBdr>
        </w:div>
        <w:div w:id="2024700184">
          <w:marLeft w:val="0"/>
          <w:marRight w:val="0"/>
          <w:marTop w:val="0"/>
          <w:marBottom w:val="0"/>
          <w:divBdr>
            <w:top w:val="none" w:sz="0" w:space="0" w:color="auto"/>
            <w:left w:val="none" w:sz="0" w:space="0" w:color="auto"/>
            <w:bottom w:val="none" w:sz="0" w:space="0" w:color="auto"/>
            <w:right w:val="none" w:sz="0" w:space="0" w:color="auto"/>
          </w:divBdr>
        </w:div>
        <w:div w:id="2024700185">
          <w:marLeft w:val="0"/>
          <w:marRight w:val="0"/>
          <w:marTop w:val="0"/>
          <w:marBottom w:val="0"/>
          <w:divBdr>
            <w:top w:val="none" w:sz="0" w:space="0" w:color="auto"/>
            <w:left w:val="none" w:sz="0" w:space="0" w:color="auto"/>
            <w:bottom w:val="none" w:sz="0" w:space="0" w:color="auto"/>
            <w:right w:val="none" w:sz="0" w:space="0" w:color="auto"/>
          </w:divBdr>
        </w:div>
        <w:div w:id="2024700186">
          <w:marLeft w:val="0"/>
          <w:marRight w:val="0"/>
          <w:marTop w:val="0"/>
          <w:marBottom w:val="0"/>
          <w:divBdr>
            <w:top w:val="none" w:sz="0" w:space="0" w:color="auto"/>
            <w:left w:val="none" w:sz="0" w:space="0" w:color="auto"/>
            <w:bottom w:val="none" w:sz="0" w:space="0" w:color="auto"/>
            <w:right w:val="none" w:sz="0" w:space="0" w:color="auto"/>
          </w:divBdr>
        </w:div>
        <w:div w:id="2024700187">
          <w:marLeft w:val="0"/>
          <w:marRight w:val="0"/>
          <w:marTop w:val="0"/>
          <w:marBottom w:val="0"/>
          <w:divBdr>
            <w:top w:val="none" w:sz="0" w:space="0" w:color="auto"/>
            <w:left w:val="none" w:sz="0" w:space="0" w:color="auto"/>
            <w:bottom w:val="none" w:sz="0" w:space="0" w:color="auto"/>
            <w:right w:val="none" w:sz="0" w:space="0" w:color="auto"/>
          </w:divBdr>
        </w:div>
        <w:div w:id="2024700188">
          <w:marLeft w:val="0"/>
          <w:marRight w:val="0"/>
          <w:marTop w:val="0"/>
          <w:marBottom w:val="0"/>
          <w:divBdr>
            <w:top w:val="none" w:sz="0" w:space="0" w:color="auto"/>
            <w:left w:val="none" w:sz="0" w:space="0" w:color="auto"/>
            <w:bottom w:val="none" w:sz="0" w:space="0" w:color="auto"/>
            <w:right w:val="none" w:sz="0" w:space="0" w:color="auto"/>
          </w:divBdr>
        </w:div>
        <w:div w:id="2024700189">
          <w:marLeft w:val="0"/>
          <w:marRight w:val="0"/>
          <w:marTop w:val="0"/>
          <w:marBottom w:val="0"/>
          <w:divBdr>
            <w:top w:val="none" w:sz="0" w:space="0" w:color="auto"/>
            <w:left w:val="none" w:sz="0" w:space="0" w:color="auto"/>
            <w:bottom w:val="none" w:sz="0" w:space="0" w:color="auto"/>
            <w:right w:val="none" w:sz="0" w:space="0" w:color="auto"/>
          </w:divBdr>
        </w:div>
        <w:div w:id="2024700190">
          <w:marLeft w:val="0"/>
          <w:marRight w:val="0"/>
          <w:marTop w:val="0"/>
          <w:marBottom w:val="0"/>
          <w:divBdr>
            <w:top w:val="none" w:sz="0" w:space="0" w:color="auto"/>
            <w:left w:val="none" w:sz="0" w:space="0" w:color="auto"/>
            <w:bottom w:val="none" w:sz="0" w:space="0" w:color="auto"/>
            <w:right w:val="none" w:sz="0" w:space="0" w:color="auto"/>
          </w:divBdr>
        </w:div>
        <w:div w:id="2024700191">
          <w:marLeft w:val="0"/>
          <w:marRight w:val="0"/>
          <w:marTop w:val="0"/>
          <w:marBottom w:val="0"/>
          <w:divBdr>
            <w:top w:val="none" w:sz="0" w:space="0" w:color="auto"/>
            <w:left w:val="none" w:sz="0" w:space="0" w:color="auto"/>
            <w:bottom w:val="none" w:sz="0" w:space="0" w:color="auto"/>
            <w:right w:val="none" w:sz="0" w:space="0" w:color="auto"/>
          </w:divBdr>
        </w:div>
        <w:div w:id="2024700192">
          <w:marLeft w:val="0"/>
          <w:marRight w:val="0"/>
          <w:marTop w:val="0"/>
          <w:marBottom w:val="0"/>
          <w:divBdr>
            <w:top w:val="none" w:sz="0" w:space="0" w:color="auto"/>
            <w:left w:val="none" w:sz="0" w:space="0" w:color="auto"/>
            <w:bottom w:val="none" w:sz="0" w:space="0" w:color="auto"/>
            <w:right w:val="none" w:sz="0" w:space="0" w:color="auto"/>
          </w:divBdr>
        </w:div>
        <w:div w:id="2024700193">
          <w:marLeft w:val="0"/>
          <w:marRight w:val="0"/>
          <w:marTop w:val="0"/>
          <w:marBottom w:val="0"/>
          <w:divBdr>
            <w:top w:val="none" w:sz="0" w:space="0" w:color="auto"/>
            <w:left w:val="none" w:sz="0" w:space="0" w:color="auto"/>
            <w:bottom w:val="none" w:sz="0" w:space="0" w:color="auto"/>
            <w:right w:val="none" w:sz="0" w:space="0" w:color="auto"/>
          </w:divBdr>
        </w:div>
        <w:div w:id="2024700195">
          <w:marLeft w:val="0"/>
          <w:marRight w:val="0"/>
          <w:marTop w:val="0"/>
          <w:marBottom w:val="0"/>
          <w:divBdr>
            <w:top w:val="none" w:sz="0" w:space="0" w:color="auto"/>
            <w:left w:val="none" w:sz="0" w:space="0" w:color="auto"/>
            <w:bottom w:val="none" w:sz="0" w:space="0" w:color="auto"/>
            <w:right w:val="none" w:sz="0" w:space="0" w:color="auto"/>
          </w:divBdr>
        </w:div>
        <w:div w:id="2024700196">
          <w:marLeft w:val="0"/>
          <w:marRight w:val="0"/>
          <w:marTop w:val="0"/>
          <w:marBottom w:val="0"/>
          <w:divBdr>
            <w:top w:val="none" w:sz="0" w:space="0" w:color="auto"/>
            <w:left w:val="none" w:sz="0" w:space="0" w:color="auto"/>
            <w:bottom w:val="none" w:sz="0" w:space="0" w:color="auto"/>
            <w:right w:val="none" w:sz="0" w:space="0" w:color="auto"/>
          </w:divBdr>
        </w:div>
        <w:div w:id="2024700197">
          <w:marLeft w:val="0"/>
          <w:marRight w:val="0"/>
          <w:marTop w:val="0"/>
          <w:marBottom w:val="0"/>
          <w:divBdr>
            <w:top w:val="none" w:sz="0" w:space="0" w:color="auto"/>
            <w:left w:val="none" w:sz="0" w:space="0" w:color="auto"/>
            <w:bottom w:val="none" w:sz="0" w:space="0" w:color="auto"/>
            <w:right w:val="none" w:sz="0" w:space="0" w:color="auto"/>
          </w:divBdr>
        </w:div>
        <w:div w:id="2024700198">
          <w:marLeft w:val="0"/>
          <w:marRight w:val="0"/>
          <w:marTop w:val="0"/>
          <w:marBottom w:val="0"/>
          <w:divBdr>
            <w:top w:val="none" w:sz="0" w:space="0" w:color="auto"/>
            <w:left w:val="none" w:sz="0" w:space="0" w:color="auto"/>
            <w:bottom w:val="none" w:sz="0" w:space="0" w:color="auto"/>
            <w:right w:val="none" w:sz="0" w:space="0" w:color="auto"/>
          </w:divBdr>
        </w:div>
        <w:div w:id="2024700199">
          <w:marLeft w:val="0"/>
          <w:marRight w:val="0"/>
          <w:marTop w:val="0"/>
          <w:marBottom w:val="0"/>
          <w:divBdr>
            <w:top w:val="none" w:sz="0" w:space="0" w:color="auto"/>
            <w:left w:val="none" w:sz="0" w:space="0" w:color="auto"/>
            <w:bottom w:val="none" w:sz="0" w:space="0" w:color="auto"/>
            <w:right w:val="none" w:sz="0" w:space="0" w:color="auto"/>
          </w:divBdr>
        </w:div>
        <w:div w:id="2024700200">
          <w:marLeft w:val="0"/>
          <w:marRight w:val="0"/>
          <w:marTop w:val="0"/>
          <w:marBottom w:val="0"/>
          <w:divBdr>
            <w:top w:val="none" w:sz="0" w:space="0" w:color="auto"/>
            <w:left w:val="none" w:sz="0" w:space="0" w:color="auto"/>
            <w:bottom w:val="none" w:sz="0" w:space="0" w:color="auto"/>
            <w:right w:val="none" w:sz="0" w:space="0" w:color="auto"/>
          </w:divBdr>
        </w:div>
        <w:div w:id="2024700202">
          <w:marLeft w:val="0"/>
          <w:marRight w:val="0"/>
          <w:marTop w:val="0"/>
          <w:marBottom w:val="0"/>
          <w:divBdr>
            <w:top w:val="none" w:sz="0" w:space="0" w:color="auto"/>
            <w:left w:val="none" w:sz="0" w:space="0" w:color="auto"/>
            <w:bottom w:val="none" w:sz="0" w:space="0" w:color="auto"/>
            <w:right w:val="none" w:sz="0" w:space="0" w:color="auto"/>
          </w:divBdr>
        </w:div>
        <w:div w:id="2024700203">
          <w:marLeft w:val="0"/>
          <w:marRight w:val="0"/>
          <w:marTop w:val="0"/>
          <w:marBottom w:val="0"/>
          <w:divBdr>
            <w:top w:val="none" w:sz="0" w:space="0" w:color="auto"/>
            <w:left w:val="none" w:sz="0" w:space="0" w:color="auto"/>
            <w:bottom w:val="none" w:sz="0" w:space="0" w:color="auto"/>
            <w:right w:val="none" w:sz="0" w:space="0" w:color="auto"/>
          </w:divBdr>
        </w:div>
        <w:div w:id="2024700204">
          <w:marLeft w:val="0"/>
          <w:marRight w:val="0"/>
          <w:marTop w:val="0"/>
          <w:marBottom w:val="0"/>
          <w:divBdr>
            <w:top w:val="none" w:sz="0" w:space="0" w:color="auto"/>
            <w:left w:val="none" w:sz="0" w:space="0" w:color="auto"/>
            <w:bottom w:val="none" w:sz="0" w:space="0" w:color="auto"/>
            <w:right w:val="none" w:sz="0" w:space="0" w:color="auto"/>
          </w:divBdr>
        </w:div>
        <w:div w:id="2024700205">
          <w:marLeft w:val="0"/>
          <w:marRight w:val="0"/>
          <w:marTop w:val="0"/>
          <w:marBottom w:val="0"/>
          <w:divBdr>
            <w:top w:val="none" w:sz="0" w:space="0" w:color="auto"/>
            <w:left w:val="none" w:sz="0" w:space="0" w:color="auto"/>
            <w:bottom w:val="none" w:sz="0" w:space="0" w:color="auto"/>
            <w:right w:val="none" w:sz="0" w:space="0" w:color="auto"/>
          </w:divBdr>
        </w:div>
        <w:div w:id="2024700206">
          <w:marLeft w:val="0"/>
          <w:marRight w:val="0"/>
          <w:marTop w:val="0"/>
          <w:marBottom w:val="0"/>
          <w:divBdr>
            <w:top w:val="none" w:sz="0" w:space="0" w:color="auto"/>
            <w:left w:val="none" w:sz="0" w:space="0" w:color="auto"/>
            <w:bottom w:val="none" w:sz="0" w:space="0" w:color="auto"/>
            <w:right w:val="none" w:sz="0" w:space="0" w:color="auto"/>
          </w:divBdr>
        </w:div>
        <w:div w:id="2024700207">
          <w:marLeft w:val="0"/>
          <w:marRight w:val="0"/>
          <w:marTop w:val="0"/>
          <w:marBottom w:val="0"/>
          <w:divBdr>
            <w:top w:val="none" w:sz="0" w:space="0" w:color="auto"/>
            <w:left w:val="none" w:sz="0" w:space="0" w:color="auto"/>
            <w:bottom w:val="none" w:sz="0" w:space="0" w:color="auto"/>
            <w:right w:val="none" w:sz="0" w:space="0" w:color="auto"/>
          </w:divBdr>
        </w:div>
        <w:div w:id="2024700208">
          <w:marLeft w:val="0"/>
          <w:marRight w:val="0"/>
          <w:marTop w:val="0"/>
          <w:marBottom w:val="0"/>
          <w:divBdr>
            <w:top w:val="none" w:sz="0" w:space="0" w:color="auto"/>
            <w:left w:val="none" w:sz="0" w:space="0" w:color="auto"/>
            <w:bottom w:val="none" w:sz="0" w:space="0" w:color="auto"/>
            <w:right w:val="none" w:sz="0" w:space="0" w:color="auto"/>
          </w:divBdr>
        </w:div>
        <w:div w:id="2024700209">
          <w:marLeft w:val="0"/>
          <w:marRight w:val="0"/>
          <w:marTop w:val="0"/>
          <w:marBottom w:val="0"/>
          <w:divBdr>
            <w:top w:val="none" w:sz="0" w:space="0" w:color="auto"/>
            <w:left w:val="none" w:sz="0" w:space="0" w:color="auto"/>
            <w:bottom w:val="none" w:sz="0" w:space="0" w:color="auto"/>
            <w:right w:val="none" w:sz="0" w:space="0" w:color="auto"/>
          </w:divBdr>
        </w:div>
        <w:div w:id="2024700210">
          <w:marLeft w:val="0"/>
          <w:marRight w:val="0"/>
          <w:marTop w:val="0"/>
          <w:marBottom w:val="0"/>
          <w:divBdr>
            <w:top w:val="none" w:sz="0" w:space="0" w:color="auto"/>
            <w:left w:val="none" w:sz="0" w:space="0" w:color="auto"/>
            <w:bottom w:val="none" w:sz="0" w:space="0" w:color="auto"/>
            <w:right w:val="none" w:sz="0" w:space="0" w:color="auto"/>
          </w:divBdr>
        </w:div>
        <w:div w:id="2024700211">
          <w:marLeft w:val="0"/>
          <w:marRight w:val="0"/>
          <w:marTop w:val="0"/>
          <w:marBottom w:val="0"/>
          <w:divBdr>
            <w:top w:val="none" w:sz="0" w:space="0" w:color="auto"/>
            <w:left w:val="none" w:sz="0" w:space="0" w:color="auto"/>
            <w:bottom w:val="none" w:sz="0" w:space="0" w:color="auto"/>
            <w:right w:val="none" w:sz="0" w:space="0" w:color="auto"/>
          </w:divBdr>
        </w:div>
        <w:div w:id="2024700212">
          <w:marLeft w:val="0"/>
          <w:marRight w:val="0"/>
          <w:marTop w:val="0"/>
          <w:marBottom w:val="0"/>
          <w:divBdr>
            <w:top w:val="none" w:sz="0" w:space="0" w:color="auto"/>
            <w:left w:val="none" w:sz="0" w:space="0" w:color="auto"/>
            <w:bottom w:val="none" w:sz="0" w:space="0" w:color="auto"/>
            <w:right w:val="none" w:sz="0" w:space="0" w:color="auto"/>
          </w:divBdr>
        </w:div>
        <w:div w:id="2024700213">
          <w:marLeft w:val="0"/>
          <w:marRight w:val="0"/>
          <w:marTop w:val="0"/>
          <w:marBottom w:val="0"/>
          <w:divBdr>
            <w:top w:val="none" w:sz="0" w:space="0" w:color="auto"/>
            <w:left w:val="none" w:sz="0" w:space="0" w:color="auto"/>
            <w:bottom w:val="none" w:sz="0" w:space="0" w:color="auto"/>
            <w:right w:val="none" w:sz="0" w:space="0" w:color="auto"/>
          </w:divBdr>
        </w:div>
        <w:div w:id="2024700215">
          <w:marLeft w:val="0"/>
          <w:marRight w:val="0"/>
          <w:marTop w:val="0"/>
          <w:marBottom w:val="0"/>
          <w:divBdr>
            <w:top w:val="none" w:sz="0" w:space="0" w:color="auto"/>
            <w:left w:val="none" w:sz="0" w:space="0" w:color="auto"/>
            <w:bottom w:val="none" w:sz="0" w:space="0" w:color="auto"/>
            <w:right w:val="none" w:sz="0" w:space="0" w:color="auto"/>
          </w:divBdr>
        </w:div>
        <w:div w:id="2024700216">
          <w:marLeft w:val="0"/>
          <w:marRight w:val="0"/>
          <w:marTop w:val="0"/>
          <w:marBottom w:val="0"/>
          <w:divBdr>
            <w:top w:val="none" w:sz="0" w:space="0" w:color="auto"/>
            <w:left w:val="none" w:sz="0" w:space="0" w:color="auto"/>
            <w:bottom w:val="none" w:sz="0" w:space="0" w:color="auto"/>
            <w:right w:val="none" w:sz="0" w:space="0" w:color="auto"/>
          </w:divBdr>
        </w:div>
        <w:div w:id="2024700217">
          <w:marLeft w:val="0"/>
          <w:marRight w:val="0"/>
          <w:marTop w:val="0"/>
          <w:marBottom w:val="0"/>
          <w:divBdr>
            <w:top w:val="none" w:sz="0" w:space="0" w:color="auto"/>
            <w:left w:val="none" w:sz="0" w:space="0" w:color="auto"/>
            <w:bottom w:val="none" w:sz="0" w:space="0" w:color="auto"/>
            <w:right w:val="none" w:sz="0" w:space="0" w:color="auto"/>
          </w:divBdr>
        </w:div>
        <w:div w:id="2024700218">
          <w:marLeft w:val="0"/>
          <w:marRight w:val="0"/>
          <w:marTop w:val="0"/>
          <w:marBottom w:val="0"/>
          <w:divBdr>
            <w:top w:val="none" w:sz="0" w:space="0" w:color="auto"/>
            <w:left w:val="none" w:sz="0" w:space="0" w:color="auto"/>
            <w:bottom w:val="none" w:sz="0" w:space="0" w:color="auto"/>
            <w:right w:val="none" w:sz="0" w:space="0" w:color="auto"/>
          </w:divBdr>
        </w:div>
        <w:div w:id="2024700219">
          <w:marLeft w:val="0"/>
          <w:marRight w:val="0"/>
          <w:marTop w:val="0"/>
          <w:marBottom w:val="0"/>
          <w:divBdr>
            <w:top w:val="none" w:sz="0" w:space="0" w:color="auto"/>
            <w:left w:val="none" w:sz="0" w:space="0" w:color="auto"/>
            <w:bottom w:val="none" w:sz="0" w:space="0" w:color="auto"/>
            <w:right w:val="none" w:sz="0" w:space="0" w:color="auto"/>
          </w:divBdr>
        </w:div>
        <w:div w:id="2024700220">
          <w:marLeft w:val="0"/>
          <w:marRight w:val="0"/>
          <w:marTop w:val="0"/>
          <w:marBottom w:val="0"/>
          <w:divBdr>
            <w:top w:val="none" w:sz="0" w:space="0" w:color="auto"/>
            <w:left w:val="none" w:sz="0" w:space="0" w:color="auto"/>
            <w:bottom w:val="none" w:sz="0" w:space="0" w:color="auto"/>
            <w:right w:val="none" w:sz="0" w:space="0" w:color="auto"/>
          </w:divBdr>
        </w:div>
        <w:div w:id="2024700221">
          <w:marLeft w:val="0"/>
          <w:marRight w:val="0"/>
          <w:marTop w:val="0"/>
          <w:marBottom w:val="0"/>
          <w:divBdr>
            <w:top w:val="none" w:sz="0" w:space="0" w:color="auto"/>
            <w:left w:val="none" w:sz="0" w:space="0" w:color="auto"/>
            <w:bottom w:val="none" w:sz="0" w:space="0" w:color="auto"/>
            <w:right w:val="none" w:sz="0" w:space="0" w:color="auto"/>
          </w:divBdr>
        </w:div>
        <w:div w:id="2024700222">
          <w:marLeft w:val="0"/>
          <w:marRight w:val="0"/>
          <w:marTop w:val="0"/>
          <w:marBottom w:val="0"/>
          <w:divBdr>
            <w:top w:val="none" w:sz="0" w:space="0" w:color="auto"/>
            <w:left w:val="none" w:sz="0" w:space="0" w:color="auto"/>
            <w:bottom w:val="none" w:sz="0" w:space="0" w:color="auto"/>
            <w:right w:val="none" w:sz="0" w:space="0" w:color="auto"/>
          </w:divBdr>
        </w:div>
        <w:div w:id="2024700223">
          <w:marLeft w:val="0"/>
          <w:marRight w:val="0"/>
          <w:marTop w:val="0"/>
          <w:marBottom w:val="0"/>
          <w:divBdr>
            <w:top w:val="none" w:sz="0" w:space="0" w:color="auto"/>
            <w:left w:val="none" w:sz="0" w:space="0" w:color="auto"/>
            <w:bottom w:val="none" w:sz="0" w:space="0" w:color="auto"/>
            <w:right w:val="none" w:sz="0" w:space="0" w:color="auto"/>
          </w:divBdr>
        </w:div>
        <w:div w:id="2024700224">
          <w:marLeft w:val="0"/>
          <w:marRight w:val="0"/>
          <w:marTop w:val="0"/>
          <w:marBottom w:val="0"/>
          <w:divBdr>
            <w:top w:val="none" w:sz="0" w:space="0" w:color="auto"/>
            <w:left w:val="none" w:sz="0" w:space="0" w:color="auto"/>
            <w:bottom w:val="none" w:sz="0" w:space="0" w:color="auto"/>
            <w:right w:val="none" w:sz="0" w:space="0" w:color="auto"/>
          </w:divBdr>
        </w:div>
        <w:div w:id="2024700225">
          <w:marLeft w:val="0"/>
          <w:marRight w:val="0"/>
          <w:marTop w:val="0"/>
          <w:marBottom w:val="0"/>
          <w:divBdr>
            <w:top w:val="none" w:sz="0" w:space="0" w:color="auto"/>
            <w:left w:val="none" w:sz="0" w:space="0" w:color="auto"/>
            <w:bottom w:val="none" w:sz="0" w:space="0" w:color="auto"/>
            <w:right w:val="none" w:sz="0" w:space="0" w:color="auto"/>
          </w:divBdr>
        </w:div>
        <w:div w:id="2024700226">
          <w:marLeft w:val="0"/>
          <w:marRight w:val="0"/>
          <w:marTop w:val="0"/>
          <w:marBottom w:val="0"/>
          <w:divBdr>
            <w:top w:val="none" w:sz="0" w:space="0" w:color="auto"/>
            <w:left w:val="none" w:sz="0" w:space="0" w:color="auto"/>
            <w:bottom w:val="none" w:sz="0" w:space="0" w:color="auto"/>
            <w:right w:val="none" w:sz="0" w:space="0" w:color="auto"/>
          </w:divBdr>
        </w:div>
        <w:div w:id="2024700227">
          <w:marLeft w:val="0"/>
          <w:marRight w:val="0"/>
          <w:marTop w:val="0"/>
          <w:marBottom w:val="0"/>
          <w:divBdr>
            <w:top w:val="none" w:sz="0" w:space="0" w:color="auto"/>
            <w:left w:val="none" w:sz="0" w:space="0" w:color="auto"/>
            <w:bottom w:val="none" w:sz="0" w:space="0" w:color="auto"/>
            <w:right w:val="none" w:sz="0" w:space="0" w:color="auto"/>
          </w:divBdr>
        </w:div>
        <w:div w:id="2024700228">
          <w:marLeft w:val="0"/>
          <w:marRight w:val="0"/>
          <w:marTop w:val="0"/>
          <w:marBottom w:val="0"/>
          <w:divBdr>
            <w:top w:val="none" w:sz="0" w:space="0" w:color="auto"/>
            <w:left w:val="none" w:sz="0" w:space="0" w:color="auto"/>
            <w:bottom w:val="none" w:sz="0" w:space="0" w:color="auto"/>
            <w:right w:val="none" w:sz="0" w:space="0" w:color="auto"/>
          </w:divBdr>
        </w:div>
        <w:div w:id="2024700229">
          <w:marLeft w:val="0"/>
          <w:marRight w:val="0"/>
          <w:marTop w:val="0"/>
          <w:marBottom w:val="0"/>
          <w:divBdr>
            <w:top w:val="none" w:sz="0" w:space="0" w:color="auto"/>
            <w:left w:val="none" w:sz="0" w:space="0" w:color="auto"/>
            <w:bottom w:val="none" w:sz="0" w:space="0" w:color="auto"/>
            <w:right w:val="none" w:sz="0" w:space="0" w:color="auto"/>
          </w:divBdr>
        </w:div>
        <w:div w:id="2024700230">
          <w:marLeft w:val="0"/>
          <w:marRight w:val="0"/>
          <w:marTop w:val="0"/>
          <w:marBottom w:val="0"/>
          <w:divBdr>
            <w:top w:val="none" w:sz="0" w:space="0" w:color="auto"/>
            <w:left w:val="none" w:sz="0" w:space="0" w:color="auto"/>
            <w:bottom w:val="none" w:sz="0" w:space="0" w:color="auto"/>
            <w:right w:val="none" w:sz="0" w:space="0" w:color="auto"/>
          </w:divBdr>
        </w:div>
        <w:div w:id="2024700231">
          <w:marLeft w:val="0"/>
          <w:marRight w:val="0"/>
          <w:marTop w:val="0"/>
          <w:marBottom w:val="0"/>
          <w:divBdr>
            <w:top w:val="none" w:sz="0" w:space="0" w:color="auto"/>
            <w:left w:val="none" w:sz="0" w:space="0" w:color="auto"/>
            <w:bottom w:val="none" w:sz="0" w:space="0" w:color="auto"/>
            <w:right w:val="none" w:sz="0" w:space="0" w:color="auto"/>
          </w:divBdr>
        </w:div>
        <w:div w:id="2024700232">
          <w:marLeft w:val="0"/>
          <w:marRight w:val="0"/>
          <w:marTop w:val="0"/>
          <w:marBottom w:val="0"/>
          <w:divBdr>
            <w:top w:val="none" w:sz="0" w:space="0" w:color="auto"/>
            <w:left w:val="none" w:sz="0" w:space="0" w:color="auto"/>
            <w:bottom w:val="none" w:sz="0" w:space="0" w:color="auto"/>
            <w:right w:val="none" w:sz="0" w:space="0" w:color="auto"/>
          </w:divBdr>
        </w:div>
        <w:div w:id="2024700233">
          <w:marLeft w:val="0"/>
          <w:marRight w:val="0"/>
          <w:marTop w:val="0"/>
          <w:marBottom w:val="0"/>
          <w:divBdr>
            <w:top w:val="none" w:sz="0" w:space="0" w:color="auto"/>
            <w:left w:val="none" w:sz="0" w:space="0" w:color="auto"/>
            <w:bottom w:val="none" w:sz="0" w:space="0" w:color="auto"/>
            <w:right w:val="none" w:sz="0" w:space="0" w:color="auto"/>
          </w:divBdr>
        </w:div>
        <w:div w:id="2024700234">
          <w:marLeft w:val="0"/>
          <w:marRight w:val="0"/>
          <w:marTop w:val="0"/>
          <w:marBottom w:val="0"/>
          <w:divBdr>
            <w:top w:val="none" w:sz="0" w:space="0" w:color="auto"/>
            <w:left w:val="none" w:sz="0" w:space="0" w:color="auto"/>
            <w:bottom w:val="none" w:sz="0" w:space="0" w:color="auto"/>
            <w:right w:val="none" w:sz="0" w:space="0" w:color="auto"/>
          </w:divBdr>
        </w:div>
        <w:div w:id="2024700235">
          <w:marLeft w:val="0"/>
          <w:marRight w:val="0"/>
          <w:marTop w:val="0"/>
          <w:marBottom w:val="0"/>
          <w:divBdr>
            <w:top w:val="none" w:sz="0" w:space="0" w:color="auto"/>
            <w:left w:val="none" w:sz="0" w:space="0" w:color="auto"/>
            <w:bottom w:val="none" w:sz="0" w:space="0" w:color="auto"/>
            <w:right w:val="none" w:sz="0" w:space="0" w:color="auto"/>
          </w:divBdr>
        </w:div>
        <w:div w:id="2024700236">
          <w:marLeft w:val="0"/>
          <w:marRight w:val="0"/>
          <w:marTop w:val="0"/>
          <w:marBottom w:val="0"/>
          <w:divBdr>
            <w:top w:val="none" w:sz="0" w:space="0" w:color="auto"/>
            <w:left w:val="none" w:sz="0" w:space="0" w:color="auto"/>
            <w:bottom w:val="none" w:sz="0" w:space="0" w:color="auto"/>
            <w:right w:val="none" w:sz="0" w:space="0" w:color="auto"/>
          </w:divBdr>
        </w:div>
        <w:div w:id="2024700237">
          <w:marLeft w:val="0"/>
          <w:marRight w:val="0"/>
          <w:marTop w:val="0"/>
          <w:marBottom w:val="0"/>
          <w:divBdr>
            <w:top w:val="none" w:sz="0" w:space="0" w:color="auto"/>
            <w:left w:val="none" w:sz="0" w:space="0" w:color="auto"/>
            <w:bottom w:val="none" w:sz="0" w:space="0" w:color="auto"/>
            <w:right w:val="none" w:sz="0" w:space="0" w:color="auto"/>
          </w:divBdr>
        </w:div>
        <w:div w:id="2024700238">
          <w:marLeft w:val="0"/>
          <w:marRight w:val="0"/>
          <w:marTop w:val="0"/>
          <w:marBottom w:val="0"/>
          <w:divBdr>
            <w:top w:val="none" w:sz="0" w:space="0" w:color="auto"/>
            <w:left w:val="none" w:sz="0" w:space="0" w:color="auto"/>
            <w:bottom w:val="none" w:sz="0" w:space="0" w:color="auto"/>
            <w:right w:val="none" w:sz="0" w:space="0" w:color="auto"/>
          </w:divBdr>
        </w:div>
        <w:div w:id="2024700239">
          <w:marLeft w:val="0"/>
          <w:marRight w:val="0"/>
          <w:marTop w:val="0"/>
          <w:marBottom w:val="0"/>
          <w:divBdr>
            <w:top w:val="none" w:sz="0" w:space="0" w:color="auto"/>
            <w:left w:val="none" w:sz="0" w:space="0" w:color="auto"/>
            <w:bottom w:val="none" w:sz="0" w:space="0" w:color="auto"/>
            <w:right w:val="none" w:sz="0" w:space="0" w:color="auto"/>
          </w:divBdr>
        </w:div>
        <w:div w:id="2024700240">
          <w:marLeft w:val="0"/>
          <w:marRight w:val="0"/>
          <w:marTop w:val="0"/>
          <w:marBottom w:val="0"/>
          <w:divBdr>
            <w:top w:val="none" w:sz="0" w:space="0" w:color="auto"/>
            <w:left w:val="none" w:sz="0" w:space="0" w:color="auto"/>
            <w:bottom w:val="none" w:sz="0" w:space="0" w:color="auto"/>
            <w:right w:val="none" w:sz="0" w:space="0" w:color="auto"/>
          </w:divBdr>
        </w:div>
        <w:div w:id="2024700242">
          <w:marLeft w:val="0"/>
          <w:marRight w:val="0"/>
          <w:marTop w:val="0"/>
          <w:marBottom w:val="0"/>
          <w:divBdr>
            <w:top w:val="none" w:sz="0" w:space="0" w:color="auto"/>
            <w:left w:val="none" w:sz="0" w:space="0" w:color="auto"/>
            <w:bottom w:val="none" w:sz="0" w:space="0" w:color="auto"/>
            <w:right w:val="none" w:sz="0" w:space="0" w:color="auto"/>
          </w:divBdr>
        </w:div>
        <w:div w:id="2024700243">
          <w:marLeft w:val="0"/>
          <w:marRight w:val="0"/>
          <w:marTop w:val="0"/>
          <w:marBottom w:val="0"/>
          <w:divBdr>
            <w:top w:val="none" w:sz="0" w:space="0" w:color="auto"/>
            <w:left w:val="none" w:sz="0" w:space="0" w:color="auto"/>
            <w:bottom w:val="none" w:sz="0" w:space="0" w:color="auto"/>
            <w:right w:val="none" w:sz="0" w:space="0" w:color="auto"/>
          </w:divBdr>
        </w:div>
        <w:div w:id="2024700244">
          <w:marLeft w:val="0"/>
          <w:marRight w:val="0"/>
          <w:marTop w:val="0"/>
          <w:marBottom w:val="0"/>
          <w:divBdr>
            <w:top w:val="none" w:sz="0" w:space="0" w:color="auto"/>
            <w:left w:val="none" w:sz="0" w:space="0" w:color="auto"/>
            <w:bottom w:val="none" w:sz="0" w:space="0" w:color="auto"/>
            <w:right w:val="none" w:sz="0" w:space="0" w:color="auto"/>
          </w:divBdr>
        </w:div>
        <w:div w:id="2024700245">
          <w:marLeft w:val="0"/>
          <w:marRight w:val="0"/>
          <w:marTop w:val="0"/>
          <w:marBottom w:val="0"/>
          <w:divBdr>
            <w:top w:val="none" w:sz="0" w:space="0" w:color="auto"/>
            <w:left w:val="none" w:sz="0" w:space="0" w:color="auto"/>
            <w:bottom w:val="none" w:sz="0" w:space="0" w:color="auto"/>
            <w:right w:val="none" w:sz="0" w:space="0" w:color="auto"/>
          </w:divBdr>
        </w:div>
        <w:div w:id="2024700246">
          <w:marLeft w:val="0"/>
          <w:marRight w:val="0"/>
          <w:marTop w:val="0"/>
          <w:marBottom w:val="0"/>
          <w:divBdr>
            <w:top w:val="none" w:sz="0" w:space="0" w:color="auto"/>
            <w:left w:val="none" w:sz="0" w:space="0" w:color="auto"/>
            <w:bottom w:val="none" w:sz="0" w:space="0" w:color="auto"/>
            <w:right w:val="none" w:sz="0" w:space="0" w:color="auto"/>
          </w:divBdr>
        </w:div>
        <w:div w:id="2024700247">
          <w:marLeft w:val="0"/>
          <w:marRight w:val="0"/>
          <w:marTop w:val="0"/>
          <w:marBottom w:val="0"/>
          <w:divBdr>
            <w:top w:val="none" w:sz="0" w:space="0" w:color="auto"/>
            <w:left w:val="none" w:sz="0" w:space="0" w:color="auto"/>
            <w:bottom w:val="none" w:sz="0" w:space="0" w:color="auto"/>
            <w:right w:val="none" w:sz="0" w:space="0" w:color="auto"/>
          </w:divBdr>
        </w:div>
        <w:div w:id="2024700248">
          <w:marLeft w:val="0"/>
          <w:marRight w:val="0"/>
          <w:marTop w:val="0"/>
          <w:marBottom w:val="0"/>
          <w:divBdr>
            <w:top w:val="none" w:sz="0" w:space="0" w:color="auto"/>
            <w:left w:val="none" w:sz="0" w:space="0" w:color="auto"/>
            <w:bottom w:val="none" w:sz="0" w:space="0" w:color="auto"/>
            <w:right w:val="none" w:sz="0" w:space="0" w:color="auto"/>
          </w:divBdr>
        </w:div>
        <w:div w:id="2024700249">
          <w:marLeft w:val="0"/>
          <w:marRight w:val="0"/>
          <w:marTop w:val="0"/>
          <w:marBottom w:val="0"/>
          <w:divBdr>
            <w:top w:val="none" w:sz="0" w:space="0" w:color="auto"/>
            <w:left w:val="none" w:sz="0" w:space="0" w:color="auto"/>
            <w:bottom w:val="none" w:sz="0" w:space="0" w:color="auto"/>
            <w:right w:val="none" w:sz="0" w:space="0" w:color="auto"/>
          </w:divBdr>
        </w:div>
        <w:div w:id="2024700250">
          <w:marLeft w:val="0"/>
          <w:marRight w:val="0"/>
          <w:marTop w:val="0"/>
          <w:marBottom w:val="0"/>
          <w:divBdr>
            <w:top w:val="none" w:sz="0" w:space="0" w:color="auto"/>
            <w:left w:val="none" w:sz="0" w:space="0" w:color="auto"/>
            <w:bottom w:val="none" w:sz="0" w:space="0" w:color="auto"/>
            <w:right w:val="none" w:sz="0" w:space="0" w:color="auto"/>
          </w:divBdr>
        </w:div>
        <w:div w:id="2024700251">
          <w:marLeft w:val="0"/>
          <w:marRight w:val="0"/>
          <w:marTop w:val="0"/>
          <w:marBottom w:val="0"/>
          <w:divBdr>
            <w:top w:val="none" w:sz="0" w:space="0" w:color="auto"/>
            <w:left w:val="none" w:sz="0" w:space="0" w:color="auto"/>
            <w:bottom w:val="none" w:sz="0" w:space="0" w:color="auto"/>
            <w:right w:val="none" w:sz="0" w:space="0" w:color="auto"/>
          </w:divBdr>
        </w:div>
        <w:div w:id="2024700252">
          <w:marLeft w:val="0"/>
          <w:marRight w:val="0"/>
          <w:marTop w:val="0"/>
          <w:marBottom w:val="0"/>
          <w:divBdr>
            <w:top w:val="none" w:sz="0" w:space="0" w:color="auto"/>
            <w:left w:val="none" w:sz="0" w:space="0" w:color="auto"/>
            <w:bottom w:val="none" w:sz="0" w:space="0" w:color="auto"/>
            <w:right w:val="none" w:sz="0" w:space="0" w:color="auto"/>
          </w:divBdr>
        </w:div>
        <w:div w:id="2024700253">
          <w:marLeft w:val="0"/>
          <w:marRight w:val="0"/>
          <w:marTop w:val="0"/>
          <w:marBottom w:val="0"/>
          <w:divBdr>
            <w:top w:val="none" w:sz="0" w:space="0" w:color="auto"/>
            <w:left w:val="none" w:sz="0" w:space="0" w:color="auto"/>
            <w:bottom w:val="none" w:sz="0" w:space="0" w:color="auto"/>
            <w:right w:val="none" w:sz="0" w:space="0" w:color="auto"/>
          </w:divBdr>
        </w:div>
        <w:div w:id="2024700254">
          <w:marLeft w:val="0"/>
          <w:marRight w:val="0"/>
          <w:marTop w:val="0"/>
          <w:marBottom w:val="0"/>
          <w:divBdr>
            <w:top w:val="none" w:sz="0" w:space="0" w:color="auto"/>
            <w:left w:val="none" w:sz="0" w:space="0" w:color="auto"/>
            <w:bottom w:val="none" w:sz="0" w:space="0" w:color="auto"/>
            <w:right w:val="none" w:sz="0" w:space="0" w:color="auto"/>
          </w:divBdr>
        </w:div>
        <w:div w:id="2024700255">
          <w:marLeft w:val="0"/>
          <w:marRight w:val="0"/>
          <w:marTop w:val="0"/>
          <w:marBottom w:val="0"/>
          <w:divBdr>
            <w:top w:val="none" w:sz="0" w:space="0" w:color="auto"/>
            <w:left w:val="none" w:sz="0" w:space="0" w:color="auto"/>
            <w:bottom w:val="none" w:sz="0" w:space="0" w:color="auto"/>
            <w:right w:val="none" w:sz="0" w:space="0" w:color="auto"/>
          </w:divBdr>
        </w:div>
        <w:div w:id="2024700256">
          <w:marLeft w:val="0"/>
          <w:marRight w:val="0"/>
          <w:marTop w:val="0"/>
          <w:marBottom w:val="0"/>
          <w:divBdr>
            <w:top w:val="none" w:sz="0" w:space="0" w:color="auto"/>
            <w:left w:val="none" w:sz="0" w:space="0" w:color="auto"/>
            <w:bottom w:val="none" w:sz="0" w:space="0" w:color="auto"/>
            <w:right w:val="none" w:sz="0" w:space="0" w:color="auto"/>
          </w:divBdr>
        </w:div>
        <w:div w:id="2024700257">
          <w:marLeft w:val="0"/>
          <w:marRight w:val="0"/>
          <w:marTop w:val="0"/>
          <w:marBottom w:val="0"/>
          <w:divBdr>
            <w:top w:val="none" w:sz="0" w:space="0" w:color="auto"/>
            <w:left w:val="none" w:sz="0" w:space="0" w:color="auto"/>
            <w:bottom w:val="none" w:sz="0" w:space="0" w:color="auto"/>
            <w:right w:val="none" w:sz="0" w:space="0" w:color="auto"/>
          </w:divBdr>
        </w:div>
        <w:div w:id="2024700258">
          <w:marLeft w:val="0"/>
          <w:marRight w:val="0"/>
          <w:marTop w:val="0"/>
          <w:marBottom w:val="0"/>
          <w:divBdr>
            <w:top w:val="none" w:sz="0" w:space="0" w:color="auto"/>
            <w:left w:val="none" w:sz="0" w:space="0" w:color="auto"/>
            <w:bottom w:val="none" w:sz="0" w:space="0" w:color="auto"/>
            <w:right w:val="none" w:sz="0" w:space="0" w:color="auto"/>
          </w:divBdr>
        </w:div>
        <w:div w:id="2024700259">
          <w:marLeft w:val="0"/>
          <w:marRight w:val="0"/>
          <w:marTop w:val="0"/>
          <w:marBottom w:val="0"/>
          <w:divBdr>
            <w:top w:val="none" w:sz="0" w:space="0" w:color="auto"/>
            <w:left w:val="none" w:sz="0" w:space="0" w:color="auto"/>
            <w:bottom w:val="none" w:sz="0" w:space="0" w:color="auto"/>
            <w:right w:val="none" w:sz="0" w:space="0" w:color="auto"/>
          </w:divBdr>
        </w:div>
        <w:div w:id="2024700260">
          <w:marLeft w:val="0"/>
          <w:marRight w:val="0"/>
          <w:marTop w:val="0"/>
          <w:marBottom w:val="0"/>
          <w:divBdr>
            <w:top w:val="none" w:sz="0" w:space="0" w:color="auto"/>
            <w:left w:val="none" w:sz="0" w:space="0" w:color="auto"/>
            <w:bottom w:val="none" w:sz="0" w:space="0" w:color="auto"/>
            <w:right w:val="none" w:sz="0" w:space="0" w:color="auto"/>
          </w:divBdr>
        </w:div>
        <w:div w:id="2024700261">
          <w:marLeft w:val="0"/>
          <w:marRight w:val="0"/>
          <w:marTop w:val="0"/>
          <w:marBottom w:val="0"/>
          <w:divBdr>
            <w:top w:val="none" w:sz="0" w:space="0" w:color="auto"/>
            <w:left w:val="none" w:sz="0" w:space="0" w:color="auto"/>
            <w:bottom w:val="none" w:sz="0" w:space="0" w:color="auto"/>
            <w:right w:val="none" w:sz="0" w:space="0" w:color="auto"/>
          </w:divBdr>
        </w:div>
        <w:div w:id="2024700262">
          <w:marLeft w:val="0"/>
          <w:marRight w:val="0"/>
          <w:marTop w:val="0"/>
          <w:marBottom w:val="0"/>
          <w:divBdr>
            <w:top w:val="none" w:sz="0" w:space="0" w:color="auto"/>
            <w:left w:val="none" w:sz="0" w:space="0" w:color="auto"/>
            <w:bottom w:val="none" w:sz="0" w:space="0" w:color="auto"/>
            <w:right w:val="none" w:sz="0" w:space="0" w:color="auto"/>
          </w:divBdr>
        </w:div>
        <w:div w:id="2024700263">
          <w:marLeft w:val="0"/>
          <w:marRight w:val="0"/>
          <w:marTop w:val="0"/>
          <w:marBottom w:val="0"/>
          <w:divBdr>
            <w:top w:val="none" w:sz="0" w:space="0" w:color="auto"/>
            <w:left w:val="none" w:sz="0" w:space="0" w:color="auto"/>
            <w:bottom w:val="none" w:sz="0" w:space="0" w:color="auto"/>
            <w:right w:val="none" w:sz="0" w:space="0" w:color="auto"/>
          </w:divBdr>
        </w:div>
        <w:div w:id="2024700264">
          <w:marLeft w:val="0"/>
          <w:marRight w:val="0"/>
          <w:marTop w:val="0"/>
          <w:marBottom w:val="0"/>
          <w:divBdr>
            <w:top w:val="none" w:sz="0" w:space="0" w:color="auto"/>
            <w:left w:val="none" w:sz="0" w:space="0" w:color="auto"/>
            <w:bottom w:val="none" w:sz="0" w:space="0" w:color="auto"/>
            <w:right w:val="none" w:sz="0" w:space="0" w:color="auto"/>
          </w:divBdr>
        </w:div>
        <w:div w:id="2024700265">
          <w:marLeft w:val="0"/>
          <w:marRight w:val="0"/>
          <w:marTop w:val="0"/>
          <w:marBottom w:val="0"/>
          <w:divBdr>
            <w:top w:val="none" w:sz="0" w:space="0" w:color="auto"/>
            <w:left w:val="none" w:sz="0" w:space="0" w:color="auto"/>
            <w:bottom w:val="none" w:sz="0" w:space="0" w:color="auto"/>
            <w:right w:val="none" w:sz="0" w:space="0" w:color="auto"/>
          </w:divBdr>
        </w:div>
        <w:div w:id="2024700266">
          <w:marLeft w:val="0"/>
          <w:marRight w:val="0"/>
          <w:marTop w:val="0"/>
          <w:marBottom w:val="0"/>
          <w:divBdr>
            <w:top w:val="none" w:sz="0" w:space="0" w:color="auto"/>
            <w:left w:val="none" w:sz="0" w:space="0" w:color="auto"/>
            <w:bottom w:val="none" w:sz="0" w:space="0" w:color="auto"/>
            <w:right w:val="none" w:sz="0" w:space="0" w:color="auto"/>
          </w:divBdr>
        </w:div>
        <w:div w:id="2024700267">
          <w:marLeft w:val="0"/>
          <w:marRight w:val="0"/>
          <w:marTop w:val="0"/>
          <w:marBottom w:val="0"/>
          <w:divBdr>
            <w:top w:val="none" w:sz="0" w:space="0" w:color="auto"/>
            <w:left w:val="none" w:sz="0" w:space="0" w:color="auto"/>
            <w:bottom w:val="none" w:sz="0" w:space="0" w:color="auto"/>
            <w:right w:val="none" w:sz="0" w:space="0" w:color="auto"/>
          </w:divBdr>
        </w:div>
        <w:div w:id="2024700268">
          <w:marLeft w:val="0"/>
          <w:marRight w:val="0"/>
          <w:marTop w:val="0"/>
          <w:marBottom w:val="0"/>
          <w:divBdr>
            <w:top w:val="none" w:sz="0" w:space="0" w:color="auto"/>
            <w:left w:val="none" w:sz="0" w:space="0" w:color="auto"/>
            <w:bottom w:val="none" w:sz="0" w:space="0" w:color="auto"/>
            <w:right w:val="none" w:sz="0" w:space="0" w:color="auto"/>
          </w:divBdr>
        </w:div>
        <w:div w:id="2024700269">
          <w:marLeft w:val="0"/>
          <w:marRight w:val="0"/>
          <w:marTop w:val="0"/>
          <w:marBottom w:val="0"/>
          <w:divBdr>
            <w:top w:val="none" w:sz="0" w:space="0" w:color="auto"/>
            <w:left w:val="none" w:sz="0" w:space="0" w:color="auto"/>
            <w:bottom w:val="none" w:sz="0" w:space="0" w:color="auto"/>
            <w:right w:val="none" w:sz="0" w:space="0" w:color="auto"/>
          </w:divBdr>
        </w:div>
        <w:div w:id="2024700270">
          <w:marLeft w:val="0"/>
          <w:marRight w:val="0"/>
          <w:marTop w:val="0"/>
          <w:marBottom w:val="0"/>
          <w:divBdr>
            <w:top w:val="none" w:sz="0" w:space="0" w:color="auto"/>
            <w:left w:val="none" w:sz="0" w:space="0" w:color="auto"/>
            <w:bottom w:val="none" w:sz="0" w:space="0" w:color="auto"/>
            <w:right w:val="none" w:sz="0" w:space="0" w:color="auto"/>
          </w:divBdr>
        </w:div>
        <w:div w:id="2024700271">
          <w:marLeft w:val="0"/>
          <w:marRight w:val="0"/>
          <w:marTop w:val="0"/>
          <w:marBottom w:val="0"/>
          <w:divBdr>
            <w:top w:val="none" w:sz="0" w:space="0" w:color="auto"/>
            <w:left w:val="none" w:sz="0" w:space="0" w:color="auto"/>
            <w:bottom w:val="none" w:sz="0" w:space="0" w:color="auto"/>
            <w:right w:val="none" w:sz="0" w:space="0" w:color="auto"/>
          </w:divBdr>
        </w:div>
        <w:div w:id="2024700272">
          <w:marLeft w:val="0"/>
          <w:marRight w:val="0"/>
          <w:marTop w:val="0"/>
          <w:marBottom w:val="0"/>
          <w:divBdr>
            <w:top w:val="none" w:sz="0" w:space="0" w:color="auto"/>
            <w:left w:val="none" w:sz="0" w:space="0" w:color="auto"/>
            <w:bottom w:val="none" w:sz="0" w:space="0" w:color="auto"/>
            <w:right w:val="none" w:sz="0" w:space="0" w:color="auto"/>
          </w:divBdr>
        </w:div>
        <w:div w:id="2024700273">
          <w:marLeft w:val="0"/>
          <w:marRight w:val="0"/>
          <w:marTop w:val="0"/>
          <w:marBottom w:val="0"/>
          <w:divBdr>
            <w:top w:val="none" w:sz="0" w:space="0" w:color="auto"/>
            <w:left w:val="none" w:sz="0" w:space="0" w:color="auto"/>
            <w:bottom w:val="none" w:sz="0" w:space="0" w:color="auto"/>
            <w:right w:val="none" w:sz="0" w:space="0" w:color="auto"/>
          </w:divBdr>
        </w:div>
        <w:div w:id="2024700274">
          <w:marLeft w:val="0"/>
          <w:marRight w:val="0"/>
          <w:marTop w:val="0"/>
          <w:marBottom w:val="0"/>
          <w:divBdr>
            <w:top w:val="none" w:sz="0" w:space="0" w:color="auto"/>
            <w:left w:val="none" w:sz="0" w:space="0" w:color="auto"/>
            <w:bottom w:val="none" w:sz="0" w:space="0" w:color="auto"/>
            <w:right w:val="none" w:sz="0" w:space="0" w:color="auto"/>
          </w:divBdr>
        </w:div>
        <w:div w:id="2024700275">
          <w:marLeft w:val="0"/>
          <w:marRight w:val="0"/>
          <w:marTop w:val="0"/>
          <w:marBottom w:val="0"/>
          <w:divBdr>
            <w:top w:val="none" w:sz="0" w:space="0" w:color="auto"/>
            <w:left w:val="none" w:sz="0" w:space="0" w:color="auto"/>
            <w:bottom w:val="none" w:sz="0" w:space="0" w:color="auto"/>
            <w:right w:val="none" w:sz="0" w:space="0" w:color="auto"/>
          </w:divBdr>
        </w:div>
        <w:div w:id="2024700277">
          <w:marLeft w:val="0"/>
          <w:marRight w:val="0"/>
          <w:marTop w:val="0"/>
          <w:marBottom w:val="0"/>
          <w:divBdr>
            <w:top w:val="none" w:sz="0" w:space="0" w:color="auto"/>
            <w:left w:val="none" w:sz="0" w:space="0" w:color="auto"/>
            <w:bottom w:val="none" w:sz="0" w:space="0" w:color="auto"/>
            <w:right w:val="none" w:sz="0" w:space="0" w:color="auto"/>
          </w:divBdr>
        </w:div>
        <w:div w:id="2024700278">
          <w:marLeft w:val="0"/>
          <w:marRight w:val="0"/>
          <w:marTop w:val="0"/>
          <w:marBottom w:val="0"/>
          <w:divBdr>
            <w:top w:val="none" w:sz="0" w:space="0" w:color="auto"/>
            <w:left w:val="none" w:sz="0" w:space="0" w:color="auto"/>
            <w:bottom w:val="none" w:sz="0" w:space="0" w:color="auto"/>
            <w:right w:val="none" w:sz="0" w:space="0" w:color="auto"/>
          </w:divBdr>
        </w:div>
        <w:div w:id="2024700279">
          <w:marLeft w:val="0"/>
          <w:marRight w:val="0"/>
          <w:marTop w:val="0"/>
          <w:marBottom w:val="0"/>
          <w:divBdr>
            <w:top w:val="none" w:sz="0" w:space="0" w:color="auto"/>
            <w:left w:val="none" w:sz="0" w:space="0" w:color="auto"/>
            <w:bottom w:val="none" w:sz="0" w:space="0" w:color="auto"/>
            <w:right w:val="none" w:sz="0" w:space="0" w:color="auto"/>
          </w:divBdr>
        </w:div>
        <w:div w:id="2024700280">
          <w:marLeft w:val="0"/>
          <w:marRight w:val="0"/>
          <w:marTop w:val="0"/>
          <w:marBottom w:val="0"/>
          <w:divBdr>
            <w:top w:val="none" w:sz="0" w:space="0" w:color="auto"/>
            <w:left w:val="none" w:sz="0" w:space="0" w:color="auto"/>
            <w:bottom w:val="none" w:sz="0" w:space="0" w:color="auto"/>
            <w:right w:val="none" w:sz="0" w:space="0" w:color="auto"/>
          </w:divBdr>
        </w:div>
        <w:div w:id="2024700281">
          <w:marLeft w:val="0"/>
          <w:marRight w:val="0"/>
          <w:marTop w:val="0"/>
          <w:marBottom w:val="0"/>
          <w:divBdr>
            <w:top w:val="none" w:sz="0" w:space="0" w:color="auto"/>
            <w:left w:val="none" w:sz="0" w:space="0" w:color="auto"/>
            <w:bottom w:val="none" w:sz="0" w:space="0" w:color="auto"/>
            <w:right w:val="none" w:sz="0" w:space="0" w:color="auto"/>
          </w:divBdr>
        </w:div>
        <w:div w:id="2024700282">
          <w:marLeft w:val="0"/>
          <w:marRight w:val="0"/>
          <w:marTop w:val="0"/>
          <w:marBottom w:val="0"/>
          <w:divBdr>
            <w:top w:val="none" w:sz="0" w:space="0" w:color="auto"/>
            <w:left w:val="none" w:sz="0" w:space="0" w:color="auto"/>
            <w:bottom w:val="none" w:sz="0" w:space="0" w:color="auto"/>
            <w:right w:val="none" w:sz="0" w:space="0" w:color="auto"/>
          </w:divBdr>
        </w:div>
        <w:div w:id="2024700283">
          <w:marLeft w:val="0"/>
          <w:marRight w:val="0"/>
          <w:marTop w:val="0"/>
          <w:marBottom w:val="0"/>
          <w:divBdr>
            <w:top w:val="none" w:sz="0" w:space="0" w:color="auto"/>
            <w:left w:val="none" w:sz="0" w:space="0" w:color="auto"/>
            <w:bottom w:val="none" w:sz="0" w:space="0" w:color="auto"/>
            <w:right w:val="none" w:sz="0" w:space="0" w:color="auto"/>
          </w:divBdr>
        </w:div>
        <w:div w:id="2024700284">
          <w:marLeft w:val="0"/>
          <w:marRight w:val="0"/>
          <w:marTop w:val="0"/>
          <w:marBottom w:val="0"/>
          <w:divBdr>
            <w:top w:val="none" w:sz="0" w:space="0" w:color="auto"/>
            <w:left w:val="none" w:sz="0" w:space="0" w:color="auto"/>
            <w:bottom w:val="none" w:sz="0" w:space="0" w:color="auto"/>
            <w:right w:val="none" w:sz="0" w:space="0" w:color="auto"/>
          </w:divBdr>
        </w:div>
        <w:div w:id="2024700285">
          <w:marLeft w:val="0"/>
          <w:marRight w:val="0"/>
          <w:marTop w:val="0"/>
          <w:marBottom w:val="0"/>
          <w:divBdr>
            <w:top w:val="none" w:sz="0" w:space="0" w:color="auto"/>
            <w:left w:val="none" w:sz="0" w:space="0" w:color="auto"/>
            <w:bottom w:val="none" w:sz="0" w:space="0" w:color="auto"/>
            <w:right w:val="none" w:sz="0" w:space="0" w:color="auto"/>
          </w:divBdr>
        </w:div>
        <w:div w:id="2024700286">
          <w:marLeft w:val="0"/>
          <w:marRight w:val="0"/>
          <w:marTop w:val="0"/>
          <w:marBottom w:val="0"/>
          <w:divBdr>
            <w:top w:val="none" w:sz="0" w:space="0" w:color="auto"/>
            <w:left w:val="none" w:sz="0" w:space="0" w:color="auto"/>
            <w:bottom w:val="none" w:sz="0" w:space="0" w:color="auto"/>
            <w:right w:val="none" w:sz="0" w:space="0" w:color="auto"/>
          </w:divBdr>
        </w:div>
        <w:div w:id="2024700287">
          <w:marLeft w:val="0"/>
          <w:marRight w:val="0"/>
          <w:marTop w:val="0"/>
          <w:marBottom w:val="0"/>
          <w:divBdr>
            <w:top w:val="none" w:sz="0" w:space="0" w:color="auto"/>
            <w:left w:val="none" w:sz="0" w:space="0" w:color="auto"/>
            <w:bottom w:val="none" w:sz="0" w:space="0" w:color="auto"/>
            <w:right w:val="none" w:sz="0" w:space="0" w:color="auto"/>
          </w:divBdr>
        </w:div>
        <w:div w:id="2024700288">
          <w:marLeft w:val="0"/>
          <w:marRight w:val="0"/>
          <w:marTop w:val="0"/>
          <w:marBottom w:val="0"/>
          <w:divBdr>
            <w:top w:val="none" w:sz="0" w:space="0" w:color="auto"/>
            <w:left w:val="none" w:sz="0" w:space="0" w:color="auto"/>
            <w:bottom w:val="none" w:sz="0" w:space="0" w:color="auto"/>
            <w:right w:val="none" w:sz="0" w:space="0" w:color="auto"/>
          </w:divBdr>
        </w:div>
        <w:div w:id="2024700289">
          <w:marLeft w:val="0"/>
          <w:marRight w:val="0"/>
          <w:marTop w:val="0"/>
          <w:marBottom w:val="0"/>
          <w:divBdr>
            <w:top w:val="none" w:sz="0" w:space="0" w:color="auto"/>
            <w:left w:val="none" w:sz="0" w:space="0" w:color="auto"/>
            <w:bottom w:val="none" w:sz="0" w:space="0" w:color="auto"/>
            <w:right w:val="none" w:sz="0" w:space="0" w:color="auto"/>
          </w:divBdr>
        </w:div>
        <w:div w:id="2024700290">
          <w:marLeft w:val="0"/>
          <w:marRight w:val="0"/>
          <w:marTop w:val="0"/>
          <w:marBottom w:val="0"/>
          <w:divBdr>
            <w:top w:val="none" w:sz="0" w:space="0" w:color="auto"/>
            <w:left w:val="none" w:sz="0" w:space="0" w:color="auto"/>
            <w:bottom w:val="none" w:sz="0" w:space="0" w:color="auto"/>
            <w:right w:val="none" w:sz="0" w:space="0" w:color="auto"/>
          </w:divBdr>
        </w:div>
        <w:div w:id="2024700291">
          <w:marLeft w:val="0"/>
          <w:marRight w:val="0"/>
          <w:marTop w:val="0"/>
          <w:marBottom w:val="0"/>
          <w:divBdr>
            <w:top w:val="none" w:sz="0" w:space="0" w:color="auto"/>
            <w:left w:val="none" w:sz="0" w:space="0" w:color="auto"/>
            <w:bottom w:val="none" w:sz="0" w:space="0" w:color="auto"/>
            <w:right w:val="none" w:sz="0" w:space="0" w:color="auto"/>
          </w:divBdr>
        </w:div>
        <w:div w:id="2024700292">
          <w:marLeft w:val="0"/>
          <w:marRight w:val="0"/>
          <w:marTop w:val="0"/>
          <w:marBottom w:val="0"/>
          <w:divBdr>
            <w:top w:val="none" w:sz="0" w:space="0" w:color="auto"/>
            <w:left w:val="none" w:sz="0" w:space="0" w:color="auto"/>
            <w:bottom w:val="none" w:sz="0" w:space="0" w:color="auto"/>
            <w:right w:val="none" w:sz="0" w:space="0" w:color="auto"/>
          </w:divBdr>
        </w:div>
        <w:div w:id="2024700293">
          <w:marLeft w:val="0"/>
          <w:marRight w:val="0"/>
          <w:marTop w:val="0"/>
          <w:marBottom w:val="0"/>
          <w:divBdr>
            <w:top w:val="none" w:sz="0" w:space="0" w:color="auto"/>
            <w:left w:val="none" w:sz="0" w:space="0" w:color="auto"/>
            <w:bottom w:val="none" w:sz="0" w:space="0" w:color="auto"/>
            <w:right w:val="none" w:sz="0" w:space="0" w:color="auto"/>
          </w:divBdr>
        </w:div>
        <w:div w:id="2024700294">
          <w:marLeft w:val="0"/>
          <w:marRight w:val="0"/>
          <w:marTop w:val="0"/>
          <w:marBottom w:val="0"/>
          <w:divBdr>
            <w:top w:val="none" w:sz="0" w:space="0" w:color="auto"/>
            <w:left w:val="none" w:sz="0" w:space="0" w:color="auto"/>
            <w:bottom w:val="none" w:sz="0" w:space="0" w:color="auto"/>
            <w:right w:val="none" w:sz="0" w:space="0" w:color="auto"/>
          </w:divBdr>
        </w:div>
        <w:div w:id="2024700296">
          <w:marLeft w:val="0"/>
          <w:marRight w:val="0"/>
          <w:marTop w:val="0"/>
          <w:marBottom w:val="0"/>
          <w:divBdr>
            <w:top w:val="none" w:sz="0" w:space="0" w:color="auto"/>
            <w:left w:val="none" w:sz="0" w:space="0" w:color="auto"/>
            <w:bottom w:val="none" w:sz="0" w:space="0" w:color="auto"/>
            <w:right w:val="none" w:sz="0" w:space="0" w:color="auto"/>
          </w:divBdr>
        </w:div>
        <w:div w:id="2024700297">
          <w:marLeft w:val="0"/>
          <w:marRight w:val="0"/>
          <w:marTop w:val="0"/>
          <w:marBottom w:val="0"/>
          <w:divBdr>
            <w:top w:val="none" w:sz="0" w:space="0" w:color="auto"/>
            <w:left w:val="none" w:sz="0" w:space="0" w:color="auto"/>
            <w:bottom w:val="none" w:sz="0" w:space="0" w:color="auto"/>
            <w:right w:val="none" w:sz="0" w:space="0" w:color="auto"/>
          </w:divBdr>
        </w:div>
        <w:div w:id="2024700298">
          <w:marLeft w:val="0"/>
          <w:marRight w:val="0"/>
          <w:marTop w:val="0"/>
          <w:marBottom w:val="0"/>
          <w:divBdr>
            <w:top w:val="none" w:sz="0" w:space="0" w:color="auto"/>
            <w:left w:val="none" w:sz="0" w:space="0" w:color="auto"/>
            <w:bottom w:val="none" w:sz="0" w:space="0" w:color="auto"/>
            <w:right w:val="none" w:sz="0" w:space="0" w:color="auto"/>
          </w:divBdr>
        </w:div>
        <w:div w:id="2024700300">
          <w:marLeft w:val="0"/>
          <w:marRight w:val="0"/>
          <w:marTop w:val="0"/>
          <w:marBottom w:val="0"/>
          <w:divBdr>
            <w:top w:val="none" w:sz="0" w:space="0" w:color="auto"/>
            <w:left w:val="none" w:sz="0" w:space="0" w:color="auto"/>
            <w:bottom w:val="none" w:sz="0" w:space="0" w:color="auto"/>
            <w:right w:val="none" w:sz="0" w:space="0" w:color="auto"/>
          </w:divBdr>
        </w:div>
        <w:div w:id="2024700301">
          <w:marLeft w:val="0"/>
          <w:marRight w:val="0"/>
          <w:marTop w:val="0"/>
          <w:marBottom w:val="0"/>
          <w:divBdr>
            <w:top w:val="none" w:sz="0" w:space="0" w:color="auto"/>
            <w:left w:val="none" w:sz="0" w:space="0" w:color="auto"/>
            <w:bottom w:val="none" w:sz="0" w:space="0" w:color="auto"/>
            <w:right w:val="none" w:sz="0" w:space="0" w:color="auto"/>
          </w:divBdr>
        </w:div>
        <w:div w:id="2024700302">
          <w:marLeft w:val="0"/>
          <w:marRight w:val="0"/>
          <w:marTop w:val="0"/>
          <w:marBottom w:val="0"/>
          <w:divBdr>
            <w:top w:val="none" w:sz="0" w:space="0" w:color="auto"/>
            <w:left w:val="none" w:sz="0" w:space="0" w:color="auto"/>
            <w:bottom w:val="none" w:sz="0" w:space="0" w:color="auto"/>
            <w:right w:val="none" w:sz="0" w:space="0" w:color="auto"/>
          </w:divBdr>
        </w:div>
        <w:div w:id="2024700304">
          <w:marLeft w:val="0"/>
          <w:marRight w:val="0"/>
          <w:marTop w:val="0"/>
          <w:marBottom w:val="0"/>
          <w:divBdr>
            <w:top w:val="none" w:sz="0" w:space="0" w:color="auto"/>
            <w:left w:val="none" w:sz="0" w:space="0" w:color="auto"/>
            <w:bottom w:val="none" w:sz="0" w:space="0" w:color="auto"/>
            <w:right w:val="none" w:sz="0" w:space="0" w:color="auto"/>
          </w:divBdr>
        </w:div>
        <w:div w:id="2024700305">
          <w:marLeft w:val="0"/>
          <w:marRight w:val="0"/>
          <w:marTop w:val="0"/>
          <w:marBottom w:val="0"/>
          <w:divBdr>
            <w:top w:val="none" w:sz="0" w:space="0" w:color="auto"/>
            <w:left w:val="none" w:sz="0" w:space="0" w:color="auto"/>
            <w:bottom w:val="none" w:sz="0" w:space="0" w:color="auto"/>
            <w:right w:val="none" w:sz="0" w:space="0" w:color="auto"/>
          </w:divBdr>
        </w:div>
        <w:div w:id="2024700306">
          <w:marLeft w:val="0"/>
          <w:marRight w:val="0"/>
          <w:marTop w:val="0"/>
          <w:marBottom w:val="0"/>
          <w:divBdr>
            <w:top w:val="none" w:sz="0" w:space="0" w:color="auto"/>
            <w:left w:val="none" w:sz="0" w:space="0" w:color="auto"/>
            <w:bottom w:val="none" w:sz="0" w:space="0" w:color="auto"/>
            <w:right w:val="none" w:sz="0" w:space="0" w:color="auto"/>
          </w:divBdr>
        </w:div>
        <w:div w:id="2024700307">
          <w:marLeft w:val="0"/>
          <w:marRight w:val="0"/>
          <w:marTop w:val="0"/>
          <w:marBottom w:val="0"/>
          <w:divBdr>
            <w:top w:val="none" w:sz="0" w:space="0" w:color="auto"/>
            <w:left w:val="none" w:sz="0" w:space="0" w:color="auto"/>
            <w:bottom w:val="none" w:sz="0" w:space="0" w:color="auto"/>
            <w:right w:val="none" w:sz="0" w:space="0" w:color="auto"/>
          </w:divBdr>
        </w:div>
        <w:div w:id="2024700308">
          <w:marLeft w:val="0"/>
          <w:marRight w:val="0"/>
          <w:marTop w:val="0"/>
          <w:marBottom w:val="0"/>
          <w:divBdr>
            <w:top w:val="none" w:sz="0" w:space="0" w:color="auto"/>
            <w:left w:val="none" w:sz="0" w:space="0" w:color="auto"/>
            <w:bottom w:val="none" w:sz="0" w:space="0" w:color="auto"/>
            <w:right w:val="none" w:sz="0" w:space="0" w:color="auto"/>
          </w:divBdr>
        </w:div>
        <w:div w:id="2024700309">
          <w:marLeft w:val="0"/>
          <w:marRight w:val="0"/>
          <w:marTop w:val="0"/>
          <w:marBottom w:val="0"/>
          <w:divBdr>
            <w:top w:val="none" w:sz="0" w:space="0" w:color="auto"/>
            <w:left w:val="none" w:sz="0" w:space="0" w:color="auto"/>
            <w:bottom w:val="none" w:sz="0" w:space="0" w:color="auto"/>
            <w:right w:val="none" w:sz="0" w:space="0" w:color="auto"/>
          </w:divBdr>
        </w:div>
        <w:div w:id="2024700310">
          <w:marLeft w:val="0"/>
          <w:marRight w:val="0"/>
          <w:marTop w:val="0"/>
          <w:marBottom w:val="0"/>
          <w:divBdr>
            <w:top w:val="none" w:sz="0" w:space="0" w:color="auto"/>
            <w:left w:val="none" w:sz="0" w:space="0" w:color="auto"/>
            <w:bottom w:val="none" w:sz="0" w:space="0" w:color="auto"/>
            <w:right w:val="none" w:sz="0" w:space="0" w:color="auto"/>
          </w:divBdr>
        </w:div>
        <w:div w:id="2024700311">
          <w:marLeft w:val="0"/>
          <w:marRight w:val="0"/>
          <w:marTop w:val="0"/>
          <w:marBottom w:val="0"/>
          <w:divBdr>
            <w:top w:val="none" w:sz="0" w:space="0" w:color="auto"/>
            <w:left w:val="none" w:sz="0" w:space="0" w:color="auto"/>
            <w:bottom w:val="none" w:sz="0" w:space="0" w:color="auto"/>
            <w:right w:val="none" w:sz="0" w:space="0" w:color="auto"/>
          </w:divBdr>
        </w:div>
        <w:div w:id="2024700312">
          <w:marLeft w:val="0"/>
          <w:marRight w:val="0"/>
          <w:marTop w:val="0"/>
          <w:marBottom w:val="0"/>
          <w:divBdr>
            <w:top w:val="none" w:sz="0" w:space="0" w:color="auto"/>
            <w:left w:val="none" w:sz="0" w:space="0" w:color="auto"/>
            <w:bottom w:val="none" w:sz="0" w:space="0" w:color="auto"/>
            <w:right w:val="none" w:sz="0" w:space="0" w:color="auto"/>
          </w:divBdr>
        </w:div>
        <w:div w:id="2024700313">
          <w:marLeft w:val="0"/>
          <w:marRight w:val="0"/>
          <w:marTop w:val="0"/>
          <w:marBottom w:val="0"/>
          <w:divBdr>
            <w:top w:val="none" w:sz="0" w:space="0" w:color="auto"/>
            <w:left w:val="none" w:sz="0" w:space="0" w:color="auto"/>
            <w:bottom w:val="none" w:sz="0" w:space="0" w:color="auto"/>
            <w:right w:val="none" w:sz="0" w:space="0" w:color="auto"/>
          </w:divBdr>
        </w:div>
        <w:div w:id="2024700314">
          <w:marLeft w:val="0"/>
          <w:marRight w:val="0"/>
          <w:marTop w:val="0"/>
          <w:marBottom w:val="0"/>
          <w:divBdr>
            <w:top w:val="none" w:sz="0" w:space="0" w:color="auto"/>
            <w:left w:val="none" w:sz="0" w:space="0" w:color="auto"/>
            <w:bottom w:val="none" w:sz="0" w:space="0" w:color="auto"/>
            <w:right w:val="none" w:sz="0" w:space="0" w:color="auto"/>
          </w:divBdr>
        </w:div>
        <w:div w:id="2024700315">
          <w:marLeft w:val="0"/>
          <w:marRight w:val="0"/>
          <w:marTop w:val="0"/>
          <w:marBottom w:val="0"/>
          <w:divBdr>
            <w:top w:val="none" w:sz="0" w:space="0" w:color="auto"/>
            <w:left w:val="none" w:sz="0" w:space="0" w:color="auto"/>
            <w:bottom w:val="none" w:sz="0" w:space="0" w:color="auto"/>
            <w:right w:val="none" w:sz="0" w:space="0" w:color="auto"/>
          </w:divBdr>
        </w:div>
        <w:div w:id="2024700316">
          <w:marLeft w:val="0"/>
          <w:marRight w:val="0"/>
          <w:marTop w:val="0"/>
          <w:marBottom w:val="0"/>
          <w:divBdr>
            <w:top w:val="none" w:sz="0" w:space="0" w:color="auto"/>
            <w:left w:val="none" w:sz="0" w:space="0" w:color="auto"/>
            <w:bottom w:val="none" w:sz="0" w:space="0" w:color="auto"/>
            <w:right w:val="none" w:sz="0" w:space="0" w:color="auto"/>
          </w:divBdr>
        </w:div>
        <w:div w:id="2024700317">
          <w:marLeft w:val="0"/>
          <w:marRight w:val="0"/>
          <w:marTop w:val="0"/>
          <w:marBottom w:val="0"/>
          <w:divBdr>
            <w:top w:val="none" w:sz="0" w:space="0" w:color="auto"/>
            <w:left w:val="none" w:sz="0" w:space="0" w:color="auto"/>
            <w:bottom w:val="none" w:sz="0" w:space="0" w:color="auto"/>
            <w:right w:val="none" w:sz="0" w:space="0" w:color="auto"/>
          </w:divBdr>
        </w:div>
        <w:div w:id="2024700318">
          <w:marLeft w:val="0"/>
          <w:marRight w:val="0"/>
          <w:marTop w:val="0"/>
          <w:marBottom w:val="0"/>
          <w:divBdr>
            <w:top w:val="none" w:sz="0" w:space="0" w:color="auto"/>
            <w:left w:val="none" w:sz="0" w:space="0" w:color="auto"/>
            <w:bottom w:val="none" w:sz="0" w:space="0" w:color="auto"/>
            <w:right w:val="none" w:sz="0" w:space="0" w:color="auto"/>
          </w:divBdr>
        </w:div>
        <w:div w:id="2024700319">
          <w:marLeft w:val="0"/>
          <w:marRight w:val="0"/>
          <w:marTop w:val="0"/>
          <w:marBottom w:val="0"/>
          <w:divBdr>
            <w:top w:val="none" w:sz="0" w:space="0" w:color="auto"/>
            <w:left w:val="none" w:sz="0" w:space="0" w:color="auto"/>
            <w:bottom w:val="none" w:sz="0" w:space="0" w:color="auto"/>
            <w:right w:val="none" w:sz="0" w:space="0" w:color="auto"/>
          </w:divBdr>
        </w:div>
        <w:div w:id="2024700320">
          <w:marLeft w:val="0"/>
          <w:marRight w:val="0"/>
          <w:marTop w:val="0"/>
          <w:marBottom w:val="0"/>
          <w:divBdr>
            <w:top w:val="none" w:sz="0" w:space="0" w:color="auto"/>
            <w:left w:val="none" w:sz="0" w:space="0" w:color="auto"/>
            <w:bottom w:val="none" w:sz="0" w:space="0" w:color="auto"/>
            <w:right w:val="none" w:sz="0" w:space="0" w:color="auto"/>
          </w:divBdr>
        </w:div>
        <w:div w:id="2024700321">
          <w:marLeft w:val="0"/>
          <w:marRight w:val="0"/>
          <w:marTop w:val="0"/>
          <w:marBottom w:val="0"/>
          <w:divBdr>
            <w:top w:val="none" w:sz="0" w:space="0" w:color="auto"/>
            <w:left w:val="none" w:sz="0" w:space="0" w:color="auto"/>
            <w:bottom w:val="none" w:sz="0" w:space="0" w:color="auto"/>
            <w:right w:val="none" w:sz="0" w:space="0" w:color="auto"/>
          </w:divBdr>
        </w:div>
        <w:div w:id="2024700322">
          <w:marLeft w:val="0"/>
          <w:marRight w:val="0"/>
          <w:marTop w:val="0"/>
          <w:marBottom w:val="0"/>
          <w:divBdr>
            <w:top w:val="none" w:sz="0" w:space="0" w:color="auto"/>
            <w:left w:val="none" w:sz="0" w:space="0" w:color="auto"/>
            <w:bottom w:val="none" w:sz="0" w:space="0" w:color="auto"/>
            <w:right w:val="none" w:sz="0" w:space="0" w:color="auto"/>
          </w:divBdr>
        </w:div>
        <w:div w:id="2024700323">
          <w:marLeft w:val="0"/>
          <w:marRight w:val="0"/>
          <w:marTop w:val="0"/>
          <w:marBottom w:val="0"/>
          <w:divBdr>
            <w:top w:val="none" w:sz="0" w:space="0" w:color="auto"/>
            <w:left w:val="none" w:sz="0" w:space="0" w:color="auto"/>
            <w:bottom w:val="none" w:sz="0" w:space="0" w:color="auto"/>
            <w:right w:val="none" w:sz="0" w:space="0" w:color="auto"/>
          </w:divBdr>
        </w:div>
        <w:div w:id="2024700325">
          <w:marLeft w:val="0"/>
          <w:marRight w:val="0"/>
          <w:marTop w:val="0"/>
          <w:marBottom w:val="0"/>
          <w:divBdr>
            <w:top w:val="none" w:sz="0" w:space="0" w:color="auto"/>
            <w:left w:val="none" w:sz="0" w:space="0" w:color="auto"/>
            <w:bottom w:val="none" w:sz="0" w:space="0" w:color="auto"/>
            <w:right w:val="none" w:sz="0" w:space="0" w:color="auto"/>
          </w:divBdr>
        </w:div>
        <w:div w:id="2024700326">
          <w:marLeft w:val="0"/>
          <w:marRight w:val="0"/>
          <w:marTop w:val="0"/>
          <w:marBottom w:val="0"/>
          <w:divBdr>
            <w:top w:val="none" w:sz="0" w:space="0" w:color="auto"/>
            <w:left w:val="none" w:sz="0" w:space="0" w:color="auto"/>
            <w:bottom w:val="none" w:sz="0" w:space="0" w:color="auto"/>
            <w:right w:val="none" w:sz="0" w:space="0" w:color="auto"/>
          </w:divBdr>
        </w:div>
        <w:div w:id="2024700327">
          <w:marLeft w:val="0"/>
          <w:marRight w:val="0"/>
          <w:marTop w:val="0"/>
          <w:marBottom w:val="0"/>
          <w:divBdr>
            <w:top w:val="none" w:sz="0" w:space="0" w:color="auto"/>
            <w:left w:val="none" w:sz="0" w:space="0" w:color="auto"/>
            <w:bottom w:val="none" w:sz="0" w:space="0" w:color="auto"/>
            <w:right w:val="none" w:sz="0" w:space="0" w:color="auto"/>
          </w:divBdr>
        </w:div>
        <w:div w:id="2024700328">
          <w:marLeft w:val="0"/>
          <w:marRight w:val="0"/>
          <w:marTop w:val="0"/>
          <w:marBottom w:val="0"/>
          <w:divBdr>
            <w:top w:val="none" w:sz="0" w:space="0" w:color="auto"/>
            <w:left w:val="none" w:sz="0" w:space="0" w:color="auto"/>
            <w:bottom w:val="none" w:sz="0" w:space="0" w:color="auto"/>
            <w:right w:val="none" w:sz="0" w:space="0" w:color="auto"/>
          </w:divBdr>
        </w:div>
        <w:div w:id="2024700329">
          <w:marLeft w:val="0"/>
          <w:marRight w:val="0"/>
          <w:marTop w:val="0"/>
          <w:marBottom w:val="0"/>
          <w:divBdr>
            <w:top w:val="none" w:sz="0" w:space="0" w:color="auto"/>
            <w:left w:val="none" w:sz="0" w:space="0" w:color="auto"/>
            <w:bottom w:val="none" w:sz="0" w:space="0" w:color="auto"/>
            <w:right w:val="none" w:sz="0" w:space="0" w:color="auto"/>
          </w:divBdr>
        </w:div>
        <w:div w:id="2024700330">
          <w:marLeft w:val="0"/>
          <w:marRight w:val="0"/>
          <w:marTop w:val="0"/>
          <w:marBottom w:val="0"/>
          <w:divBdr>
            <w:top w:val="none" w:sz="0" w:space="0" w:color="auto"/>
            <w:left w:val="none" w:sz="0" w:space="0" w:color="auto"/>
            <w:bottom w:val="none" w:sz="0" w:space="0" w:color="auto"/>
            <w:right w:val="none" w:sz="0" w:space="0" w:color="auto"/>
          </w:divBdr>
        </w:div>
        <w:div w:id="2024700331">
          <w:marLeft w:val="0"/>
          <w:marRight w:val="0"/>
          <w:marTop w:val="0"/>
          <w:marBottom w:val="0"/>
          <w:divBdr>
            <w:top w:val="none" w:sz="0" w:space="0" w:color="auto"/>
            <w:left w:val="none" w:sz="0" w:space="0" w:color="auto"/>
            <w:bottom w:val="none" w:sz="0" w:space="0" w:color="auto"/>
            <w:right w:val="none" w:sz="0" w:space="0" w:color="auto"/>
          </w:divBdr>
        </w:div>
        <w:div w:id="2024700332">
          <w:marLeft w:val="0"/>
          <w:marRight w:val="0"/>
          <w:marTop w:val="0"/>
          <w:marBottom w:val="0"/>
          <w:divBdr>
            <w:top w:val="none" w:sz="0" w:space="0" w:color="auto"/>
            <w:left w:val="none" w:sz="0" w:space="0" w:color="auto"/>
            <w:bottom w:val="none" w:sz="0" w:space="0" w:color="auto"/>
            <w:right w:val="none" w:sz="0" w:space="0" w:color="auto"/>
          </w:divBdr>
        </w:div>
        <w:div w:id="2024700333">
          <w:marLeft w:val="0"/>
          <w:marRight w:val="0"/>
          <w:marTop w:val="0"/>
          <w:marBottom w:val="0"/>
          <w:divBdr>
            <w:top w:val="none" w:sz="0" w:space="0" w:color="auto"/>
            <w:left w:val="none" w:sz="0" w:space="0" w:color="auto"/>
            <w:bottom w:val="none" w:sz="0" w:space="0" w:color="auto"/>
            <w:right w:val="none" w:sz="0" w:space="0" w:color="auto"/>
          </w:divBdr>
        </w:div>
        <w:div w:id="2024700334">
          <w:marLeft w:val="0"/>
          <w:marRight w:val="0"/>
          <w:marTop w:val="0"/>
          <w:marBottom w:val="0"/>
          <w:divBdr>
            <w:top w:val="none" w:sz="0" w:space="0" w:color="auto"/>
            <w:left w:val="none" w:sz="0" w:space="0" w:color="auto"/>
            <w:bottom w:val="none" w:sz="0" w:space="0" w:color="auto"/>
            <w:right w:val="none" w:sz="0" w:space="0" w:color="auto"/>
          </w:divBdr>
        </w:div>
        <w:div w:id="2024700336">
          <w:marLeft w:val="0"/>
          <w:marRight w:val="0"/>
          <w:marTop w:val="0"/>
          <w:marBottom w:val="0"/>
          <w:divBdr>
            <w:top w:val="none" w:sz="0" w:space="0" w:color="auto"/>
            <w:left w:val="none" w:sz="0" w:space="0" w:color="auto"/>
            <w:bottom w:val="none" w:sz="0" w:space="0" w:color="auto"/>
            <w:right w:val="none" w:sz="0" w:space="0" w:color="auto"/>
          </w:divBdr>
        </w:div>
        <w:div w:id="2024700337">
          <w:marLeft w:val="0"/>
          <w:marRight w:val="0"/>
          <w:marTop w:val="0"/>
          <w:marBottom w:val="0"/>
          <w:divBdr>
            <w:top w:val="none" w:sz="0" w:space="0" w:color="auto"/>
            <w:left w:val="none" w:sz="0" w:space="0" w:color="auto"/>
            <w:bottom w:val="none" w:sz="0" w:space="0" w:color="auto"/>
            <w:right w:val="none" w:sz="0" w:space="0" w:color="auto"/>
          </w:divBdr>
        </w:div>
        <w:div w:id="2024700338">
          <w:marLeft w:val="0"/>
          <w:marRight w:val="0"/>
          <w:marTop w:val="0"/>
          <w:marBottom w:val="0"/>
          <w:divBdr>
            <w:top w:val="none" w:sz="0" w:space="0" w:color="auto"/>
            <w:left w:val="none" w:sz="0" w:space="0" w:color="auto"/>
            <w:bottom w:val="none" w:sz="0" w:space="0" w:color="auto"/>
            <w:right w:val="none" w:sz="0" w:space="0" w:color="auto"/>
          </w:divBdr>
        </w:div>
        <w:div w:id="2024700339">
          <w:marLeft w:val="0"/>
          <w:marRight w:val="0"/>
          <w:marTop w:val="0"/>
          <w:marBottom w:val="0"/>
          <w:divBdr>
            <w:top w:val="none" w:sz="0" w:space="0" w:color="auto"/>
            <w:left w:val="none" w:sz="0" w:space="0" w:color="auto"/>
            <w:bottom w:val="none" w:sz="0" w:space="0" w:color="auto"/>
            <w:right w:val="none" w:sz="0" w:space="0" w:color="auto"/>
          </w:divBdr>
        </w:div>
        <w:div w:id="2024700340">
          <w:marLeft w:val="0"/>
          <w:marRight w:val="0"/>
          <w:marTop w:val="0"/>
          <w:marBottom w:val="0"/>
          <w:divBdr>
            <w:top w:val="none" w:sz="0" w:space="0" w:color="auto"/>
            <w:left w:val="none" w:sz="0" w:space="0" w:color="auto"/>
            <w:bottom w:val="none" w:sz="0" w:space="0" w:color="auto"/>
            <w:right w:val="none" w:sz="0" w:space="0" w:color="auto"/>
          </w:divBdr>
        </w:div>
        <w:div w:id="2024700341">
          <w:marLeft w:val="0"/>
          <w:marRight w:val="0"/>
          <w:marTop w:val="0"/>
          <w:marBottom w:val="0"/>
          <w:divBdr>
            <w:top w:val="none" w:sz="0" w:space="0" w:color="auto"/>
            <w:left w:val="none" w:sz="0" w:space="0" w:color="auto"/>
            <w:bottom w:val="none" w:sz="0" w:space="0" w:color="auto"/>
            <w:right w:val="none" w:sz="0" w:space="0" w:color="auto"/>
          </w:divBdr>
        </w:div>
        <w:div w:id="2024700342">
          <w:marLeft w:val="0"/>
          <w:marRight w:val="0"/>
          <w:marTop w:val="0"/>
          <w:marBottom w:val="0"/>
          <w:divBdr>
            <w:top w:val="none" w:sz="0" w:space="0" w:color="auto"/>
            <w:left w:val="none" w:sz="0" w:space="0" w:color="auto"/>
            <w:bottom w:val="none" w:sz="0" w:space="0" w:color="auto"/>
            <w:right w:val="none" w:sz="0" w:space="0" w:color="auto"/>
          </w:divBdr>
        </w:div>
        <w:div w:id="2024700343">
          <w:marLeft w:val="0"/>
          <w:marRight w:val="0"/>
          <w:marTop w:val="0"/>
          <w:marBottom w:val="0"/>
          <w:divBdr>
            <w:top w:val="none" w:sz="0" w:space="0" w:color="auto"/>
            <w:left w:val="none" w:sz="0" w:space="0" w:color="auto"/>
            <w:bottom w:val="none" w:sz="0" w:space="0" w:color="auto"/>
            <w:right w:val="none" w:sz="0" w:space="0" w:color="auto"/>
          </w:divBdr>
        </w:div>
        <w:div w:id="2024700344">
          <w:marLeft w:val="0"/>
          <w:marRight w:val="0"/>
          <w:marTop w:val="0"/>
          <w:marBottom w:val="0"/>
          <w:divBdr>
            <w:top w:val="none" w:sz="0" w:space="0" w:color="auto"/>
            <w:left w:val="none" w:sz="0" w:space="0" w:color="auto"/>
            <w:bottom w:val="none" w:sz="0" w:space="0" w:color="auto"/>
            <w:right w:val="none" w:sz="0" w:space="0" w:color="auto"/>
          </w:divBdr>
        </w:div>
        <w:div w:id="2024700345">
          <w:marLeft w:val="0"/>
          <w:marRight w:val="0"/>
          <w:marTop w:val="0"/>
          <w:marBottom w:val="0"/>
          <w:divBdr>
            <w:top w:val="none" w:sz="0" w:space="0" w:color="auto"/>
            <w:left w:val="none" w:sz="0" w:space="0" w:color="auto"/>
            <w:bottom w:val="none" w:sz="0" w:space="0" w:color="auto"/>
            <w:right w:val="none" w:sz="0" w:space="0" w:color="auto"/>
          </w:divBdr>
        </w:div>
        <w:div w:id="2024700347">
          <w:marLeft w:val="0"/>
          <w:marRight w:val="0"/>
          <w:marTop w:val="0"/>
          <w:marBottom w:val="0"/>
          <w:divBdr>
            <w:top w:val="none" w:sz="0" w:space="0" w:color="auto"/>
            <w:left w:val="none" w:sz="0" w:space="0" w:color="auto"/>
            <w:bottom w:val="none" w:sz="0" w:space="0" w:color="auto"/>
            <w:right w:val="none" w:sz="0" w:space="0" w:color="auto"/>
          </w:divBdr>
        </w:div>
        <w:div w:id="2024700348">
          <w:marLeft w:val="0"/>
          <w:marRight w:val="0"/>
          <w:marTop w:val="0"/>
          <w:marBottom w:val="0"/>
          <w:divBdr>
            <w:top w:val="none" w:sz="0" w:space="0" w:color="auto"/>
            <w:left w:val="none" w:sz="0" w:space="0" w:color="auto"/>
            <w:bottom w:val="none" w:sz="0" w:space="0" w:color="auto"/>
            <w:right w:val="none" w:sz="0" w:space="0" w:color="auto"/>
          </w:divBdr>
        </w:div>
        <w:div w:id="2024700349">
          <w:marLeft w:val="0"/>
          <w:marRight w:val="0"/>
          <w:marTop w:val="0"/>
          <w:marBottom w:val="0"/>
          <w:divBdr>
            <w:top w:val="none" w:sz="0" w:space="0" w:color="auto"/>
            <w:left w:val="none" w:sz="0" w:space="0" w:color="auto"/>
            <w:bottom w:val="none" w:sz="0" w:space="0" w:color="auto"/>
            <w:right w:val="none" w:sz="0" w:space="0" w:color="auto"/>
          </w:divBdr>
        </w:div>
        <w:div w:id="2024700350">
          <w:marLeft w:val="0"/>
          <w:marRight w:val="0"/>
          <w:marTop w:val="0"/>
          <w:marBottom w:val="0"/>
          <w:divBdr>
            <w:top w:val="none" w:sz="0" w:space="0" w:color="auto"/>
            <w:left w:val="none" w:sz="0" w:space="0" w:color="auto"/>
            <w:bottom w:val="none" w:sz="0" w:space="0" w:color="auto"/>
            <w:right w:val="none" w:sz="0" w:space="0" w:color="auto"/>
          </w:divBdr>
        </w:div>
        <w:div w:id="2024700351">
          <w:marLeft w:val="0"/>
          <w:marRight w:val="0"/>
          <w:marTop w:val="0"/>
          <w:marBottom w:val="0"/>
          <w:divBdr>
            <w:top w:val="none" w:sz="0" w:space="0" w:color="auto"/>
            <w:left w:val="none" w:sz="0" w:space="0" w:color="auto"/>
            <w:bottom w:val="none" w:sz="0" w:space="0" w:color="auto"/>
            <w:right w:val="none" w:sz="0" w:space="0" w:color="auto"/>
          </w:divBdr>
        </w:div>
        <w:div w:id="2024700352">
          <w:marLeft w:val="0"/>
          <w:marRight w:val="0"/>
          <w:marTop w:val="0"/>
          <w:marBottom w:val="0"/>
          <w:divBdr>
            <w:top w:val="none" w:sz="0" w:space="0" w:color="auto"/>
            <w:left w:val="none" w:sz="0" w:space="0" w:color="auto"/>
            <w:bottom w:val="none" w:sz="0" w:space="0" w:color="auto"/>
            <w:right w:val="none" w:sz="0" w:space="0" w:color="auto"/>
          </w:divBdr>
        </w:div>
        <w:div w:id="2024700353">
          <w:marLeft w:val="0"/>
          <w:marRight w:val="0"/>
          <w:marTop w:val="0"/>
          <w:marBottom w:val="0"/>
          <w:divBdr>
            <w:top w:val="none" w:sz="0" w:space="0" w:color="auto"/>
            <w:left w:val="none" w:sz="0" w:space="0" w:color="auto"/>
            <w:bottom w:val="none" w:sz="0" w:space="0" w:color="auto"/>
            <w:right w:val="none" w:sz="0" w:space="0" w:color="auto"/>
          </w:divBdr>
        </w:div>
        <w:div w:id="2024700354">
          <w:marLeft w:val="0"/>
          <w:marRight w:val="0"/>
          <w:marTop w:val="0"/>
          <w:marBottom w:val="0"/>
          <w:divBdr>
            <w:top w:val="none" w:sz="0" w:space="0" w:color="auto"/>
            <w:left w:val="none" w:sz="0" w:space="0" w:color="auto"/>
            <w:bottom w:val="none" w:sz="0" w:space="0" w:color="auto"/>
            <w:right w:val="none" w:sz="0" w:space="0" w:color="auto"/>
          </w:divBdr>
        </w:div>
        <w:div w:id="2024700355">
          <w:marLeft w:val="0"/>
          <w:marRight w:val="0"/>
          <w:marTop w:val="0"/>
          <w:marBottom w:val="0"/>
          <w:divBdr>
            <w:top w:val="none" w:sz="0" w:space="0" w:color="auto"/>
            <w:left w:val="none" w:sz="0" w:space="0" w:color="auto"/>
            <w:bottom w:val="none" w:sz="0" w:space="0" w:color="auto"/>
            <w:right w:val="none" w:sz="0" w:space="0" w:color="auto"/>
          </w:divBdr>
        </w:div>
        <w:div w:id="2024700356">
          <w:marLeft w:val="0"/>
          <w:marRight w:val="0"/>
          <w:marTop w:val="0"/>
          <w:marBottom w:val="0"/>
          <w:divBdr>
            <w:top w:val="none" w:sz="0" w:space="0" w:color="auto"/>
            <w:left w:val="none" w:sz="0" w:space="0" w:color="auto"/>
            <w:bottom w:val="none" w:sz="0" w:space="0" w:color="auto"/>
            <w:right w:val="none" w:sz="0" w:space="0" w:color="auto"/>
          </w:divBdr>
        </w:div>
        <w:div w:id="2024700357">
          <w:marLeft w:val="0"/>
          <w:marRight w:val="0"/>
          <w:marTop w:val="0"/>
          <w:marBottom w:val="0"/>
          <w:divBdr>
            <w:top w:val="none" w:sz="0" w:space="0" w:color="auto"/>
            <w:left w:val="none" w:sz="0" w:space="0" w:color="auto"/>
            <w:bottom w:val="none" w:sz="0" w:space="0" w:color="auto"/>
            <w:right w:val="none" w:sz="0" w:space="0" w:color="auto"/>
          </w:divBdr>
        </w:div>
        <w:div w:id="2024700358">
          <w:marLeft w:val="0"/>
          <w:marRight w:val="0"/>
          <w:marTop w:val="0"/>
          <w:marBottom w:val="0"/>
          <w:divBdr>
            <w:top w:val="none" w:sz="0" w:space="0" w:color="auto"/>
            <w:left w:val="none" w:sz="0" w:space="0" w:color="auto"/>
            <w:bottom w:val="none" w:sz="0" w:space="0" w:color="auto"/>
            <w:right w:val="none" w:sz="0" w:space="0" w:color="auto"/>
          </w:divBdr>
        </w:div>
        <w:div w:id="2024700359">
          <w:marLeft w:val="0"/>
          <w:marRight w:val="0"/>
          <w:marTop w:val="0"/>
          <w:marBottom w:val="0"/>
          <w:divBdr>
            <w:top w:val="none" w:sz="0" w:space="0" w:color="auto"/>
            <w:left w:val="none" w:sz="0" w:space="0" w:color="auto"/>
            <w:bottom w:val="none" w:sz="0" w:space="0" w:color="auto"/>
            <w:right w:val="none" w:sz="0" w:space="0" w:color="auto"/>
          </w:divBdr>
        </w:div>
        <w:div w:id="2024700360">
          <w:marLeft w:val="0"/>
          <w:marRight w:val="0"/>
          <w:marTop w:val="0"/>
          <w:marBottom w:val="0"/>
          <w:divBdr>
            <w:top w:val="none" w:sz="0" w:space="0" w:color="auto"/>
            <w:left w:val="none" w:sz="0" w:space="0" w:color="auto"/>
            <w:bottom w:val="none" w:sz="0" w:space="0" w:color="auto"/>
            <w:right w:val="none" w:sz="0" w:space="0" w:color="auto"/>
          </w:divBdr>
        </w:div>
        <w:div w:id="2024700361">
          <w:marLeft w:val="0"/>
          <w:marRight w:val="0"/>
          <w:marTop w:val="0"/>
          <w:marBottom w:val="0"/>
          <w:divBdr>
            <w:top w:val="none" w:sz="0" w:space="0" w:color="auto"/>
            <w:left w:val="none" w:sz="0" w:space="0" w:color="auto"/>
            <w:bottom w:val="none" w:sz="0" w:space="0" w:color="auto"/>
            <w:right w:val="none" w:sz="0" w:space="0" w:color="auto"/>
          </w:divBdr>
        </w:div>
        <w:div w:id="2024700362">
          <w:marLeft w:val="0"/>
          <w:marRight w:val="0"/>
          <w:marTop w:val="0"/>
          <w:marBottom w:val="0"/>
          <w:divBdr>
            <w:top w:val="none" w:sz="0" w:space="0" w:color="auto"/>
            <w:left w:val="none" w:sz="0" w:space="0" w:color="auto"/>
            <w:bottom w:val="none" w:sz="0" w:space="0" w:color="auto"/>
            <w:right w:val="none" w:sz="0" w:space="0" w:color="auto"/>
          </w:divBdr>
        </w:div>
        <w:div w:id="2024700363">
          <w:marLeft w:val="0"/>
          <w:marRight w:val="0"/>
          <w:marTop w:val="0"/>
          <w:marBottom w:val="0"/>
          <w:divBdr>
            <w:top w:val="none" w:sz="0" w:space="0" w:color="auto"/>
            <w:left w:val="none" w:sz="0" w:space="0" w:color="auto"/>
            <w:bottom w:val="none" w:sz="0" w:space="0" w:color="auto"/>
            <w:right w:val="none" w:sz="0" w:space="0" w:color="auto"/>
          </w:divBdr>
        </w:div>
        <w:div w:id="2024700364">
          <w:marLeft w:val="0"/>
          <w:marRight w:val="0"/>
          <w:marTop w:val="0"/>
          <w:marBottom w:val="0"/>
          <w:divBdr>
            <w:top w:val="none" w:sz="0" w:space="0" w:color="auto"/>
            <w:left w:val="none" w:sz="0" w:space="0" w:color="auto"/>
            <w:bottom w:val="none" w:sz="0" w:space="0" w:color="auto"/>
            <w:right w:val="none" w:sz="0" w:space="0" w:color="auto"/>
          </w:divBdr>
        </w:div>
        <w:div w:id="2024700365">
          <w:marLeft w:val="0"/>
          <w:marRight w:val="0"/>
          <w:marTop w:val="0"/>
          <w:marBottom w:val="0"/>
          <w:divBdr>
            <w:top w:val="none" w:sz="0" w:space="0" w:color="auto"/>
            <w:left w:val="none" w:sz="0" w:space="0" w:color="auto"/>
            <w:bottom w:val="none" w:sz="0" w:space="0" w:color="auto"/>
            <w:right w:val="none" w:sz="0" w:space="0" w:color="auto"/>
          </w:divBdr>
        </w:div>
        <w:div w:id="2024700366">
          <w:marLeft w:val="0"/>
          <w:marRight w:val="0"/>
          <w:marTop w:val="0"/>
          <w:marBottom w:val="0"/>
          <w:divBdr>
            <w:top w:val="none" w:sz="0" w:space="0" w:color="auto"/>
            <w:left w:val="none" w:sz="0" w:space="0" w:color="auto"/>
            <w:bottom w:val="none" w:sz="0" w:space="0" w:color="auto"/>
            <w:right w:val="none" w:sz="0" w:space="0" w:color="auto"/>
          </w:divBdr>
        </w:div>
        <w:div w:id="2024700367">
          <w:marLeft w:val="0"/>
          <w:marRight w:val="0"/>
          <w:marTop w:val="0"/>
          <w:marBottom w:val="0"/>
          <w:divBdr>
            <w:top w:val="none" w:sz="0" w:space="0" w:color="auto"/>
            <w:left w:val="none" w:sz="0" w:space="0" w:color="auto"/>
            <w:bottom w:val="none" w:sz="0" w:space="0" w:color="auto"/>
            <w:right w:val="none" w:sz="0" w:space="0" w:color="auto"/>
          </w:divBdr>
        </w:div>
        <w:div w:id="2024700368">
          <w:marLeft w:val="0"/>
          <w:marRight w:val="0"/>
          <w:marTop w:val="0"/>
          <w:marBottom w:val="0"/>
          <w:divBdr>
            <w:top w:val="none" w:sz="0" w:space="0" w:color="auto"/>
            <w:left w:val="none" w:sz="0" w:space="0" w:color="auto"/>
            <w:bottom w:val="none" w:sz="0" w:space="0" w:color="auto"/>
            <w:right w:val="none" w:sz="0" w:space="0" w:color="auto"/>
          </w:divBdr>
        </w:div>
        <w:div w:id="2024700369">
          <w:marLeft w:val="0"/>
          <w:marRight w:val="0"/>
          <w:marTop w:val="0"/>
          <w:marBottom w:val="0"/>
          <w:divBdr>
            <w:top w:val="none" w:sz="0" w:space="0" w:color="auto"/>
            <w:left w:val="none" w:sz="0" w:space="0" w:color="auto"/>
            <w:bottom w:val="none" w:sz="0" w:space="0" w:color="auto"/>
            <w:right w:val="none" w:sz="0" w:space="0" w:color="auto"/>
          </w:divBdr>
        </w:div>
        <w:div w:id="2024700370">
          <w:marLeft w:val="0"/>
          <w:marRight w:val="0"/>
          <w:marTop w:val="0"/>
          <w:marBottom w:val="0"/>
          <w:divBdr>
            <w:top w:val="none" w:sz="0" w:space="0" w:color="auto"/>
            <w:left w:val="none" w:sz="0" w:space="0" w:color="auto"/>
            <w:bottom w:val="none" w:sz="0" w:space="0" w:color="auto"/>
            <w:right w:val="none" w:sz="0" w:space="0" w:color="auto"/>
          </w:divBdr>
        </w:div>
        <w:div w:id="2024700371">
          <w:marLeft w:val="0"/>
          <w:marRight w:val="0"/>
          <w:marTop w:val="0"/>
          <w:marBottom w:val="0"/>
          <w:divBdr>
            <w:top w:val="none" w:sz="0" w:space="0" w:color="auto"/>
            <w:left w:val="none" w:sz="0" w:space="0" w:color="auto"/>
            <w:bottom w:val="none" w:sz="0" w:space="0" w:color="auto"/>
            <w:right w:val="none" w:sz="0" w:space="0" w:color="auto"/>
          </w:divBdr>
        </w:div>
        <w:div w:id="2024700372">
          <w:marLeft w:val="0"/>
          <w:marRight w:val="0"/>
          <w:marTop w:val="0"/>
          <w:marBottom w:val="0"/>
          <w:divBdr>
            <w:top w:val="none" w:sz="0" w:space="0" w:color="auto"/>
            <w:left w:val="none" w:sz="0" w:space="0" w:color="auto"/>
            <w:bottom w:val="none" w:sz="0" w:space="0" w:color="auto"/>
            <w:right w:val="none" w:sz="0" w:space="0" w:color="auto"/>
          </w:divBdr>
        </w:div>
        <w:div w:id="2024700373">
          <w:marLeft w:val="0"/>
          <w:marRight w:val="0"/>
          <w:marTop w:val="0"/>
          <w:marBottom w:val="0"/>
          <w:divBdr>
            <w:top w:val="none" w:sz="0" w:space="0" w:color="auto"/>
            <w:left w:val="none" w:sz="0" w:space="0" w:color="auto"/>
            <w:bottom w:val="none" w:sz="0" w:space="0" w:color="auto"/>
            <w:right w:val="none" w:sz="0" w:space="0" w:color="auto"/>
          </w:divBdr>
        </w:div>
        <w:div w:id="2024700374">
          <w:marLeft w:val="0"/>
          <w:marRight w:val="0"/>
          <w:marTop w:val="0"/>
          <w:marBottom w:val="0"/>
          <w:divBdr>
            <w:top w:val="none" w:sz="0" w:space="0" w:color="auto"/>
            <w:left w:val="none" w:sz="0" w:space="0" w:color="auto"/>
            <w:bottom w:val="none" w:sz="0" w:space="0" w:color="auto"/>
            <w:right w:val="none" w:sz="0" w:space="0" w:color="auto"/>
          </w:divBdr>
        </w:div>
        <w:div w:id="2024700375">
          <w:marLeft w:val="0"/>
          <w:marRight w:val="0"/>
          <w:marTop w:val="0"/>
          <w:marBottom w:val="0"/>
          <w:divBdr>
            <w:top w:val="none" w:sz="0" w:space="0" w:color="auto"/>
            <w:left w:val="none" w:sz="0" w:space="0" w:color="auto"/>
            <w:bottom w:val="none" w:sz="0" w:space="0" w:color="auto"/>
            <w:right w:val="none" w:sz="0" w:space="0" w:color="auto"/>
          </w:divBdr>
        </w:div>
        <w:div w:id="2024700376">
          <w:marLeft w:val="0"/>
          <w:marRight w:val="0"/>
          <w:marTop w:val="0"/>
          <w:marBottom w:val="0"/>
          <w:divBdr>
            <w:top w:val="none" w:sz="0" w:space="0" w:color="auto"/>
            <w:left w:val="none" w:sz="0" w:space="0" w:color="auto"/>
            <w:bottom w:val="none" w:sz="0" w:space="0" w:color="auto"/>
            <w:right w:val="none" w:sz="0" w:space="0" w:color="auto"/>
          </w:divBdr>
        </w:div>
        <w:div w:id="2024700377">
          <w:marLeft w:val="0"/>
          <w:marRight w:val="0"/>
          <w:marTop w:val="0"/>
          <w:marBottom w:val="0"/>
          <w:divBdr>
            <w:top w:val="none" w:sz="0" w:space="0" w:color="auto"/>
            <w:left w:val="none" w:sz="0" w:space="0" w:color="auto"/>
            <w:bottom w:val="none" w:sz="0" w:space="0" w:color="auto"/>
            <w:right w:val="none" w:sz="0" w:space="0" w:color="auto"/>
          </w:divBdr>
        </w:div>
        <w:div w:id="2024700378">
          <w:marLeft w:val="0"/>
          <w:marRight w:val="0"/>
          <w:marTop w:val="0"/>
          <w:marBottom w:val="0"/>
          <w:divBdr>
            <w:top w:val="none" w:sz="0" w:space="0" w:color="auto"/>
            <w:left w:val="none" w:sz="0" w:space="0" w:color="auto"/>
            <w:bottom w:val="none" w:sz="0" w:space="0" w:color="auto"/>
            <w:right w:val="none" w:sz="0" w:space="0" w:color="auto"/>
          </w:divBdr>
        </w:div>
        <w:div w:id="2024700379">
          <w:marLeft w:val="0"/>
          <w:marRight w:val="0"/>
          <w:marTop w:val="0"/>
          <w:marBottom w:val="0"/>
          <w:divBdr>
            <w:top w:val="none" w:sz="0" w:space="0" w:color="auto"/>
            <w:left w:val="none" w:sz="0" w:space="0" w:color="auto"/>
            <w:bottom w:val="none" w:sz="0" w:space="0" w:color="auto"/>
            <w:right w:val="none" w:sz="0" w:space="0" w:color="auto"/>
          </w:divBdr>
        </w:div>
        <w:div w:id="2024700380">
          <w:marLeft w:val="0"/>
          <w:marRight w:val="0"/>
          <w:marTop w:val="0"/>
          <w:marBottom w:val="0"/>
          <w:divBdr>
            <w:top w:val="none" w:sz="0" w:space="0" w:color="auto"/>
            <w:left w:val="none" w:sz="0" w:space="0" w:color="auto"/>
            <w:bottom w:val="none" w:sz="0" w:space="0" w:color="auto"/>
            <w:right w:val="none" w:sz="0" w:space="0" w:color="auto"/>
          </w:divBdr>
        </w:div>
        <w:div w:id="2024700381">
          <w:marLeft w:val="0"/>
          <w:marRight w:val="0"/>
          <w:marTop w:val="0"/>
          <w:marBottom w:val="0"/>
          <w:divBdr>
            <w:top w:val="none" w:sz="0" w:space="0" w:color="auto"/>
            <w:left w:val="none" w:sz="0" w:space="0" w:color="auto"/>
            <w:bottom w:val="none" w:sz="0" w:space="0" w:color="auto"/>
            <w:right w:val="none" w:sz="0" w:space="0" w:color="auto"/>
          </w:divBdr>
        </w:div>
        <w:div w:id="2024700382">
          <w:marLeft w:val="0"/>
          <w:marRight w:val="0"/>
          <w:marTop w:val="0"/>
          <w:marBottom w:val="0"/>
          <w:divBdr>
            <w:top w:val="none" w:sz="0" w:space="0" w:color="auto"/>
            <w:left w:val="none" w:sz="0" w:space="0" w:color="auto"/>
            <w:bottom w:val="none" w:sz="0" w:space="0" w:color="auto"/>
            <w:right w:val="none" w:sz="0" w:space="0" w:color="auto"/>
          </w:divBdr>
        </w:div>
        <w:div w:id="2024700383">
          <w:marLeft w:val="0"/>
          <w:marRight w:val="0"/>
          <w:marTop w:val="0"/>
          <w:marBottom w:val="0"/>
          <w:divBdr>
            <w:top w:val="none" w:sz="0" w:space="0" w:color="auto"/>
            <w:left w:val="none" w:sz="0" w:space="0" w:color="auto"/>
            <w:bottom w:val="none" w:sz="0" w:space="0" w:color="auto"/>
            <w:right w:val="none" w:sz="0" w:space="0" w:color="auto"/>
          </w:divBdr>
        </w:div>
        <w:div w:id="2024700384">
          <w:marLeft w:val="0"/>
          <w:marRight w:val="0"/>
          <w:marTop w:val="0"/>
          <w:marBottom w:val="0"/>
          <w:divBdr>
            <w:top w:val="none" w:sz="0" w:space="0" w:color="auto"/>
            <w:left w:val="none" w:sz="0" w:space="0" w:color="auto"/>
            <w:bottom w:val="none" w:sz="0" w:space="0" w:color="auto"/>
            <w:right w:val="none" w:sz="0" w:space="0" w:color="auto"/>
          </w:divBdr>
        </w:div>
        <w:div w:id="2024700385">
          <w:marLeft w:val="0"/>
          <w:marRight w:val="0"/>
          <w:marTop w:val="0"/>
          <w:marBottom w:val="0"/>
          <w:divBdr>
            <w:top w:val="none" w:sz="0" w:space="0" w:color="auto"/>
            <w:left w:val="none" w:sz="0" w:space="0" w:color="auto"/>
            <w:bottom w:val="none" w:sz="0" w:space="0" w:color="auto"/>
            <w:right w:val="none" w:sz="0" w:space="0" w:color="auto"/>
          </w:divBdr>
        </w:div>
        <w:div w:id="2024700386">
          <w:marLeft w:val="0"/>
          <w:marRight w:val="0"/>
          <w:marTop w:val="0"/>
          <w:marBottom w:val="0"/>
          <w:divBdr>
            <w:top w:val="none" w:sz="0" w:space="0" w:color="auto"/>
            <w:left w:val="none" w:sz="0" w:space="0" w:color="auto"/>
            <w:bottom w:val="none" w:sz="0" w:space="0" w:color="auto"/>
            <w:right w:val="none" w:sz="0" w:space="0" w:color="auto"/>
          </w:divBdr>
        </w:div>
        <w:div w:id="2024700387">
          <w:marLeft w:val="0"/>
          <w:marRight w:val="0"/>
          <w:marTop w:val="0"/>
          <w:marBottom w:val="0"/>
          <w:divBdr>
            <w:top w:val="none" w:sz="0" w:space="0" w:color="auto"/>
            <w:left w:val="none" w:sz="0" w:space="0" w:color="auto"/>
            <w:bottom w:val="none" w:sz="0" w:space="0" w:color="auto"/>
            <w:right w:val="none" w:sz="0" w:space="0" w:color="auto"/>
          </w:divBdr>
        </w:div>
        <w:div w:id="2024700388">
          <w:marLeft w:val="0"/>
          <w:marRight w:val="0"/>
          <w:marTop w:val="0"/>
          <w:marBottom w:val="0"/>
          <w:divBdr>
            <w:top w:val="none" w:sz="0" w:space="0" w:color="auto"/>
            <w:left w:val="none" w:sz="0" w:space="0" w:color="auto"/>
            <w:bottom w:val="none" w:sz="0" w:space="0" w:color="auto"/>
            <w:right w:val="none" w:sz="0" w:space="0" w:color="auto"/>
          </w:divBdr>
        </w:div>
        <w:div w:id="2024700389">
          <w:marLeft w:val="0"/>
          <w:marRight w:val="0"/>
          <w:marTop w:val="0"/>
          <w:marBottom w:val="0"/>
          <w:divBdr>
            <w:top w:val="none" w:sz="0" w:space="0" w:color="auto"/>
            <w:left w:val="none" w:sz="0" w:space="0" w:color="auto"/>
            <w:bottom w:val="none" w:sz="0" w:space="0" w:color="auto"/>
            <w:right w:val="none" w:sz="0" w:space="0" w:color="auto"/>
          </w:divBdr>
        </w:div>
        <w:div w:id="2024700390">
          <w:marLeft w:val="0"/>
          <w:marRight w:val="0"/>
          <w:marTop w:val="0"/>
          <w:marBottom w:val="0"/>
          <w:divBdr>
            <w:top w:val="none" w:sz="0" w:space="0" w:color="auto"/>
            <w:left w:val="none" w:sz="0" w:space="0" w:color="auto"/>
            <w:bottom w:val="none" w:sz="0" w:space="0" w:color="auto"/>
            <w:right w:val="none" w:sz="0" w:space="0" w:color="auto"/>
          </w:divBdr>
        </w:div>
        <w:div w:id="2024700391">
          <w:marLeft w:val="0"/>
          <w:marRight w:val="0"/>
          <w:marTop w:val="0"/>
          <w:marBottom w:val="0"/>
          <w:divBdr>
            <w:top w:val="none" w:sz="0" w:space="0" w:color="auto"/>
            <w:left w:val="none" w:sz="0" w:space="0" w:color="auto"/>
            <w:bottom w:val="none" w:sz="0" w:space="0" w:color="auto"/>
            <w:right w:val="none" w:sz="0" w:space="0" w:color="auto"/>
          </w:divBdr>
        </w:div>
        <w:div w:id="2024700392">
          <w:marLeft w:val="0"/>
          <w:marRight w:val="0"/>
          <w:marTop w:val="0"/>
          <w:marBottom w:val="0"/>
          <w:divBdr>
            <w:top w:val="none" w:sz="0" w:space="0" w:color="auto"/>
            <w:left w:val="none" w:sz="0" w:space="0" w:color="auto"/>
            <w:bottom w:val="none" w:sz="0" w:space="0" w:color="auto"/>
            <w:right w:val="none" w:sz="0" w:space="0" w:color="auto"/>
          </w:divBdr>
        </w:div>
        <w:div w:id="2024700393">
          <w:marLeft w:val="0"/>
          <w:marRight w:val="0"/>
          <w:marTop w:val="0"/>
          <w:marBottom w:val="0"/>
          <w:divBdr>
            <w:top w:val="none" w:sz="0" w:space="0" w:color="auto"/>
            <w:left w:val="none" w:sz="0" w:space="0" w:color="auto"/>
            <w:bottom w:val="none" w:sz="0" w:space="0" w:color="auto"/>
            <w:right w:val="none" w:sz="0" w:space="0" w:color="auto"/>
          </w:divBdr>
        </w:div>
        <w:div w:id="2024700394">
          <w:marLeft w:val="0"/>
          <w:marRight w:val="0"/>
          <w:marTop w:val="0"/>
          <w:marBottom w:val="0"/>
          <w:divBdr>
            <w:top w:val="none" w:sz="0" w:space="0" w:color="auto"/>
            <w:left w:val="none" w:sz="0" w:space="0" w:color="auto"/>
            <w:bottom w:val="none" w:sz="0" w:space="0" w:color="auto"/>
            <w:right w:val="none" w:sz="0" w:space="0" w:color="auto"/>
          </w:divBdr>
        </w:div>
        <w:div w:id="2024700395">
          <w:marLeft w:val="0"/>
          <w:marRight w:val="0"/>
          <w:marTop w:val="0"/>
          <w:marBottom w:val="0"/>
          <w:divBdr>
            <w:top w:val="none" w:sz="0" w:space="0" w:color="auto"/>
            <w:left w:val="none" w:sz="0" w:space="0" w:color="auto"/>
            <w:bottom w:val="none" w:sz="0" w:space="0" w:color="auto"/>
            <w:right w:val="none" w:sz="0" w:space="0" w:color="auto"/>
          </w:divBdr>
        </w:div>
        <w:div w:id="2024700396">
          <w:marLeft w:val="0"/>
          <w:marRight w:val="0"/>
          <w:marTop w:val="0"/>
          <w:marBottom w:val="0"/>
          <w:divBdr>
            <w:top w:val="none" w:sz="0" w:space="0" w:color="auto"/>
            <w:left w:val="none" w:sz="0" w:space="0" w:color="auto"/>
            <w:bottom w:val="none" w:sz="0" w:space="0" w:color="auto"/>
            <w:right w:val="none" w:sz="0" w:space="0" w:color="auto"/>
          </w:divBdr>
        </w:div>
        <w:div w:id="2024700397">
          <w:marLeft w:val="0"/>
          <w:marRight w:val="0"/>
          <w:marTop w:val="0"/>
          <w:marBottom w:val="0"/>
          <w:divBdr>
            <w:top w:val="none" w:sz="0" w:space="0" w:color="auto"/>
            <w:left w:val="none" w:sz="0" w:space="0" w:color="auto"/>
            <w:bottom w:val="none" w:sz="0" w:space="0" w:color="auto"/>
            <w:right w:val="none" w:sz="0" w:space="0" w:color="auto"/>
          </w:divBdr>
        </w:div>
        <w:div w:id="2024700398">
          <w:marLeft w:val="0"/>
          <w:marRight w:val="0"/>
          <w:marTop w:val="0"/>
          <w:marBottom w:val="0"/>
          <w:divBdr>
            <w:top w:val="none" w:sz="0" w:space="0" w:color="auto"/>
            <w:left w:val="none" w:sz="0" w:space="0" w:color="auto"/>
            <w:bottom w:val="none" w:sz="0" w:space="0" w:color="auto"/>
            <w:right w:val="none" w:sz="0" w:space="0" w:color="auto"/>
          </w:divBdr>
        </w:div>
        <w:div w:id="2024700399">
          <w:marLeft w:val="0"/>
          <w:marRight w:val="0"/>
          <w:marTop w:val="0"/>
          <w:marBottom w:val="0"/>
          <w:divBdr>
            <w:top w:val="none" w:sz="0" w:space="0" w:color="auto"/>
            <w:left w:val="none" w:sz="0" w:space="0" w:color="auto"/>
            <w:bottom w:val="none" w:sz="0" w:space="0" w:color="auto"/>
            <w:right w:val="none" w:sz="0" w:space="0" w:color="auto"/>
          </w:divBdr>
        </w:div>
        <w:div w:id="2024700400">
          <w:marLeft w:val="0"/>
          <w:marRight w:val="0"/>
          <w:marTop w:val="0"/>
          <w:marBottom w:val="0"/>
          <w:divBdr>
            <w:top w:val="none" w:sz="0" w:space="0" w:color="auto"/>
            <w:left w:val="none" w:sz="0" w:space="0" w:color="auto"/>
            <w:bottom w:val="none" w:sz="0" w:space="0" w:color="auto"/>
            <w:right w:val="none" w:sz="0" w:space="0" w:color="auto"/>
          </w:divBdr>
        </w:div>
        <w:div w:id="2024700401">
          <w:marLeft w:val="0"/>
          <w:marRight w:val="0"/>
          <w:marTop w:val="0"/>
          <w:marBottom w:val="0"/>
          <w:divBdr>
            <w:top w:val="none" w:sz="0" w:space="0" w:color="auto"/>
            <w:left w:val="none" w:sz="0" w:space="0" w:color="auto"/>
            <w:bottom w:val="none" w:sz="0" w:space="0" w:color="auto"/>
            <w:right w:val="none" w:sz="0" w:space="0" w:color="auto"/>
          </w:divBdr>
        </w:div>
        <w:div w:id="2024700402">
          <w:marLeft w:val="0"/>
          <w:marRight w:val="0"/>
          <w:marTop w:val="0"/>
          <w:marBottom w:val="0"/>
          <w:divBdr>
            <w:top w:val="none" w:sz="0" w:space="0" w:color="auto"/>
            <w:left w:val="none" w:sz="0" w:space="0" w:color="auto"/>
            <w:bottom w:val="none" w:sz="0" w:space="0" w:color="auto"/>
            <w:right w:val="none" w:sz="0" w:space="0" w:color="auto"/>
          </w:divBdr>
        </w:div>
        <w:div w:id="2024700403">
          <w:marLeft w:val="0"/>
          <w:marRight w:val="0"/>
          <w:marTop w:val="0"/>
          <w:marBottom w:val="0"/>
          <w:divBdr>
            <w:top w:val="none" w:sz="0" w:space="0" w:color="auto"/>
            <w:left w:val="none" w:sz="0" w:space="0" w:color="auto"/>
            <w:bottom w:val="none" w:sz="0" w:space="0" w:color="auto"/>
            <w:right w:val="none" w:sz="0" w:space="0" w:color="auto"/>
          </w:divBdr>
        </w:div>
        <w:div w:id="2024700404">
          <w:marLeft w:val="0"/>
          <w:marRight w:val="0"/>
          <w:marTop w:val="0"/>
          <w:marBottom w:val="0"/>
          <w:divBdr>
            <w:top w:val="none" w:sz="0" w:space="0" w:color="auto"/>
            <w:left w:val="none" w:sz="0" w:space="0" w:color="auto"/>
            <w:bottom w:val="none" w:sz="0" w:space="0" w:color="auto"/>
            <w:right w:val="none" w:sz="0" w:space="0" w:color="auto"/>
          </w:divBdr>
        </w:div>
        <w:div w:id="2024700405">
          <w:marLeft w:val="0"/>
          <w:marRight w:val="0"/>
          <w:marTop w:val="0"/>
          <w:marBottom w:val="0"/>
          <w:divBdr>
            <w:top w:val="none" w:sz="0" w:space="0" w:color="auto"/>
            <w:left w:val="none" w:sz="0" w:space="0" w:color="auto"/>
            <w:bottom w:val="none" w:sz="0" w:space="0" w:color="auto"/>
            <w:right w:val="none" w:sz="0" w:space="0" w:color="auto"/>
          </w:divBdr>
        </w:div>
        <w:div w:id="2024700406">
          <w:marLeft w:val="0"/>
          <w:marRight w:val="0"/>
          <w:marTop w:val="0"/>
          <w:marBottom w:val="0"/>
          <w:divBdr>
            <w:top w:val="none" w:sz="0" w:space="0" w:color="auto"/>
            <w:left w:val="none" w:sz="0" w:space="0" w:color="auto"/>
            <w:bottom w:val="none" w:sz="0" w:space="0" w:color="auto"/>
            <w:right w:val="none" w:sz="0" w:space="0" w:color="auto"/>
          </w:divBdr>
        </w:div>
        <w:div w:id="2024700407">
          <w:marLeft w:val="0"/>
          <w:marRight w:val="0"/>
          <w:marTop w:val="0"/>
          <w:marBottom w:val="0"/>
          <w:divBdr>
            <w:top w:val="none" w:sz="0" w:space="0" w:color="auto"/>
            <w:left w:val="none" w:sz="0" w:space="0" w:color="auto"/>
            <w:bottom w:val="none" w:sz="0" w:space="0" w:color="auto"/>
            <w:right w:val="none" w:sz="0" w:space="0" w:color="auto"/>
          </w:divBdr>
        </w:div>
        <w:div w:id="2024700408">
          <w:marLeft w:val="0"/>
          <w:marRight w:val="0"/>
          <w:marTop w:val="0"/>
          <w:marBottom w:val="0"/>
          <w:divBdr>
            <w:top w:val="none" w:sz="0" w:space="0" w:color="auto"/>
            <w:left w:val="none" w:sz="0" w:space="0" w:color="auto"/>
            <w:bottom w:val="none" w:sz="0" w:space="0" w:color="auto"/>
            <w:right w:val="none" w:sz="0" w:space="0" w:color="auto"/>
          </w:divBdr>
        </w:div>
        <w:div w:id="2024700409">
          <w:marLeft w:val="0"/>
          <w:marRight w:val="0"/>
          <w:marTop w:val="0"/>
          <w:marBottom w:val="0"/>
          <w:divBdr>
            <w:top w:val="none" w:sz="0" w:space="0" w:color="auto"/>
            <w:left w:val="none" w:sz="0" w:space="0" w:color="auto"/>
            <w:bottom w:val="none" w:sz="0" w:space="0" w:color="auto"/>
            <w:right w:val="none" w:sz="0" w:space="0" w:color="auto"/>
          </w:divBdr>
        </w:div>
        <w:div w:id="2024700410">
          <w:marLeft w:val="0"/>
          <w:marRight w:val="0"/>
          <w:marTop w:val="0"/>
          <w:marBottom w:val="0"/>
          <w:divBdr>
            <w:top w:val="none" w:sz="0" w:space="0" w:color="auto"/>
            <w:left w:val="none" w:sz="0" w:space="0" w:color="auto"/>
            <w:bottom w:val="none" w:sz="0" w:space="0" w:color="auto"/>
            <w:right w:val="none" w:sz="0" w:space="0" w:color="auto"/>
          </w:divBdr>
        </w:div>
        <w:div w:id="2024700411">
          <w:marLeft w:val="0"/>
          <w:marRight w:val="0"/>
          <w:marTop w:val="0"/>
          <w:marBottom w:val="0"/>
          <w:divBdr>
            <w:top w:val="none" w:sz="0" w:space="0" w:color="auto"/>
            <w:left w:val="none" w:sz="0" w:space="0" w:color="auto"/>
            <w:bottom w:val="none" w:sz="0" w:space="0" w:color="auto"/>
            <w:right w:val="none" w:sz="0" w:space="0" w:color="auto"/>
          </w:divBdr>
        </w:div>
        <w:div w:id="2024700412">
          <w:marLeft w:val="0"/>
          <w:marRight w:val="0"/>
          <w:marTop w:val="0"/>
          <w:marBottom w:val="0"/>
          <w:divBdr>
            <w:top w:val="none" w:sz="0" w:space="0" w:color="auto"/>
            <w:left w:val="none" w:sz="0" w:space="0" w:color="auto"/>
            <w:bottom w:val="none" w:sz="0" w:space="0" w:color="auto"/>
            <w:right w:val="none" w:sz="0" w:space="0" w:color="auto"/>
          </w:divBdr>
        </w:div>
        <w:div w:id="2024700413">
          <w:marLeft w:val="0"/>
          <w:marRight w:val="0"/>
          <w:marTop w:val="0"/>
          <w:marBottom w:val="0"/>
          <w:divBdr>
            <w:top w:val="none" w:sz="0" w:space="0" w:color="auto"/>
            <w:left w:val="none" w:sz="0" w:space="0" w:color="auto"/>
            <w:bottom w:val="none" w:sz="0" w:space="0" w:color="auto"/>
            <w:right w:val="none" w:sz="0" w:space="0" w:color="auto"/>
          </w:divBdr>
        </w:div>
        <w:div w:id="2024700414">
          <w:marLeft w:val="0"/>
          <w:marRight w:val="0"/>
          <w:marTop w:val="0"/>
          <w:marBottom w:val="0"/>
          <w:divBdr>
            <w:top w:val="none" w:sz="0" w:space="0" w:color="auto"/>
            <w:left w:val="none" w:sz="0" w:space="0" w:color="auto"/>
            <w:bottom w:val="none" w:sz="0" w:space="0" w:color="auto"/>
            <w:right w:val="none" w:sz="0" w:space="0" w:color="auto"/>
          </w:divBdr>
        </w:div>
        <w:div w:id="2024700415">
          <w:marLeft w:val="0"/>
          <w:marRight w:val="0"/>
          <w:marTop w:val="0"/>
          <w:marBottom w:val="0"/>
          <w:divBdr>
            <w:top w:val="none" w:sz="0" w:space="0" w:color="auto"/>
            <w:left w:val="none" w:sz="0" w:space="0" w:color="auto"/>
            <w:bottom w:val="none" w:sz="0" w:space="0" w:color="auto"/>
            <w:right w:val="none" w:sz="0" w:space="0" w:color="auto"/>
          </w:divBdr>
        </w:div>
        <w:div w:id="2024700416">
          <w:marLeft w:val="0"/>
          <w:marRight w:val="0"/>
          <w:marTop w:val="0"/>
          <w:marBottom w:val="0"/>
          <w:divBdr>
            <w:top w:val="none" w:sz="0" w:space="0" w:color="auto"/>
            <w:left w:val="none" w:sz="0" w:space="0" w:color="auto"/>
            <w:bottom w:val="none" w:sz="0" w:space="0" w:color="auto"/>
            <w:right w:val="none" w:sz="0" w:space="0" w:color="auto"/>
          </w:divBdr>
        </w:div>
        <w:div w:id="2024700417">
          <w:marLeft w:val="0"/>
          <w:marRight w:val="0"/>
          <w:marTop w:val="0"/>
          <w:marBottom w:val="0"/>
          <w:divBdr>
            <w:top w:val="none" w:sz="0" w:space="0" w:color="auto"/>
            <w:left w:val="none" w:sz="0" w:space="0" w:color="auto"/>
            <w:bottom w:val="none" w:sz="0" w:space="0" w:color="auto"/>
            <w:right w:val="none" w:sz="0" w:space="0" w:color="auto"/>
          </w:divBdr>
        </w:div>
        <w:div w:id="2024700418">
          <w:marLeft w:val="0"/>
          <w:marRight w:val="0"/>
          <w:marTop w:val="0"/>
          <w:marBottom w:val="0"/>
          <w:divBdr>
            <w:top w:val="none" w:sz="0" w:space="0" w:color="auto"/>
            <w:left w:val="none" w:sz="0" w:space="0" w:color="auto"/>
            <w:bottom w:val="none" w:sz="0" w:space="0" w:color="auto"/>
            <w:right w:val="none" w:sz="0" w:space="0" w:color="auto"/>
          </w:divBdr>
        </w:div>
        <w:div w:id="2024700419">
          <w:marLeft w:val="0"/>
          <w:marRight w:val="0"/>
          <w:marTop w:val="0"/>
          <w:marBottom w:val="0"/>
          <w:divBdr>
            <w:top w:val="none" w:sz="0" w:space="0" w:color="auto"/>
            <w:left w:val="none" w:sz="0" w:space="0" w:color="auto"/>
            <w:bottom w:val="none" w:sz="0" w:space="0" w:color="auto"/>
            <w:right w:val="none" w:sz="0" w:space="0" w:color="auto"/>
          </w:divBdr>
        </w:div>
        <w:div w:id="2024700420">
          <w:marLeft w:val="0"/>
          <w:marRight w:val="0"/>
          <w:marTop w:val="0"/>
          <w:marBottom w:val="0"/>
          <w:divBdr>
            <w:top w:val="none" w:sz="0" w:space="0" w:color="auto"/>
            <w:left w:val="none" w:sz="0" w:space="0" w:color="auto"/>
            <w:bottom w:val="none" w:sz="0" w:space="0" w:color="auto"/>
            <w:right w:val="none" w:sz="0" w:space="0" w:color="auto"/>
          </w:divBdr>
        </w:div>
        <w:div w:id="2024700421">
          <w:marLeft w:val="0"/>
          <w:marRight w:val="0"/>
          <w:marTop w:val="0"/>
          <w:marBottom w:val="0"/>
          <w:divBdr>
            <w:top w:val="none" w:sz="0" w:space="0" w:color="auto"/>
            <w:left w:val="none" w:sz="0" w:space="0" w:color="auto"/>
            <w:bottom w:val="none" w:sz="0" w:space="0" w:color="auto"/>
            <w:right w:val="none" w:sz="0" w:space="0" w:color="auto"/>
          </w:divBdr>
        </w:div>
        <w:div w:id="2024700422">
          <w:marLeft w:val="0"/>
          <w:marRight w:val="0"/>
          <w:marTop w:val="0"/>
          <w:marBottom w:val="0"/>
          <w:divBdr>
            <w:top w:val="none" w:sz="0" w:space="0" w:color="auto"/>
            <w:left w:val="none" w:sz="0" w:space="0" w:color="auto"/>
            <w:bottom w:val="none" w:sz="0" w:space="0" w:color="auto"/>
            <w:right w:val="none" w:sz="0" w:space="0" w:color="auto"/>
          </w:divBdr>
        </w:div>
        <w:div w:id="2024700423">
          <w:marLeft w:val="0"/>
          <w:marRight w:val="0"/>
          <w:marTop w:val="0"/>
          <w:marBottom w:val="0"/>
          <w:divBdr>
            <w:top w:val="none" w:sz="0" w:space="0" w:color="auto"/>
            <w:left w:val="none" w:sz="0" w:space="0" w:color="auto"/>
            <w:bottom w:val="none" w:sz="0" w:space="0" w:color="auto"/>
            <w:right w:val="none" w:sz="0" w:space="0" w:color="auto"/>
          </w:divBdr>
        </w:div>
        <w:div w:id="2024700424">
          <w:marLeft w:val="0"/>
          <w:marRight w:val="0"/>
          <w:marTop w:val="0"/>
          <w:marBottom w:val="0"/>
          <w:divBdr>
            <w:top w:val="none" w:sz="0" w:space="0" w:color="auto"/>
            <w:left w:val="none" w:sz="0" w:space="0" w:color="auto"/>
            <w:bottom w:val="none" w:sz="0" w:space="0" w:color="auto"/>
            <w:right w:val="none" w:sz="0" w:space="0" w:color="auto"/>
          </w:divBdr>
        </w:div>
        <w:div w:id="2024700425">
          <w:marLeft w:val="0"/>
          <w:marRight w:val="0"/>
          <w:marTop w:val="0"/>
          <w:marBottom w:val="0"/>
          <w:divBdr>
            <w:top w:val="none" w:sz="0" w:space="0" w:color="auto"/>
            <w:left w:val="none" w:sz="0" w:space="0" w:color="auto"/>
            <w:bottom w:val="none" w:sz="0" w:space="0" w:color="auto"/>
            <w:right w:val="none" w:sz="0" w:space="0" w:color="auto"/>
          </w:divBdr>
        </w:div>
        <w:div w:id="2024700426">
          <w:marLeft w:val="0"/>
          <w:marRight w:val="0"/>
          <w:marTop w:val="0"/>
          <w:marBottom w:val="0"/>
          <w:divBdr>
            <w:top w:val="none" w:sz="0" w:space="0" w:color="auto"/>
            <w:left w:val="none" w:sz="0" w:space="0" w:color="auto"/>
            <w:bottom w:val="none" w:sz="0" w:space="0" w:color="auto"/>
            <w:right w:val="none" w:sz="0" w:space="0" w:color="auto"/>
          </w:divBdr>
        </w:div>
        <w:div w:id="2024700427">
          <w:marLeft w:val="0"/>
          <w:marRight w:val="0"/>
          <w:marTop w:val="0"/>
          <w:marBottom w:val="0"/>
          <w:divBdr>
            <w:top w:val="none" w:sz="0" w:space="0" w:color="auto"/>
            <w:left w:val="none" w:sz="0" w:space="0" w:color="auto"/>
            <w:bottom w:val="none" w:sz="0" w:space="0" w:color="auto"/>
            <w:right w:val="none" w:sz="0" w:space="0" w:color="auto"/>
          </w:divBdr>
        </w:div>
        <w:div w:id="2024700428">
          <w:marLeft w:val="0"/>
          <w:marRight w:val="0"/>
          <w:marTop w:val="0"/>
          <w:marBottom w:val="0"/>
          <w:divBdr>
            <w:top w:val="none" w:sz="0" w:space="0" w:color="auto"/>
            <w:left w:val="none" w:sz="0" w:space="0" w:color="auto"/>
            <w:bottom w:val="none" w:sz="0" w:space="0" w:color="auto"/>
            <w:right w:val="none" w:sz="0" w:space="0" w:color="auto"/>
          </w:divBdr>
        </w:div>
        <w:div w:id="2024700429">
          <w:marLeft w:val="0"/>
          <w:marRight w:val="0"/>
          <w:marTop w:val="0"/>
          <w:marBottom w:val="0"/>
          <w:divBdr>
            <w:top w:val="none" w:sz="0" w:space="0" w:color="auto"/>
            <w:left w:val="none" w:sz="0" w:space="0" w:color="auto"/>
            <w:bottom w:val="none" w:sz="0" w:space="0" w:color="auto"/>
            <w:right w:val="none" w:sz="0" w:space="0" w:color="auto"/>
          </w:divBdr>
        </w:div>
        <w:div w:id="2024700430">
          <w:marLeft w:val="0"/>
          <w:marRight w:val="0"/>
          <w:marTop w:val="0"/>
          <w:marBottom w:val="0"/>
          <w:divBdr>
            <w:top w:val="none" w:sz="0" w:space="0" w:color="auto"/>
            <w:left w:val="none" w:sz="0" w:space="0" w:color="auto"/>
            <w:bottom w:val="none" w:sz="0" w:space="0" w:color="auto"/>
            <w:right w:val="none" w:sz="0" w:space="0" w:color="auto"/>
          </w:divBdr>
        </w:div>
        <w:div w:id="2024700431">
          <w:marLeft w:val="0"/>
          <w:marRight w:val="0"/>
          <w:marTop w:val="0"/>
          <w:marBottom w:val="0"/>
          <w:divBdr>
            <w:top w:val="none" w:sz="0" w:space="0" w:color="auto"/>
            <w:left w:val="none" w:sz="0" w:space="0" w:color="auto"/>
            <w:bottom w:val="none" w:sz="0" w:space="0" w:color="auto"/>
            <w:right w:val="none" w:sz="0" w:space="0" w:color="auto"/>
          </w:divBdr>
        </w:div>
        <w:div w:id="2024700432">
          <w:marLeft w:val="0"/>
          <w:marRight w:val="0"/>
          <w:marTop w:val="0"/>
          <w:marBottom w:val="0"/>
          <w:divBdr>
            <w:top w:val="none" w:sz="0" w:space="0" w:color="auto"/>
            <w:left w:val="none" w:sz="0" w:space="0" w:color="auto"/>
            <w:bottom w:val="none" w:sz="0" w:space="0" w:color="auto"/>
            <w:right w:val="none" w:sz="0" w:space="0" w:color="auto"/>
          </w:divBdr>
        </w:div>
        <w:div w:id="2024700433">
          <w:marLeft w:val="0"/>
          <w:marRight w:val="0"/>
          <w:marTop w:val="0"/>
          <w:marBottom w:val="0"/>
          <w:divBdr>
            <w:top w:val="none" w:sz="0" w:space="0" w:color="auto"/>
            <w:left w:val="none" w:sz="0" w:space="0" w:color="auto"/>
            <w:bottom w:val="none" w:sz="0" w:space="0" w:color="auto"/>
            <w:right w:val="none" w:sz="0" w:space="0" w:color="auto"/>
          </w:divBdr>
        </w:div>
        <w:div w:id="2024700435">
          <w:marLeft w:val="0"/>
          <w:marRight w:val="0"/>
          <w:marTop w:val="0"/>
          <w:marBottom w:val="0"/>
          <w:divBdr>
            <w:top w:val="none" w:sz="0" w:space="0" w:color="auto"/>
            <w:left w:val="none" w:sz="0" w:space="0" w:color="auto"/>
            <w:bottom w:val="none" w:sz="0" w:space="0" w:color="auto"/>
            <w:right w:val="none" w:sz="0" w:space="0" w:color="auto"/>
          </w:divBdr>
        </w:div>
        <w:div w:id="2024700436">
          <w:marLeft w:val="0"/>
          <w:marRight w:val="0"/>
          <w:marTop w:val="0"/>
          <w:marBottom w:val="0"/>
          <w:divBdr>
            <w:top w:val="none" w:sz="0" w:space="0" w:color="auto"/>
            <w:left w:val="none" w:sz="0" w:space="0" w:color="auto"/>
            <w:bottom w:val="none" w:sz="0" w:space="0" w:color="auto"/>
            <w:right w:val="none" w:sz="0" w:space="0" w:color="auto"/>
          </w:divBdr>
        </w:div>
        <w:div w:id="2024700437">
          <w:marLeft w:val="0"/>
          <w:marRight w:val="0"/>
          <w:marTop w:val="0"/>
          <w:marBottom w:val="0"/>
          <w:divBdr>
            <w:top w:val="none" w:sz="0" w:space="0" w:color="auto"/>
            <w:left w:val="none" w:sz="0" w:space="0" w:color="auto"/>
            <w:bottom w:val="none" w:sz="0" w:space="0" w:color="auto"/>
            <w:right w:val="none" w:sz="0" w:space="0" w:color="auto"/>
          </w:divBdr>
        </w:div>
        <w:div w:id="2024700438">
          <w:marLeft w:val="0"/>
          <w:marRight w:val="0"/>
          <w:marTop w:val="0"/>
          <w:marBottom w:val="0"/>
          <w:divBdr>
            <w:top w:val="none" w:sz="0" w:space="0" w:color="auto"/>
            <w:left w:val="none" w:sz="0" w:space="0" w:color="auto"/>
            <w:bottom w:val="none" w:sz="0" w:space="0" w:color="auto"/>
            <w:right w:val="none" w:sz="0" w:space="0" w:color="auto"/>
          </w:divBdr>
        </w:div>
        <w:div w:id="2024700439">
          <w:marLeft w:val="0"/>
          <w:marRight w:val="0"/>
          <w:marTop w:val="0"/>
          <w:marBottom w:val="0"/>
          <w:divBdr>
            <w:top w:val="none" w:sz="0" w:space="0" w:color="auto"/>
            <w:left w:val="none" w:sz="0" w:space="0" w:color="auto"/>
            <w:bottom w:val="none" w:sz="0" w:space="0" w:color="auto"/>
            <w:right w:val="none" w:sz="0" w:space="0" w:color="auto"/>
          </w:divBdr>
        </w:div>
        <w:div w:id="2024700440">
          <w:marLeft w:val="0"/>
          <w:marRight w:val="0"/>
          <w:marTop w:val="0"/>
          <w:marBottom w:val="0"/>
          <w:divBdr>
            <w:top w:val="none" w:sz="0" w:space="0" w:color="auto"/>
            <w:left w:val="none" w:sz="0" w:space="0" w:color="auto"/>
            <w:bottom w:val="none" w:sz="0" w:space="0" w:color="auto"/>
            <w:right w:val="none" w:sz="0" w:space="0" w:color="auto"/>
          </w:divBdr>
        </w:div>
        <w:div w:id="2024700441">
          <w:marLeft w:val="0"/>
          <w:marRight w:val="0"/>
          <w:marTop w:val="0"/>
          <w:marBottom w:val="0"/>
          <w:divBdr>
            <w:top w:val="none" w:sz="0" w:space="0" w:color="auto"/>
            <w:left w:val="none" w:sz="0" w:space="0" w:color="auto"/>
            <w:bottom w:val="none" w:sz="0" w:space="0" w:color="auto"/>
            <w:right w:val="none" w:sz="0" w:space="0" w:color="auto"/>
          </w:divBdr>
        </w:div>
        <w:div w:id="2024700442">
          <w:marLeft w:val="0"/>
          <w:marRight w:val="0"/>
          <w:marTop w:val="0"/>
          <w:marBottom w:val="0"/>
          <w:divBdr>
            <w:top w:val="none" w:sz="0" w:space="0" w:color="auto"/>
            <w:left w:val="none" w:sz="0" w:space="0" w:color="auto"/>
            <w:bottom w:val="none" w:sz="0" w:space="0" w:color="auto"/>
            <w:right w:val="none" w:sz="0" w:space="0" w:color="auto"/>
          </w:divBdr>
        </w:div>
        <w:div w:id="2024700443">
          <w:marLeft w:val="0"/>
          <w:marRight w:val="0"/>
          <w:marTop w:val="0"/>
          <w:marBottom w:val="0"/>
          <w:divBdr>
            <w:top w:val="none" w:sz="0" w:space="0" w:color="auto"/>
            <w:left w:val="none" w:sz="0" w:space="0" w:color="auto"/>
            <w:bottom w:val="none" w:sz="0" w:space="0" w:color="auto"/>
            <w:right w:val="none" w:sz="0" w:space="0" w:color="auto"/>
          </w:divBdr>
        </w:div>
        <w:div w:id="2024700444">
          <w:marLeft w:val="0"/>
          <w:marRight w:val="0"/>
          <w:marTop w:val="0"/>
          <w:marBottom w:val="0"/>
          <w:divBdr>
            <w:top w:val="none" w:sz="0" w:space="0" w:color="auto"/>
            <w:left w:val="none" w:sz="0" w:space="0" w:color="auto"/>
            <w:bottom w:val="none" w:sz="0" w:space="0" w:color="auto"/>
            <w:right w:val="none" w:sz="0" w:space="0" w:color="auto"/>
          </w:divBdr>
        </w:div>
        <w:div w:id="2024700445">
          <w:marLeft w:val="0"/>
          <w:marRight w:val="0"/>
          <w:marTop w:val="0"/>
          <w:marBottom w:val="0"/>
          <w:divBdr>
            <w:top w:val="none" w:sz="0" w:space="0" w:color="auto"/>
            <w:left w:val="none" w:sz="0" w:space="0" w:color="auto"/>
            <w:bottom w:val="none" w:sz="0" w:space="0" w:color="auto"/>
            <w:right w:val="none" w:sz="0" w:space="0" w:color="auto"/>
          </w:divBdr>
        </w:div>
        <w:div w:id="2024700446">
          <w:marLeft w:val="0"/>
          <w:marRight w:val="0"/>
          <w:marTop w:val="0"/>
          <w:marBottom w:val="0"/>
          <w:divBdr>
            <w:top w:val="none" w:sz="0" w:space="0" w:color="auto"/>
            <w:left w:val="none" w:sz="0" w:space="0" w:color="auto"/>
            <w:bottom w:val="none" w:sz="0" w:space="0" w:color="auto"/>
            <w:right w:val="none" w:sz="0" w:space="0" w:color="auto"/>
          </w:divBdr>
        </w:div>
        <w:div w:id="2024700447">
          <w:marLeft w:val="0"/>
          <w:marRight w:val="0"/>
          <w:marTop w:val="0"/>
          <w:marBottom w:val="0"/>
          <w:divBdr>
            <w:top w:val="none" w:sz="0" w:space="0" w:color="auto"/>
            <w:left w:val="none" w:sz="0" w:space="0" w:color="auto"/>
            <w:bottom w:val="none" w:sz="0" w:space="0" w:color="auto"/>
            <w:right w:val="none" w:sz="0" w:space="0" w:color="auto"/>
          </w:divBdr>
        </w:div>
        <w:div w:id="2024700448">
          <w:marLeft w:val="0"/>
          <w:marRight w:val="0"/>
          <w:marTop w:val="0"/>
          <w:marBottom w:val="0"/>
          <w:divBdr>
            <w:top w:val="none" w:sz="0" w:space="0" w:color="auto"/>
            <w:left w:val="none" w:sz="0" w:space="0" w:color="auto"/>
            <w:bottom w:val="none" w:sz="0" w:space="0" w:color="auto"/>
            <w:right w:val="none" w:sz="0" w:space="0" w:color="auto"/>
          </w:divBdr>
        </w:div>
        <w:div w:id="2024700449">
          <w:marLeft w:val="0"/>
          <w:marRight w:val="0"/>
          <w:marTop w:val="0"/>
          <w:marBottom w:val="0"/>
          <w:divBdr>
            <w:top w:val="none" w:sz="0" w:space="0" w:color="auto"/>
            <w:left w:val="none" w:sz="0" w:space="0" w:color="auto"/>
            <w:bottom w:val="none" w:sz="0" w:space="0" w:color="auto"/>
            <w:right w:val="none" w:sz="0" w:space="0" w:color="auto"/>
          </w:divBdr>
        </w:div>
        <w:div w:id="2024700450">
          <w:marLeft w:val="0"/>
          <w:marRight w:val="0"/>
          <w:marTop w:val="0"/>
          <w:marBottom w:val="0"/>
          <w:divBdr>
            <w:top w:val="none" w:sz="0" w:space="0" w:color="auto"/>
            <w:left w:val="none" w:sz="0" w:space="0" w:color="auto"/>
            <w:bottom w:val="none" w:sz="0" w:space="0" w:color="auto"/>
            <w:right w:val="none" w:sz="0" w:space="0" w:color="auto"/>
          </w:divBdr>
        </w:div>
        <w:div w:id="2024700451">
          <w:marLeft w:val="0"/>
          <w:marRight w:val="0"/>
          <w:marTop w:val="0"/>
          <w:marBottom w:val="0"/>
          <w:divBdr>
            <w:top w:val="none" w:sz="0" w:space="0" w:color="auto"/>
            <w:left w:val="none" w:sz="0" w:space="0" w:color="auto"/>
            <w:bottom w:val="none" w:sz="0" w:space="0" w:color="auto"/>
            <w:right w:val="none" w:sz="0" w:space="0" w:color="auto"/>
          </w:divBdr>
        </w:div>
        <w:div w:id="2024700452">
          <w:marLeft w:val="0"/>
          <w:marRight w:val="0"/>
          <w:marTop w:val="0"/>
          <w:marBottom w:val="0"/>
          <w:divBdr>
            <w:top w:val="none" w:sz="0" w:space="0" w:color="auto"/>
            <w:left w:val="none" w:sz="0" w:space="0" w:color="auto"/>
            <w:bottom w:val="none" w:sz="0" w:space="0" w:color="auto"/>
            <w:right w:val="none" w:sz="0" w:space="0" w:color="auto"/>
          </w:divBdr>
        </w:div>
        <w:div w:id="2024700453">
          <w:marLeft w:val="0"/>
          <w:marRight w:val="0"/>
          <w:marTop w:val="0"/>
          <w:marBottom w:val="0"/>
          <w:divBdr>
            <w:top w:val="none" w:sz="0" w:space="0" w:color="auto"/>
            <w:left w:val="none" w:sz="0" w:space="0" w:color="auto"/>
            <w:bottom w:val="none" w:sz="0" w:space="0" w:color="auto"/>
            <w:right w:val="none" w:sz="0" w:space="0" w:color="auto"/>
          </w:divBdr>
        </w:div>
        <w:div w:id="2024700454">
          <w:marLeft w:val="0"/>
          <w:marRight w:val="0"/>
          <w:marTop w:val="0"/>
          <w:marBottom w:val="0"/>
          <w:divBdr>
            <w:top w:val="none" w:sz="0" w:space="0" w:color="auto"/>
            <w:left w:val="none" w:sz="0" w:space="0" w:color="auto"/>
            <w:bottom w:val="none" w:sz="0" w:space="0" w:color="auto"/>
            <w:right w:val="none" w:sz="0" w:space="0" w:color="auto"/>
          </w:divBdr>
        </w:div>
        <w:div w:id="2024700455">
          <w:marLeft w:val="0"/>
          <w:marRight w:val="0"/>
          <w:marTop w:val="0"/>
          <w:marBottom w:val="0"/>
          <w:divBdr>
            <w:top w:val="none" w:sz="0" w:space="0" w:color="auto"/>
            <w:left w:val="none" w:sz="0" w:space="0" w:color="auto"/>
            <w:bottom w:val="none" w:sz="0" w:space="0" w:color="auto"/>
            <w:right w:val="none" w:sz="0" w:space="0" w:color="auto"/>
          </w:divBdr>
        </w:div>
        <w:div w:id="2024700456">
          <w:marLeft w:val="0"/>
          <w:marRight w:val="0"/>
          <w:marTop w:val="0"/>
          <w:marBottom w:val="0"/>
          <w:divBdr>
            <w:top w:val="none" w:sz="0" w:space="0" w:color="auto"/>
            <w:left w:val="none" w:sz="0" w:space="0" w:color="auto"/>
            <w:bottom w:val="none" w:sz="0" w:space="0" w:color="auto"/>
            <w:right w:val="none" w:sz="0" w:space="0" w:color="auto"/>
          </w:divBdr>
        </w:div>
        <w:div w:id="2024700457">
          <w:marLeft w:val="0"/>
          <w:marRight w:val="0"/>
          <w:marTop w:val="0"/>
          <w:marBottom w:val="0"/>
          <w:divBdr>
            <w:top w:val="none" w:sz="0" w:space="0" w:color="auto"/>
            <w:left w:val="none" w:sz="0" w:space="0" w:color="auto"/>
            <w:bottom w:val="none" w:sz="0" w:space="0" w:color="auto"/>
            <w:right w:val="none" w:sz="0" w:space="0" w:color="auto"/>
          </w:divBdr>
        </w:div>
        <w:div w:id="2024700458">
          <w:marLeft w:val="0"/>
          <w:marRight w:val="0"/>
          <w:marTop w:val="0"/>
          <w:marBottom w:val="0"/>
          <w:divBdr>
            <w:top w:val="none" w:sz="0" w:space="0" w:color="auto"/>
            <w:left w:val="none" w:sz="0" w:space="0" w:color="auto"/>
            <w:bottom w:val="none" w:sz="0" w:space="0" w:color="auto"/>
            <w:right w:val="none" w:sz="0" w:space="0" w:color="auto"/>
          </w:divBdr>
        </w:div>
        <w:div w:id="2024700459">
          <w:marLeft w:val="0"/>
          <w:marRight w:val="0"/>
          <w:marTop w:val="0"/>
          <w:marBottom w:val="0"/>
          <w:divBdr>
            <w:top w:val="none" w:sz="0" w:space="0" w:color="auto"/>
            <w:left w:val="none" w:sz="0" w:space="0" w:color="auto"/>
            <w:bottom w:val="none" w:sz="0" w:space="0" w:color="auto"/>
            <w:right w:val="none" w:sz="0" w:space="0" w:color="auto"/>
          </w:divBdr>
        </w:div>
        <w:div w:id="2024700460">
          <w:marLeft w:val="0"/>
          <w:marRight w:val="0"/>
          <w:marTop w:val="0"/>
          <w:marBottom w:val="0"/>
          <w:divBdr>
            <w:top w:val="none" w:sz="0" w:space="0" w:color="auto"/>
            <w:left w:val="none" w:sz="0" w:space="0" w:color="auto"/>
            <w:bottom w:val="none" w:sz="0" w:space="0" w:color="auto"/>
            <w:right w:val="none" w:sz="0" w:space="0" w:color="auto"/>
          </w:divBdr>
        </w:div>
        <w:div w:id="2024700461">
          <w:marLeft w:val="0"/>
          <w:marRight w:val="0"/>
          <w:marTop w:val="0"/>
          <w:marBottom w:val="0"/>
          <w:divBdr>
            <w:top w:val="none" w:sz="0" w:space="0" w:color="auto"/>
            <w:left w:val="none" w:sz="0" w:space="0" w:color="auto"/>
            <w:bottom w:val="none" w:sz="0" w:space="0" w:color="auto"/>
            <w:right w:val="none" w:sz="0" w:space="0" w:color="auto"/>
          </w:divBdr>
        </w:div>
        <w:div w:id="2024700462">
          <w:marLeft w:val="0"/>
          <w:marRight w:val="0"/>
          <w:marTop w:val="0"/>
          <w:marBottom w:val="0"/>
          <w:divBdr>
            <w:top w:val="none" w:sz="0" w:space="0" w:color="auto"/>
            <w:left w:val="none" w:sz="0" w:space="0" w:color="auto"/>
            <w:bottom w:val="none" w:sz="0" w:space="0" w:color="auto"/>
            <w:right w:val="none" w:sz="0" w:space="0" w:color="auto"/>
          </w:divBdr>
        </w:div>
        <w:div w:id="2024700463">
          <w:marLeft w:val="0"/>
          <w:marRight w:val="0"/>
          <w:marTop w:val="0"/>
          <w:marBottom w:val="0"/>
          <w:divBdr>
            <w:top w:val="none" w:sz="0" w:space="0" w:color="auto"/>
            <w:left w:val="none" w:sz="0" w:space="0" w:color="auto"/>
            <w:bottom w:val="none" w:sz="0" w:space="0" w:color="auto"/>
            <w:right w:val="none" w:sz="0" w:space="0" w:color="auto"/>
          </w:divBdr>
        </w:div>
        <w:div w:id="2024700464">
          <w:marLeft w:val="0"/>
          <w:marRight w:val="0"/>
          <w:marTop w:val="0"/>
          <w:marBottom w:val="0"/>
          <w:divBdr>
            <w:top w:val="none" w:sz="0" w:space="0" w:color="auto"/>
            <w:left w:val="none" w:sz="0" w:space="0" w:color="auto"/>
            <w:bottom w:val="none" w:sz="0" w:space="0" w:color="auto"/>
            <w:right w:val="none" w:sz="0" w:space="0" w:color="auto"/>
          </w:divBdr>
        </w:div>
        <w:div w:id="2024700465">
          <w:marLeft w:val="0"/>
          <w:marRight w:val="0"/>
          <w:marTop w:val="0"/>
          <w:marBottom w:val="0"/>
          <w:divBdr>
            <w:top w:val="none" w:sz="0" w:space="0" w:color="auto"/>
            <w:left w:val="none" w:sz="0" w:space="0" w:color="auto"/>
            <w:bottom w:val="none" w:sz="0" w:space="0" w:color="auto"/>
            <w:right w:val="none" w:sz="0" w:space="0" w:color="auto"/>
          </w:divBdr>
        </w:div>
        <w:div w:id="2024700466">
          <w:marLeft w:val="0"/>
          <w:marRight w:val="0"/>
          <w:marTop w:val="0"/>
          <w:marBottom w:val="0"/>
          <w:divBdr>
            <w:top w:val="none" w:sz="0" w:space="0" w:color="auto"/>
            <w:left w:val="none" w:sz="0" w:space="0" w:color="auto"/>
            <w:bottom w:val="none" w:sz="0" w:space="0" w:color="auto"/>
            <w:right w:val="none" w:sz="0" w:space="0" w:color="auto"/>
          </w:divBdr>
        </w:div>
        <w:div w:id="2024700467">
          <w:marLeft w:val="0"/>
          <w:marRight w:val="0"/>
          <w:marTop w:val="0"/>
          <w:marBottom w:val="0"/>
          <w:divBdr>
            <w:top w:val="none" w:sz="0" w:space="0" w:color="auto"/>
            <w:left w:val="none" w:sz="0" w:space="0" w:color="auto"/>
            <w:bottom w:val="none" w:sz="0" w:space="0" w:color="auto"/>
            <w:right w:val="none" w:sz="0" w:space="0" w:color="auto"/>
          </w:divBdr>
        </w:div>
        <w:div w:id="2024700468">
          <w:marLeft w:val="0"/>
          <w:marRight w:val="0"/>
          <w:marTop w:val="0"/>
          <w:marBottom w:val="0"/>
          <w:divBdr>
            <w:top w:val="none" w:sz="0" w:space="0" w:color="auto"/>
            <w:left w:val="none" w:sz="0" w:space="0" w:color="auto"/>
            <w:bottom w:val="none" w:sz="0" w:space="0" w:color="auto"/>
            <w:right w:val="none" w:sz="0" w:space="0" w:color="auto"/>
          </w:divBdr>
        </w:div>
        <w:div w:id="2024700469">
          <w:marLeft w:val="0"/>
          <w:marRight w:val="0"/>
          <w:marTop w:val="0"/>
          <w:marBottom w:val="0"/>
          <w:divBdr>
            <w:top w:val="none" w:sz="0" w:space="0" w:color="auto"/>
            <w:left w:val="none" w:sz="0" w:space="0" w:color="auto"/>
            <w:bottom w:val="none" w:sz="0" w:space="0" w:color="auto"/>
            <w:right w:val="none" w:sz="0" w:space="0" w:color="auto"/>
          </w:divBdr>
        </w:div>
        <w:div w:id="2024700470">
          <w:marLeft w:val="0"/>
          <w:marRight w:val="0"/>
          <w:marTop w:val="0"/>
          <w:marBottom w:val="0"/>
          <w:divBdr>
            <w:top w:val="none" w:sz="0" w:space="0" w:color="auto"/>
            <w:left w:val="none" w:sz="0" w:space="0" w:color="auto"/>
            <w:bottom w:val="none" w:sz="0" w:space="0" w:color="auto"/>
            <w:right w:val="none" w:sz="0" w:space="0" w:color="auto"/>
          </w:divBdr>
        </w:div>
        <w:div w:id="2024700471">
          <w:marLeft w:val="0"/>
          <w:marRight w:val="0"/>
          <w:marTop w:val="0"/>
          <w:marBottom w:val="0"/>
          <w:divBdr>
            <w:top w:val="none" w:sz="0" w:space="0" w:color="auto"/>
            <w:left w:val="none" w:sz="0" w:space="0" w:color="auto"/>
            <w:bottom w:val="none" w:sz="0" w:space="0" w:color="auto"/>
            <w:right w:val="none" w:sz="0" w:space="0" w:color="auto"/>
          </w:divBdr>
        </w:div>
        <w:div w:id="2024700472">
          <w:marLeft w:val="0"/>
          <w:marRight w:val="0"/>
          <w:marTop w:val="0"/>
          <w:marBottom w:val="0"/>
          <w:divBdr>
            <w:top w:val="none" w:sz="0" w:space="0" w:color="auto"/>
            <w:left w:val="none" w:sz="0" w:space="0" w:color="auto"/>
            <w:bottom w:val="none" w:sz="0" w:space="0" w:color="auto"/>
            <w:right w:val="none" w:sz="0" w:space="0" w:color="auto"/>
          </w:divBdr>
        </w:div>
        <w:div w:id="2024700473">
          <w:marLeft w:val="0"/>
          <w:marRight w:val="0"/>
          <w:marTop w:val="0"/>
          <w:marBottom w:val="0"/>
          <w:divBdr>
            <w:top w:val="none" w:sz="0" w:space="0" w:color="auto"/>
            <w:left w:val="none" w:sz="0" w:space="0" w:color="auto"/>
            <w:bottom w:val="none" w:sz="0" w:space="0" w:color="auto"/>
            <w:right w:val="none" w:sz="0" w:space="0" w:color="auto"/>
          </w:divBdr>
        </w:div>
        <w:div w:id="2024700474">
          <w:marLeft w:val="0"/>
          <w:marRight w:val="0"/>
          <w:marTop w:val="0"/>
          <w:marBottom w:val="0"/>
          <w:divBdr>
            <w:top w:val="none" w:sz="0" w:space="0" w:color="auto"/>
            <w:left w:val="none" w:sz="0" w:space="0" w:color="auto"/>
            <w:bottom w:val="none" w:sz="0" w:space="0" w:color="auto"/>
            <w:right w:val="none" w:sz="0" w:space="0" w:color="auto"/>
          </w:divBdr>
        </w:div>
        <w:div w:id="2024700475">
          <w:marLeft w:val="0"/>
          <w:marRight w:val="0"/>
          <w:marTop w:val="0"/>
          <w:marBottom w:val="0"/>
          <w:divBdr>
            <w:top w:val="none" w:sz="0" w:space="0" w:color="auto"/>
            <w:left w:val="none" w:sz="0" w:space="0" w:color="auto"/>
            <w:bottom w:val="none" w:sz="0" w:space="0" w:color="auto"/>
            <w:right w:val="none" w:sz="0" w:space="0" w:color="auto"/>
          </w:divBdr>
        </w:div>
        <w:div w:id="2024700476">
          <w:marLeft w:val="0"/>
          <w:marRight w:val="0"/>
          <w:marTop w:val="0"/>
          <w:marBottom w:val="0"/>
          <w:divBdr>
            <w:top w:val="none" w:sz="0" w:space="0" w:color="auto"/>
            <w:left w:val="none" w:sz="0" w:space="0" w:color="auto"/>
            <w:bottom w:val="none" w:sz="0" w:space="0" w:color="auto"/>
            <w:right w:val="none" w:sz="0" w:space="0" w:color="auto"/>
          </w:divBdr>
        </w:div>
        <w:div w:id="2024700477">
          <w:marLeft w:val="0"/>
          <w:marRight w:val="0"/>
          <w:marTop w:val="0"/>
          <w:marBottom w:val="0"/>
          <w:divBdr>
            <w:top w:val="none" w:sz="0" w:space="0" w:color="auto"/>
            <w:left w:val="none" w:sz="0" w:space="0" w:color="auto"/>
            <w:bottom w:val="none" w:sz="0" w:space="0" w:color="auto"/>
            <w:right w:val="none" w:sz="0" w:space="0" w:color="auto"/>
          </w:divBdr>
        </w:div>
        <w:div w:id="2024700478">
          <w:marLeft w:val="0"/>
          <w:marRight w:val="0"/>
          <w:marTop w:val="0"/>
          <w:marBottom w:val="0"/>
          <w:divBdr>
            <w:top w:val="none" w:sz="0" w:space="0" w:color="auto"/>
            <w:left w:val="none" w:sz="0" w:space="0" w:color="auto"/>
            <w:bottom w:val="none" w:sz="0" w:space="0" w:color="auto"/>
            <w:right w:val="none" w:sz="0" w:space="0" w:color="auto"/>
          </w:divBdr>
        </w:div>
        <w:div w:id="2024700479">
          <w:marLeft w:val="0"/>
          <w:marRight w:val="0"/>
          <w:marTop w:val="0"/>
          <w:marBottom w:val="0"/>
          <w:divBdr>
            <w:top w:val="none" w:sz="0" w:space="0" w:color="auto"/>
            <w:left w:val="none" w:sz="0" w:space="0" w:color="auto"/>
            <w:bottom w:val="none" w:sz="0" w:space="0" w:color="auto"/>
            <w:right w:val="none" w:sz="0" w:space="0" w:color="auto"/>
          </w:divBdr>
        </w:div>
        <w:div w:id="2024700480">
          <w:marLeft w:val="0"/>
          <w:marRight w:val="0"/>
          <w:marTop w:val="0"/>
          <w:marBottom w:val="0"/>
          <w:divBdr>
            <w:top w:val="none" w:sz="0" w:space="0" w:color="auto"/>
            <w:left w:val="none" w:sz="0" w:space="0" w:color="auto"/>
            <w:bottom w:val="none" w:sz="0" w:space="0" w:color="auto"/>
            <w:right w:val="none" w:sz="0" w:space="0" w:color="auto"/>
          </w:divBdr>
        </w:div>
        <w:div w:id="2024700481">
          <w:marLeft w:val="0"/>
          <w:marRight w:val="0"/>
          <w:marTop w:val="0"/>
          <w:marBottom w:val="0"/>
          <w:divBdr>
            <w:top w:val="none" w:sz="0" w:space="0" w:color="auto"/>
            <w:left w:val="none" w:sz="0" w:space="0" w:color="auto"/>
            <w:bottom w:val="none" w:sz="0" w:space="0" w:color="auto"/>
            <w:right w:val="none" w:sz="0" w:space="0" w:color="auto"/>
          </w:divBdr>
        </w:div>
        <w:div w:id="2024700482">
          <w:marLeft w:val="0"/>
          <w:marRight w:val="0"/>
          <w:marTop w:val="0"/>
          <w:marBottom w:val="0"/>
          <w:divBdr>
            <w:top w:val="none" w:sz="0" w:space="0" w:color="auto"/>
            <w:left w:val="none" w:sz="0" w:space="0" w:color="auto"/>
            <w:bottom w:val="none" w:sz="0" w:space="0" w:color="auto"/>
            <w:right w:val="none" w:sz="0" w:space="0" w:color="auto"/>
          </w:divBdr>
        </w:div>
        <w:div w:id="2024700483">
          <w:marLeft w:val="0"/>
          <w:marRight w:val="0"/>
          <w:marTop w:val="0"/>
          <w:marBottom w:val="0"/>
          <w:divBdr>
            <w:top w:val="none" w:sz="0" w:space="0" w:color="auto"/>
            <w:left w:val="none" w:sz="0" w:space="0" w:color="auto"/>
            <w:bottom w:val="none" w:sz="0" w:space="0" w:color="auto"/>
            <w:right w:val="none" w:sz="0" w:space="0" w:color="auto"/>
          </w:divBdr>
        </w:div>
        <w:div w:id="2024700484">
          <w:marLeft w:val="0"/>
          <w:marRight w:val="0"/>
          <w:marTop w:val="0"/>
          <w:marBottom w:val="0"/>
          <w:divBdr>
            <w:top w:val="none" w:sz="0" w:space="0" w:color="auto"/>
            <w:left w:val="none" w:sz="0" w:space="0" w:color="auto"/>
            <w:bottom w:val="none" w:sz="0" w:space="0" w:color="auto"/>
            <w:right w:val="none" w:sz="0" w:space="0" w:color="auto"/>
          </w:divBdr>
        </w:div>
        <w:div w:id="2024700485">
          <w:marLeft w:val="0"/>
          <w:marRight w:val="0"/>
          <w:marTop w:val="0"/>
          <w:marBottom w:val="0"/>
          <w:divBdr>
            <w:top w:val="none" w:sz="0" w:space="0" w:color="auto"/>
            <w:left w:val="none" w:sz="0" w:space="0" w:color="auto"/>
            <w:bottom w:val="none" w:sz="0" w:space="0" w:color="auto"/>
            <w:right w:val="none" w:sz="0" w:space="0" w:color="auto"/>
          </w:divBdr>
        </w:div>
        <w:div w:id="2024700487">
          <w:marLeft w:val="0"/>
          <w:marRight w:val="0"/>
          <w:marTop w:val="0"/>
          <w:marBottom w:val="0"/>
          <w:divBdr>
            <w:top w:val="none" w:sz="0" w:space="0" w:color="auto"/>
            <w:left w:val="none" w:sz="0" w:space="0" w:color="auto"/>
            <w:bottom w:val="none" w:sz="0" w:space="0" w:color="auto"/>
            <w:right w:val="none" w:sz="0" w:space="0" w:color="auto"/>
          </w:divBdr>
        </w:div>
        <w:div w:id="2024700488">
          <w:marLeft w:val="0"/>
          <w:marRight w:val="0"/>
          <w:marTop w:val="0"/>
          <w:marBottom w:val="0"/>
          <w:divBdr>
            <w:top w:val="none" w:sz="0" w:space="0" w:color="auto"/>
            <w:left w:val="none" w:sz="0" w:space="0" w:color="auto"/>
            <w:bottom w:val="none" w:sz="0" w:space="0" w:color="auto"/>
            <w:right w:val="none" w:sz="0" w:space="0" w:color="auto"/>
          </w:divBdr>
        </w:div>
        <w:div w:id="2024700489">
          <w:marLeft w:val="0"/>
          <w:marRight w:val="0"/>
          <w:marTop w:val="0"/>
          <w:marBottom w:val="0"/>
          <w:divBdr>
            <w:top w:val="none" w:sz="0" w:space="0" w:color="auto"/>
            <w:left w:val="none" w:sz="0" w:space="0" w:color="auto"/>
            <w:bottom w:val="none" w:sz="0" w:space="0" w:color="auto"/>
            <w:right w:val="none" w:sz="0" w:space="0" w:color="auto"/>
          </w:divBdr>
        </w:div>
        <w:div w:id="2024700490">
          <w:marLeft w:val="0"/>
          <w:marRight w:val="0"/>
          <w:marTop w:val="0"/>
          <w:marBottom w:val="0"/>
          <w:divBdr>
            <w:top w:val="none" w:sz="0" w:space="0" w:color="auto"/>
            <w:left w:val="none" w:sz="0" w:space="0" w:color="auto"/>
            <w:bottom w:val="none" w:sz="0" w:space="0" w:color="auto"/>
            <w:right w:val="none" w:sz="0" w:space="0" w:color="auto"/>
          </w:divBdr>
        </w:div>
        <w:div w:id="2024700491">
          <w:marLeft w:val="0"/>
          <w:marRight w:val="0"/>
          <w:marTop w:val="0"/>
          <w:marBottom w:val="0"/>
          <w:divBdr>
            <w:top w:val="none" w:sz="0" w:space="0" w:color="auto"/>
            <w:left w:val="none" w:sz="0" w:space="0" w:color="auto"/>
            <w:bottom w:val="none" w:sz="0" w:space="0" w:color="auto"/>
            <w:right w:val="none" w:sz="0" w:space="0" w:color="auto"/>
          </w:divBdr>
        </w:div>
        <w:div w:id="2024700492">
          <w:marLeft w:val="0"/>
          <w:marRight w:val="0"/>
          <w:marTop w:val="0"/>
          <w:marBottom w:val="0"/>
          <w:divBdr>
            <w:top w:val="none" w:sz="0" w:space="0" w:color="auto"/>
            <w:left w:val="none" w:sz="0" w:space="0" w:color="auto"/>
            <w:bottom w:val="none" w:sz="0" w:space="0" w:color="auto"/>
            <w:right w:val="none" w:sz="0" w:space="0" w:color="auto"/>
          </w:divBdr>
        </w:div>
        <w:div w:id="2024700494">
          <w:marLeft w:val="0"/>
          <w:marRight w:val="0"/>
          <w:marTop w:val="0"/>
          <w:marBottom w:val="0"/>
          <w:divBdr>
            <w:top w:val="none" w:sz="0" w:space="0" w:color="auto"/>
            <w:left w:val="none" w:sz="0" w:space="0" w:color="auto"/>
            <w:bottom w:val="none" w:sz="0" w:space="0" w:color="auto"/>
            <w:right w:val="none" w:sz="0" w:space="0" w:color="auto"/>
          </w:divBdr>
        </w:div>
        <w:div w:id="2024700495">
          <w:marLeft w:val="0"/>
          <w:marRight w:val="0"/>
          <w:marTop w:val="0"/>
          <w:marBottom w:val="0"/>
          <w:divBdr>
            <w:top w:val="none" w:sz="0" w:space="0" w:color="auto"/>
            <w:left w:val="none" w:sz="0" w:space="0" w:color="auto"/>
            <w:bottom w:val="none" w:sz="0" w:space="0" w:color="auto"/>
            <w:right w:val="none" w:sz="0" w:space="0" w:color="auto"/>
          </w:divBdr>
        </w:div>
        <w:div w:id="2024700496">
          <w:marLeft w:val="0"/>
          <w:marRight w:val="0"/>
          <w:marTop w:val="0"/>
          <w:marBottom w:val="0"/>
          <w:divBdr>
            <w:top w:val="none" w:sz="0" w:space="0" w:color="auto"/>
            <w:left w:val="none" w:sz="0" w:space="0" w:color="auto"/>
            <w:bottom w:val="none" w:sz="0" w:space="0" w:color="auto"/>
            <w:right w:val="none" w:sz="0" w:space="0" w:color="auto"/>
          </w:divBdr>
        </w:div>
        <w:div w:id="2024700497">
          <w:marLeft w:val="0"/>
          <w:marRight w:val="0"/>
          <w:marTop w:val="0"/>
          <w:marBottom w:val="0"/>
          <w:divBdr>
            <w:top w:val="none" w:sz="0" w:space="0" w:color="auto"/>
            <w:left w:val="none" w:sz="0" w:space="0" w:color="auto"/>
            <w:bottom w:val="none" w:sz="0" w:space="0" w:color="auto"/>
            <w:right w:val="none" w:sz="0" w:space="0" w:color="auto"/>
          </w:divBdr>
        </w:div>
        <w:div w:id="2024700498">
          <w:marLeft w:val="0"/>
          <w:marRight w:val="0"/>
          <w:marTop w:val="0"/>
          <w:marBottom w:val="0"/>
          <w:divBdr>
            <w:top w:val="none" w:sz="0" w:space="0" w:color="auto"/>
            <w:left w:val="none" w:sz="0" w:space="0" w:color="auto"/>
            <w:bottom w:val="none" w:sz="0" w:space="0" w:color="auto"/>
            <w:right w:val="none" w:sz="0" w:space="0" w:color="auto"/>
          </w:divBdr>
        </w:div>
        <w:div w:id="2024700499">
          <w:marLeft w:val="0"/>
          <w:marRight w:val="0"/>
          <w:marTop w:val="0"/>
          <w:marBottom w:val="0"/>
          <w:divBdr>
            <w:top w:val="none" w:sz="0" w:space="0" w:color="auto"/>
            <w:left w:val="none" w:sz="0" w:space="0" w:color="auto"/>
            <w:bottom w:val="none" w:sz="0" w:space="0" w:color="auto"/>
            <w:right w:val="none" w:sz="0" w:space="0" w:color="auto"/>
          </w:divBdr>
        </w:div>
        <w:div w:id="2024700500">
          <w:marLeft w:val="0"/>
          <w:marRight w:val="0"/>
          <w:marTop w:val="0"/>
          <w:marBottom w:val="0"/>
          <w:divBdr>
            <w:top w:val="none" w:sz="0" w:space="0" w:color="auto"/>
            <w:left w:val="none" w:sz="0" w:space="0" w:color="auto"/>
            <w:bottom w:val="none" w:sz="0" w:space="0" w:color="auto"/>
            <w:right w:val="none" w:sz="0" w:space="0" w:color="auto"/>
          </w:divBdr>
        </w:div>
        <w:div w:id="2024700502">
          <w:marLeft w:val="0"/>
          <w:marRight w:val="0"/>
          <w:marTop w:val="0"/>
          <w:marBottom w:val="0"/>
          <w:divBdr>
            <w:top w:val="none" w:sz="0" w:space="0" w:color="auto"/>
            <w:left w:val="none" w:sz="0" w:space="0" w:color="auto"/>
            <w:bottom w:val="none" w:sz="0" w:space="0" w:color="auto"/>
            <w:right w:val="none" w:sz="0" w:space="0" w:color="auto"/>
          </w:divBdr>
        </w:div>
        <w:div w:id="2024700503">
          <w:marLeft w:val="0"/>
          <w:marRight w:val="0"/>
          <w:marTop w:val="0"/>
          <w:marBottom w:val="0"/>
          <w:divBdr>
            <w:top w:val="none" w:sz="0" w:space="0" w:color="auto"/>
            <w:left w:val="none" w:sz="0" w:space="0" w:color="auto"/>
            <w:bottom w:val="none" w:sz="0" w:space="0" w:color="auto"/>
            <w:right w:val="none" w:sz="0" w:space="0" w:color="auto"/>
          </w:divBdr>
        </w:div>
        <w:div w:id="2024700504">
          <w:marLeft w:val="0"/>
          <w:marRight w:val="0"/>
          <w:marTop w:val="0"/>
          <w:marBottom w:val="0"/>
          <w:divBdr>
            <w:top w:val="none" w:sz="0" w:space="0" w:color="auto"/>
            <w:left w:val="none" w:sz="0" w:space="0" w:color="auto"/>
            <w:bottom w:val="none" w:sz="0" w:space="0" w:color="auto"/>
            <w:right w:val="none" w:sz="0" w:space="0" w:color="auto"/>
          </w:divBdr>
        </w:div>
        <w:div w:id="2024700505">
          <w:marLeft w:val="0"/>
          <w:marRight w:val="0"/>
          <w:marTop w:val="0"/>
          <w:marBottom w:val="0"/>
          <w:divBdr>
            <w:top w:val="none" w:sz="0" w:space="0" w:color="auto"/>
            <w:left w:val="none" w:sz="0" w:space="0" w:color="auto"/>
            <w:bottom w:val="none" w:sz="0" w:space="0" w:color="auto"/>
            <w:right w:val="none" w:sz="0" w:space="0" w:color="auto"/>
          </w:divBdr>
        </w:div>
        <w:div w:id="2024700506">
          <w:marLeft w:val="0"/>
          <w:marRight w:val="0"/>
          <w:marTop w:val="0"/>
          <w:marBottom w:val="0"/>
          <w:divBdr>
            <w:top w:val="none" w:sz="0" w:space="0" w:color="auto"/>
            <w:left w:val="none" w:sz="0" w:space="0" w:color="auto"/>
            <w:bottom w:val="none" w:sz="0" w:space="0" w:color="auto"/>
            <w:right w:val="none" w:sz="0" w:space="0" w:color="auto"/>
          </w:divBdr>
        </w:div>
        <w:div w:id="2024700508">
          <w:marLeft w:val="0"/>
          <w:marRight w:val="0"/>
          <w:marTop w:val="0"/>
          <w:marBottom w:val="0"/>
          <w:divBdr>
            <w:top w:val="none" w:sz="0" w:space="0" w:color="auto"/>
            <w:left w:val="none" w:sz="0" w:space="0" w:color="auto"/>
            <w:bottom w:val="none" w:sz="0" w:space="0" w:color="auto"/>
            <w:right w:val="none" w:sz="0" w:space="0" w:color="auto"/>
          </w:divBdr>
        </w:div>
        <w:div w:id="2024700509">
          <w:marLeft w:val="0"/>
          <w:marRight w:val="0"/>
          <w:marTop w:val="0"/>
          <w:marBottom w:val="0"/>
          <w:divBdr>
            <w:top w:val="none" w:sz="0" w:space="0" w:color="auto"/>
            <w:left w:val="none" w:sz="0" w:space="0" w:color="auto"/>
            <w:bottom w:val="none" w:sz="0" w:space="0" w:color="auto"/>
            <w:right w:val="none" w:sz="0" w:space="0" w:color="auto"/>
          </w:divBdr>
        </w:div>
        <w:div w:id="2024700510">
          <w:marLeft w:val="0"/>
          <w:marRight w:val="0"/>
          <w:marTop w:val="0"/>
          <w:marBottom w:val="0"/>
          <w:divBdr>
            <w:top w:val="none" w:sz="0" w:space="0" w:color="auto"/>
            <w:left w:val="none" w:sz="0" w:space="0" w:color="auto"/>
            <w:bottom w:val="none" w:sz="0" w:space="0" w:color="auto"/>
            <w:right w:val="none" w:sz="0" w:space="0" w:color="auto"/>
          </w:divBdr>
        </w:div>
        <w:div w:id="2024700511">
          <w:marLeft w:val="0"/>
          <w:marRight w:val="0"/>
          <w:marTop w:val="0"/>
          <w:marBottom w:val="0"/>
          <w:divBdr>
            <w:top w:val="none" w:sz="0" w:space="0" w:color="auto"/>
            <w:left w:val="none" w:sz="0" w:space="0" w:color="auto"/>
            <w:bottom w:val="none" w:sz="0" w:space="0" w:color="auto"/>
            <w:right w:val="none" w:sz="0" w:space="0" w:color="auto"/>
          </w:divBdr>
        </w:div>
        <w:div w:id="2024700512">
          <w:marLeft w:val="0"/>
          <w:marRight w:val="0"/>
          <w:marTop w:val="0"/>
          <w:marBottom w:val="0"/>
          <w:divBdr>
            <w:top w:val="none" w:sz="0" w:space="0" w:color="auto"/>
            <w:left w:val="none" w:sz="0" w:space="0" w:color="auto"/>
            <w:bottom w:val="none" w:sz="0" w:space="0" w:color="auto"/>
            <w:right w:val="none" w:sz="0" w:space="0" w:color="auto"/>
          </w:divBdr>
        </w:div>
        <w:div w:id="2024700513">
          <w:marLeft w:val="0"/>
          <w:marRight w:val="0"/>
          <w:marTop w:val="0"/>
          <w:marBottom w:val="0"/>
          <w:divBdr>
            <w:top w:val="none" w:sz="0" w:space="0" w:color="auto"/>
            <w:left w:val="none" w:sz="0" w:space="0" w:color="auto"/>
            <w:bottom w:val="none" w:sz="0" w:space="0" w:color="auto"/>
            <w:right w:val="none" w:sz="0" w:space="0" w:color="auto"/>
          </w:divBdr>
        </w:div>
        <w:div w:id="2024700514">
          <w:marLeft w:val="0"/>
          <w:marRight w:val="0"/>
          <w:marTop w:val="0"/>
          <w:marBottom w:val="0"/>
          <w:divBdr>
            <w:top w:val="none" w:sz="0" w:space="0" w:color="auto"/>
            <w:left w:val="none" w:sz="0" w:space="0" w:color="auto"/>
            <w:bottom w:val="none" w:sz="0" w:space="0" w:color="auto"/>
            <w:right w:val="none" w:sz="0" w:space="0" w:color="auto"/>
          </w:divBdr>
        </w:div>
        <w:div w:id="2024700515">
          <w:marLeft w:val="0"/>
          <w:marRight w:val="0"/>
          <w:marTop w:val="0"/>
          <w:marBottom w:val="0"/>
          <w:divBdr>
            <w:top w:val="none" w:sz="0" w:space="0" w:color="auto"/>
            <w:left w:val="none" w:sz="0" w:space="0" w:color="auto"/>
            <w:bottom w:val="none" w:sz="0" w:space="0" w:color="auto"/>
            <w:right w:val="none" w:sz="0" w:space="0" w:color="auto"/>
          </w:divBdr>
        </w:div>
        <w:div w:id="2024700516">
          <w:marLeft w:val="0"/>
          <w:marRight w:val="0"/>
          <w:marTop w:val="0"/>
          <w:marBottom w:val="0"/>
          <w:divBdr>
            <w:top w:val="none" w:sz="0" w:space="0" w:color="auto"/>
            <w:left w:val="none" w:sz="0" w:space="0" w:color="auto"/>
            <w:bottom w:val="none" w:sz="0" w:space="0" w:color="auto"/>
            <w:right w:val="none" w:sz="0" w:space="0" w:color="auto"/>
          </w:divBdr>
        </w:div>
        <w:div w:id="2024700517">
          <w:marLeft w:val="0"/>
          <w:marRight w:val="0"/>
          <w:marTop w:val="0"/>
          <w:marBottom w:val="0"/>
          <w:divBdr>
            <w:top w:val="none" w:sz="0" w:space="0" w:color="auto"/>
            <w:left w:val="none" w:sz="0" w:space="0" w:color="auto"/>
            <w:bottom w:val="none" w:sz="0" w:space="0" w:color="auto"/>
            <w:right w:val="none" w:sz="0" w:space="0" w:color="auto"/>
          </w:divBdr>
        </w:div>
        <w:div w:id="2024700518">
          <w:marLeft w:val="0"/>
          <w:marRight w:val="0"/>
          <w:marTop w:val="0"/>
          <w:marBottom w:val="0"/>
          <w:divBdr>
            <w:top w:val="none" w:sz="0" w:space="0" w:color="auto"/>
            <w:left w:val="none" w:sz="0" w:space="0" w:color="auto"/>
            <w:bottom w:val="none" w:sz="0" w:space="0" w:color="auto"/>
            <w:right w:val="none" w:sz="0" w:space="0" w:color="auto"/>
          </w:divBdr>
        </w:div>
        <w:div w:id="2024700519">
          <w:marLeft w:val="0"/>
          <w:marRight w:val="0"/>
          <w:marTop w:val="0"/>
          <w:marBottom w:val="0"/>
          <w:divBdr>
            <w:top w:val="none" w:sz="0" w:space="0" w:color="auto"/>
            <w:left w:val="none" w:sz="0" w:space="0" w:color="auto"/>
            <w:bottom w:val="none" w:sz="0" w:space="0" w:color="auto"/>
            <w:right w:val="none" w:sz="0" w:space="0" w:color="auto"/>
          </w:divBdr>
        </w:div>
        <w:div w:id="2024700520">
          <w:marLeft w:val="0"/>
          <w:marRight w:val="0"/>
          <w:marTop w:val="0"/>
          <w:marBottom w:val="0"/>
          <w:divBdr>
            <w:top w:val="none" w:sz="0" w:space="0" w:color="auto"/>
            <w:left w:val="none" w:sz="0" w:space="0" w:color="auto"/>
            <w:bottom w:val="none" w:sz="0" w:space="0" w:color="auto"/>
            <w:right w:val="none" w:sz="0" w:space="0" w:color="auto"/>
          </w:divBdr>
        </w:div>
        <w:div w:id="2024700521">
          <w:marLeft w:val="0"/>
          <w:marRight w:val="0"/>
          <w:marTop w:val="0"/>
          <w:marBottom w:val="0"/>
          <w:divBdr>
            <w:top w:val="none" w:sz="0" w:space="0" w:color="auto"/>
            <w:left w:val="none" w:sz="0" w:space="0" w:color="auto"/>
            <w:bottom w:val="none" w:sz="0" w:space="0" w:color="auto"/>
            <w:right w:val="none" w:sz="0" w:space="0" w:color="auto"/>
          </w:divBdr>
        </w:div>
        <w:div w:id="2024700522">
          <w:marLeft w:val="0"/>
          <w:marRight w:val="0"/>
          <w:marTop w:val="0"/>
          <w:marBottom w:val="0"/>
          <w:divBdr>
            <w:top w:val="none" w:sz="0" w:space="0" w:color="auto"/>
            <w:left w:val="none" w:sz="0" w:space="0" w:color="auto"/>
            <w:bottom w:val="none" w:sz="0" w:space="0" w:color="auto"/>
            <w:right w:val="none" w:sz="0" w:space="0" w:color="auto"/>
          </w:divBdr>
        </w:div>
        <w:div w:id="2024700523">
          <w:marLeft w:val="0"/>
          <w:marRight w:val="0"/>
          <w:marTop w:val="0"/>
          <w:marBottom w:val="0"/>
          <w:divBdr>
            <w:top w:val="none" w:sz="0" w:space="0" w:color="auto"/>
            <w:left w:val="none" w:sz="0" w:space="0" w:color="auto"/>
            <w:bottom w:val="none" w:sz="0" w:space="0" w:color="auto"/>
            <w:right w:val="none" w:sz="0" w:space="0" w:color="auto"/>
          </w:divBdr>
        </w:div>
        <w:div w:id="2024700524">
          <w:marLeft w:val="0"/>
          <w:marRight w:val="0"/>
          <w:marTop w:val="0"/>
          <w:marBottom w:val="0"/>
          <w:divBdr>
            <w:top w:val="none" w:sz="0" w:space="0" w:color="auto"/>
            <w:left w:val="none" w:sz="0" w:space="0" w:color="auto"/>
            <w:bottom w:val="none" w:sz="0" w:space="0" w:color="auto"/>
            <w:right w:val="none" w:sz="0" w:space="0" w:color="auto"/>
          </w:divBdr>
        </w:div>
        <w:div w:id="2024700525">
          <w:marLeft w:val="0"/>
          <w:marRight w:val="0"/>
          <w:marTop w:val="0"/>
          <w:marBottom w:val="0"/>
          <w:divBdr>
            <w:top w:val="none" w:sz="0" w:space="0" w:color="auto"/>
            <w:left w:val="none" w:sz="0" w:space="0" w:color="auto"/>
            <w:bottom w:val="none" w:sz="0" w:space="0" w:color="auto"/>
            <w:right w:val="none" w:sz="0" w:space="0" w:color="auto"/>
          </w:divBdr>
        </w:div>
        <w:div w:id="2024700526">
          <w:marLeft w:val="0"/>
          <w:marRight w:val="0"/>
          <w:marTop w:val="0"/>
          <w:marBottom w:val="0"/>
          <w:divBdr>
            <w:top w:val="none" w:sz="0" w:space="0" w:color="auto"/>
            <w:left w:val="none" w:sz="0" w:space="0" w:color="auto"/>
            <w:bottom w:val="none" w:sz="0" w:space="0" w:color="auto"/>
            <w:right w:val="none" w:sz="0" w:space="0" w:color="auto"/>
          </w:divBdr>
        </w:div>
        <w:div w:id="2024700527">
          <w:marLeft w:val="0"/>
          <w:marRight w:val="0"/>
          <w:marTop w:val="0"/>
          <w:marBottom w:val="0"/>
          <w:divBdr>
            <w:top w:val="none" w:sz="0" w:space="0" w:color="auto"/>
            <w:left w:val="none" w:sz="0" w:space="0" w:color="auto"/>
            <w:bottom w:val="none" w:sz="0" w:space="0" w:color="auto"/>
            <w:right w:val="none" w:sz="0" w:space="0" w:color="auto"/>
          </w:divBdr>
        </w:div>
        <w:div w:id="2024700528">
          <w:marLeft w:val="0"/>
          <w:marRight w:val="0"/>
          <w:marTop w:val="0"/>
          <w:marBottom w:val="0"/>
          <w:divBdr>
            <w:top w:val="none" w:sz="0" w:space="0" w:color="auto"/>
            <w:left w:val="none" w:sz="0" w:space="0" w:color="auto"/>
            <w:bottom w:val="none" w:sz="0" w:space="0" w:color="auto"/>
            <w:right w:val="none" w:sz="0" w:space="0" w:color="auto"/>
          </w:divBdr>
        </w:div>
        <w:div w:id="2024700529">
          <w:marLeft w:val="0"/>
          <w:marRight w:val="0"/>
          <w:marTop w:val="0"/>
          <w:marBottom w:val="0"/>
          <w:divBdr>
            <w:top w:val="none" w:sz="0" w:space="0" w:color="auto"/>
            <w:left w:val="none" w:sz="0" w:space="0" w:color="auto"/>
            <w:bottom w:val="none" w:sz="0" w:space="0" w:color="auto"/>
            <w:right w:val="none" w:sz="0" w:space="0" w:color="auto"/>
          </w:divBdr>
        </w:div>
        <w:div w:id="2024700530">
          <w:marLeft w:val="0"/>
          <w:marRight w:val="0"/>
          <w:marTop w:val="0"/>
          <w:marBottom w:val="0"/>
          <w:divBdr>
            <w:top w:val="none" w:sz="0" w:space="0" w:color="auto"/>
            <w:left w:val="none" w:sz="0" w:space="0" w:color="auto"/>
            <w:bottom w:val="none" w:sz="0" w:space="0" w:color="auto"/>
            <w:right w:val="none" w:sz="0" w:space="0" w:color="auto"/>
          </w:divBdr>
        </w:div>
        <w:div w:id="2024700531">
          <w:marLeft w:val="0"/>
          <w:marRight w:val="0"/>
          <w:marTop w:val="0"/>
          <w:marBottom w:val="0"/>
          <w:divBdr>
            <w:top w:val="none" w:sz="0" w:space="0" w:color="auto"/>
            <w:left w:val="none" w:sz="0" w:space="0" w:color="auto"/>
            <w:bottom w:val="none" w:sz="0" w:space="0" w:color="auto"/>
            <w:right w:val="none" w:sz="0" w:space="0" w:color="auto"/>
          </w:divBdr>
        </w:div>
        <w:div w:id="2024700532">
          <w:marLeft w:val="0"/>
          <w:marRight w:val="0"/>
          <w:marTop w:val="0"/>
          <w:marBottom w:val="0"/>
          <w:divBdr>
            <w:top w:val="none" w:sz="0" w:space="0" w:color="auto"/>
            <w:left w:val="none" w:sz="0" w:space="0" w:color="auto"/>
            <w:bottom w:val="none" w:sz="0" w:space="0" w:color="auto"/>
            <w:right w:val="none" w:sz="0" w:space="0" w:color="auto"/>
          </w:divBdr>
        </w:div>
        <w:div w:id="2024700533">
          <w:marLeft w:val="0"/>
          <w:marRight w:val="0"/>
          <w:marTop w:val="0"/>
          <w:marBottom w:val="0"/>
          <w:divBdr>
            <w:top w:val="none" w:sz="0" w:space="0" w:color="auto"/>
            <w:left w:val="none" w:sz="0" w:space="0" w:color="auto"/>
            <w:bottom w:val="none" w:sz="0" w:space="0" w:color="auto"/>
            <w:right w:val="none" w:sz="0" w:space="0" w:color="auto"/>
          </w:divBdr>
        </w:div>
        <w:div w:id="2024700534">
          <w:marLeft w:val="0"/>
          <w:marRight w:val="0"/>
          <w:marTop w:val="0"/>
          <w:marBottom w:val="0"/>
          <w:divBdr>
            <w:top w:val="none" w:sz="0" w:space="0" w:color="auto"/>
            <w:left w:val="none" w:sz="0" w:space="0" w:color="auto"/>
            <w:bottom w:val="none" w:sz="0" w:space="0" w:color="auto"/>
            <w:right w:val="none" w:sz="0" w:space="0" w:color="auto"/>
          </w:divBdr>
        </w:div>
        <w:div w:id="2024700535">
          <w:marLeft w:val="0"/>
          <w:marRight w:val="0"/>
          <w:marTop w:val="0"/>
          <w:marBottom w:val="0"/>
          <w:divBdr>
            <w:top w:val="none" w:sz="0" w:space="0" w:color="auto"/>
            <w:left w:val="none" w:sz="0" w:space="0" w:color="auto"/>
            <w:bottom w:val="none" w:sz="0" w:space="0" w:color="auto"/>
            <w:right w:val="none" w:sz="0" w:space="0" w:color="auto"/>
          </w:divBdr>
        </w:div>
        <w:div w:id="2024700536">
          <w:marLeft w:val="0"/>
          <w:marRight w:val="0"/>
          <w:marTop w:val="0"/>
          <w:marBottom w:val="0"/>
          <w:divBdr>
            <w:top w:val="none" w:sz="0" w:space="0" w:color="auto"/>
            <w:left w:val="none" w:sz="0" w:space="0" w:color="auto"/>
            <w:bottom w:val="none" w:sz="0" w:space="0" w:color="auto"/>
            <w:right w:val="none" w:sz="0" w:space="0" w:color="auto"/>
          </w:divBdr>
        </w:div>
        <w:div w:id="2024700537">
          <w:marLeft w:val="0"/>
          <w:marRight w:val="0"/>
          <w:marTop w:val="0"/>
          <w:marBottom w:val="0"/>
          <w:divBdr>
            <w:top w:val="none" w:sz="0" w:space="0" w:color="auto"/>
            <w:left w:val="none" w:sz="0" w:space="0" w:color="auto"/>
            <w:bottom w:val="none" w:sz="0" w:space="0" w:color="auto"/>
            <w:right w:val="none" w:sz="0" w:space="0" w:color="auto"/>
          </w:divBdr>
        </w:div>
        <w:div w:id="2024700538">
          <w:marLeft w:val="0"/>
          <w:marRight w:val="0"/>
          <w:marTop w:val="0"/>
          <w:marBottom w:val="0"/>
          <w:divBdr>
            <w:top w:val="none" w:sz="0" w:space="0" w:color="auto"/>
            <w:left w:val="none" w:sz="0" w:space="0" w:color="auto"/>
            <w:bottom w:val="none" w:sz="0" w:space="0" w:color="auto"/>
            <w:right w:val="none" w:sz="0" w:space="0" w:color="auto"/>
          </w:divBdr>
        </w:div>
        <w:div w:id="2024700540">
          <w:marLeft w:val="0"/>
          <w:marRight w:val="0"/>
          <w:marTop w:val="0"/>
          <w:marBottom w:val="0"/>
          <w:divBdr>
            <w:top w:val="none" w:sz="0" w:space="0" w:color="auto"/>
            <w:left w:val="none" w:sz="0" w:space="0" w:color="auto"/>
            <w:bottom w:val="none" w:sz="0" w:space="0" w:color="auto"/>
            <w:right w:val="none" w:sz="0" w:space="0" w:color="auto"/>
          </w:divBdr>
        </w:div>
        <w:div w:id="2024700541">
          <w:marLeft w:val="0"/>
          <w:marRight w:val="0"/>
          <w:marTop w:val="0"/>
          <w:marBottom w:val="0"/>
          <w:divBdr>
            <w:top w:val="none" w:sz="0" w:space="0" w:color="auto"/>
            <w:left w:val="none" w:sz="0" w:space="0" w:color="auto"/>
            <w:bottom w:val="none" w:sz="0" w:space="0" w:color="auto"/>
            <w:right w:val="none" w:sz="0" w:space="0" w:color="auto"/>
          </w:divBdr>
        </w:div>
        <w:div w:id="2024700542">
          <w:marLeft w:val="0"/>
          <w:marRight w:val="0"/>
          <w:marTop w:val="0"/>
          <w:marBottom w:val="0"/>
          <w:divBdr>
            <w:top w:val="none" w:sz="0" w:space="0" w:color="auto"/>
            <w:left w:val="none" w:sz="0" w:space="0" w:color="auto"/>
            <w:bottom w:val="none" w:sz="0" w:space="0" w:color="auto"/>
            <w:right w:val="none" w:sz="0" w:space="0" w:color="auto"/>
          </w:divBdr>
        </w:div>
        <w:div w:id="2024700543">
          <w:marLeft w:val="0"/>
          <w:marRight w:val="0"/>
          <w:marTop w:val="0"/>
          <w:marBottom w:val="0"/>
          <w:divBdr>
            <w:top w:val="none" w:sz="0" w:space="0" w:color="auto"/>
            <w:left w:val="none" w:sz="0" w:space="0" w:color="auto"/>
            <w:bottom w:val="none" w:sz="0" w:space="0" w:color="auto"/>
            <w:right w:val="none" w:sz="0" w:space="0" w:color="auto"/>
          </w:divBdr>
        </w:div>
        <w:div w:id="2024700544">
          <w:marLeft w:val="0"/>
          <w:marRight w:val="0"/>
          <w:marTop w:val="0"/>
          <w:marBottom w:val="0"/>
          <w:divBdr>
            <w:top w:val="none" w:sz="0" w:space="0" w:color="auto"/>
            <w:left w:val="none" w:sz="0" w:space="0" w:color="auto"/>
            <w:bottom w:val="none" w:sz="0" w:space="0" w:color="auto"/>
            <w:right w:val="none" w:sz="0" w:space="0" w:color="auto"/>
          </w:divBdr>
        </w:div>
        <w:div w:id="2024700545">
          <w:marLeft w:val="0"/>
          <w:marRight w:val="0"/>
          <w:marTop w:val="0"/>
          <w:marBottom w:val="0"/>
          <w:divBdr>
            <w:top w:val="none" w:sz="0" w:space="0" w:color="auto"/>
            <w:left w:val="none" w:sz="0" w:space="0" w:color="auto"/>
            <w:bottom w:val="none" w:sz="0" w:space="0" w:color="auto"/>
            <w:right w:val="none" w:sz="0" w:space="0" w:color="auto"/>
          </w:divBdr>
        </w:div>
        <w:div w:id="2024700546">
          <w:marLeft w:val="0"/>
          <w:marRight w:val="0"/>
          <w:marTop w:val="0"/>
          <w:marBottom w:val="0"/>
          <w:divBdr>
            <w:top w:val="none" w:sz="0" w:space="0" w:color="auto"/>
            <w:left w:val="none" w:sz="0" w:space="0" w:color="auto"/>
            <w:bottom w:val="none" w:sz="0" w:space="0" w:color="auto"/>
            <w:right w:val="none" w:sz="0" w:space="0" w:color="auto"/>
          </w:divBdr>
        </w:div>
        <w:div w:id="2024700547">
          <w:marLeft w:val="0"/>
          <w:marRight w:val="0"/>
          <w:marTop w:val="0"/>
          <w:marBottom w:val="0"/>
          <w:divBdr>
            <w:top w:val="none" w:sz="0" w:space="0" w:color="auto"/>
            <w:left w:val="none" w:sz="0" w:space="0" w:color="auto"/>
            <w:bottom w:val="none" w:sz="0" w:space="0" w:color="auto"/>
            <w:right w:val="none" w:sz="0" w:space="0" w:color="auto"/>
          </w:divBdr>
        </w:div>
        <w:div w:id="2024700548">
          <w:marLeft w:val="0"/>
          <w:marRight w:val="0"/>
          <w:marTop w:val="0"/>
          <w:marBottom w:val="0"/>
          <w:divBdr>
            <w:top w:val="none" w:sz="0" w:space="0" w:color="auto"/>
            <w:left w:val="none" w:sz="0" w:space="0" w:color="auto"/>
            <w:bottom w:val="none" w:sz="0" w:space="0" w:color="auto"/>
            <w:right w:val="none" w:sz="0" w:space="0" w:color="auto"/>
          </w:divBdr>
        </w:div>
        <w:div w:id="2024700549">
          <w:marLeft w:val="0"/>
          <w:marRight w:val="0"/>
          <w:marTop w:val="0"/>
          <w:marBottom w:val="0"/>
          <w:divBdr>
            <w:top w:val="none" w:sz="0" w:space="0" w:color="auto"/>
            <w:left w:val="none" w:sz="0" w:space="0" w:color="auto"/>
            <w:bottom w:val="none" w:sz="0" w:space="0" w:color="auto"/>
            <w:right w:val="none" w:sz="0" w:space="0" w:color="auto"/>
          </w:divBdr>
        </w:div>
        <w:div w:id="2024700550">
          <w:marLeft w:val="0"/>
          <w:marRight w:val="0"/>
          <w:marTop w:val="0"/>
          <w:marBottom w:val="0"/>
          <w:divBdr>
            <w:top w:val="none" w:sz="0" w:space="0" w:color="auto"/>
            <w:left w:val="none" w:sz="0" w:space="0" w:color="auto"/>
            <w:bottom w:val="none" w:sz="0" w:space="0" w:color="auto"/>
            <w:right w:val="none" w:sz="0" w:space="0" w:color="auto"/>
          </w:divBdr>
        </w:div>
        <w:div w:id="2024700551">
          <w:marLeft w:val="0"/>
          <w:marRight w:val="0"/>
          <w:marTop w:val="0"/>
          <w:marBottom w:val="0"/>
          <w:divBdr>
            <w:top w:val="none" w:sz="0" w:space="0" w:color="auto"/>
            <w:left w:val="none" w:sz="0" w:space="0" w:color="auto"/>
            <w:bottom w:val="none" w:sz="0" w:space="0" w:color="auto"/>
            <w:right w:val="none" w:sz="0" w:space="0" w:color="auto"/>
          </w:divBdr>
        </w:div>
        <w:div w:id="2024700552">
          <w:marLeft w:val="0"/>
          <w:marRight w:val="0"/>
          <w:marTop w:val="0"/>
          <w:marBottom w:val="0"/>
          <w:divBdr>
            <w:top w:val="none" w:sz="0" w:space="0" w:color="auto"/>
            <w:left w:val="none" w:sz="0" w:space="0" w:color="auto"/>
            <w:bottom w:val="none" w:sz="0" w:space="0" w:color="auto"/>
            <w:right w:val="none" w:sz="0" w:space="0" w:color="auto"/>
          </w:divBdr>
        </w:div>
        <w:div w:id="2024700553">
          <w:marLeft w:val="0"/>
          <w:marRight w:val="0"/>
          <w:marTop w:val="0"/>
          <w:marBottom w:val="0"/>
          <w:divBdr>
            <w:top w:val="none" w:sz="0" w:space="0" w:color="auto"/>
            <w:left w:val="none" w:sz="0" w:space="0" w:color="auto"/>
            <w:bottom w:val="none" w:sz="0" w:space="0" w:color="auto"/>
            <w:right w:val="none" w:sz="0" w:space="0" w:color="auto"/>
          </w:divBdr>
        </w:div>
        <w:div w:id="2024700556">
          <w:marLeft w:val="0"/>
          <w:marRight w:val="0"/>
          <w:marTop w:val="0"/>
          <w:marBottom w:val="0"/>
          <w:divBdr>
            <w:top w:val="none" w:sz="0" w:space="0" w:color="auto"/>
            <w:left w:val="none" w:sz="0" w:space="0" w:color="auto"/>
            <w:bottom w:val="none" w:sz="0" w:space="0" w:color="auto"/>
            <w:right w:val="none" w:sz="0" w:space="0" w:color="auto"/>
          </w:divBdr>
        </w:div>
        <w:div w:id="2024700557">
          <w:marLeft w:val="0"/>
          <w:marRight w:val="0"/>
          <w:marTop w:val="0"/>
          <w:marBottom w:val="0"/>
          <w:divBdr>
            <w:top w:val="none" w:sz="0" w:space="0" w:color="auto"/>
            <w:left w:val="none" w:sz="0" w:space="0" w:color="auto"/>
            <w:bottom w:val="none" w:sz="0" w:space="0" w:color="auto"/>
            <w:right w:val="none" w:sz="0" w:space="0" w:color="auto"/>
          </w:divBdr>
        </w:div>
        <w:div w:id="2024700558">
          <w:marLeft w:val="0"/>
          <w:marRight w:val="0"/>
          <w:marTop w:val="0"/>
          <w:marBottom w:val="0"/>
          <w:divBdr>
            <w:top w:val="none" w:sz="0" w:space="0" w:color="auto"/>
            <w:left w:val="none" w:sz="0" w:space="0" w:color="auto"/>
            <w:bottom w:val="none" w:sz="0" w:space="0" w:color="auto"/>
            <w:right w:val="none" w:sz="0" w:space="0" w:color="auto"/>
          </w:divBdr>
        </w:div>
        <w:div w:id="2024700559">
          <w:marLeft w:val="0"/>
          <w:marRight w:val="0"/>
          <w:marTop w:val="0"/>
          <w:marBottom w:val="0"/>
          <w:divBdr>
            <w:top w:val="none" w:sz="0" w:space="0" w:color="auto"/>
            <w:left w:val="none" w:sz="0" w:space="0" w:color="auto"/>
            <w:bottom w:val="none" w:sz="0" w:space="0" w:color="auto"/>
            <w:right w:val="none" w:sz="0" w:space="0" w:color="auto"/>
          </w:divBdr>
        </w:div>
        <w:div w:id="2024700560">
          <w:marLeft w:val="0"/>
          <w:marRight w:val="0"/>
          <w:marTop w:val="0"/>
          <w:marBottom w:val="0"/>
          <w:divBdr>
            <w:top w:val="none" w:sz="0" w:space="0" w:color="auto"/>
            <w:left w:val="none" w:sz="0" w:space="0" w:color="auto"/>
            <w:bottom w:val="none" w:sz="0" w:space="0" w:color="auto"/>
            <w:right w:val="none" w:sz="0" w:space="0" w:color="auto"/>
          </w:divBdr>
        </w:div>
        <w:div w:id="2024700561">
          <w:marLeft w:val="0"/>
          <w:marRight w:val="0"/>
          <w:marTop w:val="0"/>
          <w:marBottom w:val="0"/>
          <w:divBdr>
            <w:top w:val="none" w:sz="0" w:space="0" w:color="auto"/>
            <w:left w:val="none" w:sz="0" w:space="0" w:color="auto"/>
            <w:bottom w:val="none" w:sz="0" w:space="0" w:color="auto"/>
            <w:right w:val="none" w:sz="0" w:space="0" w:color="auto"/>
          </w:divBdr>
        </w:div>
        <w:div w:id="2024700562">
          <w:marLeft w:val="0"/>
          <w:marRight w:val="0"/>
          <w:marTop w:val="0"/>
          <w:marBottom w:val="0"/>
          <w:divBdr>
            <w:top w:val="none" w:sz="0" w:space="0" w:color="auto"/>
            <w:left w:val="none" w:sz="0" w:space="0" w:color="auto"/>
            <w:bottom w:val="none" w:sz="0" w:space="0" w:color="auto"/>
            <w:right w:val="none" w:sz="0" w:space="0" w:color="auto"/>
          </w:divBdr>
        </w:div>
        <w:div w:id="2024700563">
          <w:marLeft w:val="0"/>
          <w:marRight w:val="0"/>
          <w:marTop w:val="0"/>
          <w:marBottom w:val="0"/>
          <w:divBdr>
            <w:top w:val="none" w:sz="0" w:space="0" w:color="auto"/>
            <w:left w:val="none" w:sz="0" w:space="0" w:color="auto"/>
            <w:bottom w:val="none" w:sz="0" w:space="0" w:color="auto"/>
            <w:right w:val="none" w:sz="0" w:space="0" w:color="auto"/>
          </w:divBdr>
        </w:div>
        <w:div w:id="2024700564">
          <w:marLeft w:val="0"/>
          <w:marRight w:val="0"/>
          <w:marTop w:val="0"/>
          <w:marBottom w:val="0"/>
          <w:divBdr>
            <w:top w:val="none" w:sz="0" w:space="0" w:color="auto"/>
            <w:left w:val="none" w:sz="0" w:space="0" w:color="auto"/>
            <w:bottom w:val="none" w:sz="0" w:space="0" w:color="auto"/>
            <w:right w:val="none" w:sz="0" w:space="0" w:color="auto"/>
          </w:divBdr>
        </w:div>
        <w:div w:id="2024700565">
          <w:marLeft w:val="0"/>
          <w:marRight w:val="0"/>
          <w:marTop w:val="0"/>
          <w:marBottom w:val="0"/>
          <w:divBdr>
            <w:top w:val="none" w:sz="0" w:space="0" w:color="auto"/>
            <w:left w:val="none" w:sz="0" w:space="0" w:color="auto"/>
            <w:bottom w:val="none" w:sz="0" w:space="0" w:color="auto"/>
            <w:right w:val="none" w:sz="0" w:space="0" w:color="auto"/>
          </w:divBdr>
        </w:div>
        <w:div w:id="2024700566">
          <w:marLeft w:val="0"/>
          <w:marRight w:val="0"/>
          <w:marTop w:val="0"/>
          <w:marBottom w:val="0"/>
          <w:divBdr>
            <w:top w:val="none" w:sz="0" w:space="0" w:color="auto"/>
            <w:left w:val="none" w:sz="0" w:space="0" w:color="auto"/>
            <w:bottom w:val="none" w:sz="0" w:space="0" w:color="auto"/>
            <w:right w:val="none" w:sz="0" w:space="0" w:color="auto"/>
          </w:divBdr>
        </w:div>
        <w:div w:id="2024700567">
          <w:marLeft w:val="0"/>
          <w:marRight w:val="0"/>
          <w:marTop w:val="0"/>
          <w:marBottom w:val="0"/>
          <w:divBdr>
            <w:top w:val="none" w:sz="0" w:space="0" w:color="auto"/>
            <w:left w:val="none" w:sz="0" w:space="0" w:color="auto"/>
            <w:bottom w:val="none" w:sz="0" w:space="0" w:color="auto"/>
            <w:right w:val="none" w:sz="0" w:space="0" w:color="auto"/>
          </w:divBdr>
        </w:div>
        <w:div w:id="2024700568">
          <w:marLeft w:val="0"/>
          <w:marRight w:val="0"/>
          <w:marTop w:val="0"/>
          <w:marBottom w:val="0"/>
          <w:divBdr>
            <w:top w:val="none" w:sz="0" w:space="0" w:color="auto"/>
            <w:left w:val="none" w:sz="0" w:space="0" w:color="auto"/>
            <w:bottom w:val="none" w:sz="0" w:space="0" w:color="auto"/>
            <w:right w:val="none" w:sz="0" w:space="0" w:color="auto"/>
          </w:divBdr>
        </w:div>
        <w:div w:id="2024700569">
          <w:marLeft w:val="0"/>
          <w:marRight w:val="0"/>
          <w:marTop w:val="0"/>
          <w:marBottom w:val="0"/>
          <w:divBdr>
            <w:top w:val="none" w:sz="0" w:space="0" w:color="auto"/>
            <w:left w:val="none" w:sz="0" w:space="0" w:color="auto"/>
            <w:bottom w:val="none" w:sz="0" w:space="0" w:color="auto"/>
            <w:right w:val="none" w:sz="0" w:space="0" w:color="auto"/>
          </w:divBdr>
        </w:div>
        <w:div w:id="2024700570">
          <w:marLeft w:val="0"/>
          <w:marRight w:val="0"/>
          <w:marTop w:val="0"/>
          <w:marBottom w:val="0"/>
          <w:divBdr>
            <w:top w:val="none" w:sz="0" w:space="0" w:color="auto"/>
            <w:left w:val="none" w:sz="0" w:space="0" w:color="auto"/>
            <w:bottom w:val="none" w:sz="0" w:space="0" w:color="auto"/>
            <w:right w:val="none" w:sz="0" w:space="0" w:color="auto"/>
          </w:divBdr>
        </w:div>
        <w:div w:id="2024700571">
          <w:marLeft w:val="0"/>
          <w:marRight w:val="0"/>
          <w:marTop w:val="0"/>
          <w:marBottom w:val="0"/>
          <w:divBdr>
            <w:top w:val="none" w:sz="0" w:space="0" w:color="auto"/>
            <w:left w:val="none" w:sz="0" w:space="0" w:color="auto"/>
            <w:bottom w:val="none" w:sz="0" w:space="0" w:color="auto"/>
            <w:right w:val="none" w:sz="0" w:space="0" w:color="auto"/>
          </w:divBdr>
        </w:div>
        <w:div w:id="2024700572">
          <w:marLeft w:val="0"/>
          <w:marRight w:val="0"/>
          <w:marTop w:val="0"/>
          <w:marBottom w:val="0"/>
          <w:divBdr>
            <w:top w:val="none" w:sz="0" w:space="0" w:color="auto"/>
            <w:left w:val="none" w:sz="0" w:space="0" w:color="auto"/>
            <w:bottom w:val="none" w:sz="0" w:space="0" w:color="auto"/>
            <w:right w:val="none" w:sz="0" w:space="0" w:color="auto"/>
          </w:divBdr>
        </w:div>
        <w:div w:id="2024700573">
          <w:marLeft w:val="0"/>
          <w:marRight w:val="0"/>
          <w:marTop w:val="0"/>
          <w:marBottom w:val="0"/>
          <w:divBdr>
            <w:top w:val="none" w:sz="0" w:space="0" w:color="auto"/>
            <w:left w:val="none" w:sz="0" w:space="0" w:color="auto"/>
            <w:bottom w:val="none" w:sz="0" w:space="0" w:color="auto"/>
            <w:right w:val="none" w:sz="0" w:space="0" w:color="auto"/>
          </w:divBdr>
        </w:div>
        <w:div w:id="2024700574">
          <w:marLeft w:val="0"/>
          <w:marRight w:val="0"/>
          <w:marTop w:val="0"/>
          <w:marBottom w:val="0"/>
          <w:divBdr>
            <w:top w:val="none" w:sz="0" w:space="0" w:color="auto"/>
            <w:left w:val="none" w:sz="0" w:space="0" w:color="auto"/>
            <w:bottom w:val="none" w:sz="0" w:space="0" w:color="auto"/>
            <w:right w:val="none" w:sz="0" w:space="0" w:color="auto"/>
          </w:divBdr>
        </w:div>
        <w:div w:id="2024700575">
          <w:marLeft w:val="0"/>
          <w:marRight w:val="0"/>
          <w:marTop w:val="0"/>
          <w:marBottom w:val="0"/>
          <w:divBdr>
            <w:top w:val="none" w:sz="0" w:space="0" w:color="auto"/>
            <w:left w:val="none" w:sz="0" w:space="0" w:color="auto"/>
            <w:bottom w:val="none" w:sz="0" w:space="0" w:color="auto"/>
            <w:right w:val="none" w:sz="0" w:space="0" w:color="auto"/>
          </w:divBdr>
        </w:div>
        <w:div w:id="2024700576">
          <w:marLeft w:val="0"/>
          <w:marRight w:val="0"/>
          <w:marTop w:val="0"/>
          <w:marBottom w:val="0"/>
          <w:divBdr>
            <w:top w:val="none" w:sz="0" w:space="0" w:color="auto"/>
            <w:left w:val="none" w:sz="0" w:space="0" w:color="auto"/>
            <w:bottom w:val="none" w:sz="0" w:space="0" w:color="auto"/>
            <w:right w:val="none" w:sz="0" w:space="0" w:color="auto"/>
          </w:divBdr>
        </w:div>
        <w:div w:id="2024700577">
          <w:marLeft w:val="0"/>
          <w:marRight w:val="0"/>
          <w:marTop w:val="0"/>
          <w:marBottom w:val="0"/>
          <w:divBdr>
            <w:top w:val="none" w:sz="0" w:space="0" w:color="auto"/>
            <w:left w:val="none" w:sz="0" w:space="0" w:color="auto"/>
            <w:bottom w:val="none" w:sz="0" w:space="0" w:color="auto"/>
            <w:right w:val="none" w:sz="0" w:space="0" w:color="auto"/>
          </w:divBdr>
        </w:div>
        <w:div w:id="2024700578">
          <w:marLeft w:val="0"/>
          <w:marRight w:val="0"/>
          <w:marTop w:val="0"/>
          <w:marBottom w:val="0"/>
          <w:divBdr>
            <w:top w:val="none" w:sz="0" w:space="0" w:color="auto"/>
            <w:left w:val="none" w:sz="0" w:space="0" w:color="auto"/>
            <w:bottom w:val="none" w:sz="0" w:space="0" w:color="auto"/>
            <w:right w:val="none" w:sz="0" w:space="0" w:color="auto"/>
          </w:divBdr>
        </w:div>
        <w:div w:id="2024700579">
          <w:marLeft w:val="0"/>
          <w:marRight w:val="0"/>
          <w:marTop w:val="0"/>
          <w:marBottom w:val="0"/>
          <w:divBdr>
            <w:top w:val="none" w:sz="0" w:space="0" w:color="auto"/>
            <w:left w:val="none" w:sz="0" w:space="0" w:color="auto"/>
            <w:bottom w:val="none" w:sz="0" w:space="0" w:color="auto"/>
            <w:right w:val="none" w:sz="0" w:space="0" w:color="auto"/>
          </w:divBdr>
        </w:div>
        <w:div w:id="2024700580">
          <w:marLeft w:val="0"/>
          <w:marRight w:val="0"/>
          <w:marTop w:val="0"/>
          <w:marBottom w:val="0"/>
          <w:divBdr>
            <w:top w:val="none" w:sz="0" w:space="0" w:color="auto"/>
            <w:left w:val="none" w:sz="0" w:space="0" w:color="auto"/>
            <w:bottom w:val="none" w:sz="0" w:space="0" w:color="auto"/>
            <w:right w:val="none" w:sz="0" w:space="0" w:color="auto"/>
          </w:divBdr>
        </w:div>
        <w:div w:id="2024700581">
          <w:marLeft w:val="0"/>
          <w:marRight w:val="0"/>
          <w:marTop w:val="0"/>
          <w:marBottom w:val="0"/>
          <w:divBdr>
            <w:top w:val="none" w:sz="0" w:space="0" w:color="auto"/>
            <w:left w:val="none" w:sz="0" w:space="0" w:color="auto"/>
            <w:bottom w:val="none" w:sz="0" w:space="0" w:color="auto"/>
            <w:right w:val="none" w:sz="0" w:space="0" w:color="auto"/>
          </w:divBdr>
        </w:div>
        <w:div w:id="2024700582">
          <w:marLeft w:val="0"/>
          <w:marRight w:val="0"/>
          <w:marTop w:val="0"/>
          <w:marBottom w:val="0"/>
          <w:divBdr>
            <w:top w:val="none" w:sz="0" w:space="0" w:color="auto"/>
            <w:left w:val="none" w:sz="0" w:space="0" w:color="auto"/>
            <w:bottom w:val="none" w:sz="0" w:space="0" w:color="auto"/>
            <w:right w:val="none" w:sz="0" w:space="0" w:color="auto"/>
          </w:divBdr>
        </w:div>
        <w:div w:id="2024700583">
          <w:marLeft w:val="0"/>
          <w:marRight w:val="0"/>
          <w:marTop w:val="0"/>
          <w:marBottom w:val="0"/>
          <w:divBdr>
            <w:top w:val="none" w:sz="0" w:space="0" w:color="auto"/>
            <w:left w:val="none" w:sz="0" w:space="0" w:color="auto"/>
            <w:bottom w:val="none" w:sz="0" w:space="0" w:color="auto"/>
            <w:right w:val="none" w:sz="0" w:space="0" w:color="auto"/>
          </w:divBdr>
        </w:div>
        <w:div w:id="2024700584">
          <w:marLeft w:val="0"/>
          <w:marRight w:val="0"/>
          <w:marTop w:val="0"/>
          <w:marBottom w:val="0"/>
          <w:divBdr>
            <w:top w:val="none" w:sz="0" w:space="0" w:color="auto"/>
            <w:left w:val="none" w:sz="0" w:space="0" w:color="auto"/>
            <w:bottom w:val="none" w:sz="0" w:space="0" w:color="auto"/>
            <w:right w:val="none" w:sz="0" w:space="0" w:color="auto"/>
          </w:divBdr>
        </w:div>
        <w:div w:id="2024700585">
          <w:marLeft w:val="0"/>
          <w:marRight w:val="0"/>
          <w:marTop w:val="0"/>
          <w:marBottom w:val="0"/>
          <w:divBdr>
            <w:top w:val="none" w:sz="0" w:space="0" w:color="auto"/>
            <w:left w:val="none" w:sz="0" w:space="0" w:color="auto"/>
            <w:bottom w:val="none" w:sz="0" w:space="0" w:color="auto"/>
            <w:right w:val="none" w:sz="0" w:space="0" w:color="auto"/>
          </w:divBdr>
        </w:div>
        <w:div w:id="2024700586">
          <w:marLeft w:val="0"/>
          <w:marRight w:val="0"/>
          <w:marTop w:val="0"/>
          <w:marBottom w:val="0"/>
          <w:divBdr>
            <w:top w:val="none" w:sz="0" w:space="0" w:color="auto"/>
            <w:left w:val="none" w:sz="0" w:space="0" w:color="auto"/>
            <w:bottom w:val="none" w:sz="0" w:space="0" w:color="auto"/>
            <w:right w:val="none" w:sz="0" w:space="0" w:color="auto"/>
          </w:divBdr>
        </w:div>
        <w:div w:id="2024700587">
          <w:marLeft w:val="0"/>
          <w:marRight w:val="0"/>
          <w:marTop w:val="0"/>
          <w:marBottom w:val="0"/>
          <w:divBdr>
            <w:top w:val="none" w:sz="0" w:space="0" w:color="auto"/>
            <w:left w:val="none" w:sz="0" w:space="0" w:color="auto"/>
            <w:bottom w:val="none" w:sz="0" w:space="0" w:color="auto"/>
            <w:right w:val="none" w:sz="0" w:space="0" w:color="auto"/>
          </w:divBdr>
        </w:div>
        <w:div w:id="2024700588">
          <w:marLeft w:val="0"/>
          <w:marRight w:val="0"/>
          <w:marTop w:val="0"/>
          <w:marBottom w:val="0"/>
          <w:divBdr>
            <w:top w:val="none" w:sz="0" w:space="0" w:color="auto"/>
            <w:left w:val="none" w:sz="0" w:space="0" w:color="auto"/>
            <w:bottom w:val="none" w:sz="0" w:space="0" w:color="auto"/>
            <w:right w:val="none" w:sz="0" w:space="0" w:color="auto"/>
          </w:divBdr>
        </w:div>
        <w:div w:id="2024700589">
          <w:marLeft w:val="0"/>
          <w:marRight w:val="0"/>
          <w:marTop w:val="0"/>
          <w:marBottom w:val="0"/>
          <w:divBdr>
            <w:top w:val="none" w:sz="0" w:space="0" w:color="auto"/>
            <w:left w:val="none" w:sz="0" w:space="0" w:color="auto"/>
            <w:bottom w:val="none" w:sz="0" w:space="0" w:color="auto"/>
            <w:right w:val="none" w:sz="0" w:space="0" w:color="auto"/>
          </w:divBdr>
        </w:div>
        <w:div w:id="2024700590">
          <w:marLeft w:val="0"/>
          <w:marRight w:val="0"/>
          <w:marTop w:val="0"/>
          <w:marBottom w:val="0"/>
          <w:divBdr>
            <w:top w:val="none" w:sz="0" w:space="0" w:color="auto"/>
            <w:left w:val="none" w:sz="0" w:space="0" w:color="auto"/>
            <w:bottom w:val="none" w:sz="0" w:space="0" w:color="auto"/>
            <w:right w:val="none" w:sz="0" w:space="0" w:color="auto"/>
          </w:divBdr>
        </w:div>
        <w:div w:id="2024700591">
          <w:marLeft w:val="0"/>
          <w:marRight w:val="0"/>
          <w:marTop w:val="0"/>
          <w:marBottom w:val="0"/>
          <w:divBdr>
            <w:top w:val="none" w:sz="0" w:space="0" w:color="auto"/>
            <w:left w:val="none" w:sz="0" w:space="0" w:color="auto"/>
            <w:bottom w:val="none" w:sz="0" w:space="0" w:color="auto"/>
            <w:right w:val="none" w:sz="0" w:space="0" w:color="auto"/>
          </w:divBdr>
        </w:div>
        <w:div w:id="2024700592">
          <w:marLeft w:val="0"/>
          <w:marRight w:val="0"/>
          <w:marTop w:val="0"/>
          <w:marBottom w:val="0"/>
          <w:divBdr>
            <w:top w:val="none" w:sz="0" w:space="0" w:color="auto"/>
            <w:left w:val="none" w:sz="0" w:space="0" w:color="auto"/>
            <w:bottom w:val="none" w:sz="0" w:space="0" w:color="auto"/>
            <w:right w:val="none" w:sz="0" w:space="0" w:color="auto"/>
          </w:divBdr>
        </w:div>
        <w:div w:id="2024700594">
          <w:marLeft w:val="0"/>
          <w:marRight w:val="0"/>
          <w:marTop w:val="0"/>
          <w:marBottom w:val="0"/>
          <w:divBdr>
            <w:top w:val="none" w:sz="0" w:space="0" w:color="auto"/>
            <w:left w:val="none" w:sz="0" w:space="0" w:color="auto"/>
            <w:bottom w:val="none" w:sz="0" w:space="0" w:color="auto"/>
            <w:right w:val="none" w:sz="0" w:space="0" w:color="auto"/>
          </w:divBdr>
        </w:div>
        <w:div w:id="2024700595">
          <w:marLeft w:val="0"/>
          <w:marRight w:val="0"/>
          <w:marTop w:val="0"/>
          <w:marBottom w:val="0"/>
          <w:divBdr>
            <w:top w:val="none" w:sz="0" w:space="0" w:color="auto"/>
            <w:left w:val="none" w:sz="0" w:space="0" w:color="auto"/>
            <w:bottom w:val="none" w:sz="0" w:space="0" w:color="auto"/>
            <w:right w:val="none" w:sz="0" w:space="0" w:color="auto"/>
          </w:divBdr>
        </w:div>
        <w:div w:id="2024700596">
          <w:marLeft w:val="0"/>
          <w:marRight w:val="0"/>
          <w:marTop w:val="0"/>
          <w:marBottom w:val="0"/>
          <w:divBdr>
            <w:top w:val="none" w:sz="0" w:space="0" w:color="auto"/>
            <w:left w:val="none" w:sz="0" w:space="0" w:color="auto"/>
            <w:bottom w:val="none" w:sz="0" w:space="0" w:color="auto"/>
            <w:right w:val="none" w:sz="0" w:space="0" w:color="auto"/>
          </w:divBdr>
        </w:div>
        <w:div w:id="2024700597">
          <w:marLeft w:val="0"/>
          <w:marRight w:val="0"/>
          <w:marTop w:val="0"/>
          <w:marBottom w:val="0"/>
          <w:divBdr>
            <w:top w:val="none" w:sz="0" w:space="0" w:color="auto"/>
            <w:left w:val="none" w:sz="0" w:space="0" w:color="auto"/>
            <w:bottom w:val="none" w:sz="0" w:space="0" w:color="auto"/>
            <w:right w:val="none" w:sz="0" w:space="0" w:color="auto"/>
          </w:divBdr>
        </w:div>
        <w:div w:id="2024700598">
          <w:marLeft w:val="0"/>
          <w:marRight w:val="0"/>
          <w:marTop w:val="0"/>
          <w:marBottom w:val="0"/>
          <w:divBdr>
            <w:top w:val="none" w:sz="0" w:space="0" w:color="auto"/>
            <w:left w:val="none" w:sz="0" w:space="0" w:color="auto"/>
            <w:bottom w:val="none" w:sz="0" w:space="0" w:color="auto"/>
            <w:right w:val="none" w:sz="0" w:space="0" w:color="auto"/>
          </w:divBdr>
        </w:div>
        <w:div w:id="2024700599">
          <w:marLeft w:val="0"/>
          <w:marRight w:val="0"/>
          <w:marTop w:val="0"/>
          <w:marBottom w:val="0"/>
          <w:divBdr>
            <w:top w:val="none" w:sz="0" w:space="0" w:color="auto"/>
            <w:left w:val="none" w:sz="0" w:space="0" w:color="auto"/>
            <w:bottom w:val="none" w:sz="0" w:space="0" w:color="auto"/>
            <w:right w:val="none" w:sz="0" w:space="0" w:color="auto"/>
          </w:divBdr>
        </w:div>
        <w:div w:id="2024700600">
          <w:marLeft w:val="0"/>
          <w:marRight w:val="0"/>
          <w:marTop w:val="0"/>
          <w:marBottom w:val="0"/>
          <w:divBdr>
            <w:top w:val="none" w:sz="0" w:space="0" w:color="auto"/>
            <w:left w:val="none" w:sz="0" w:space="0" w:color="auto"/>
            <w:bottom w:val="none" w:sz="0" w:space="0" w:color="auto"/>
            <w:right w:val="none" w:sz="0" w:space="0" w:color="auto"/>
          </w:divBdr>
        </w:div>
        <w:div w:id="2024700601">
          <w:marLeft w:val="0"/>
          <w:marRight w:val="0"/>
          <w:marTop w:val="0"/>
          <w:marBottom w:val="0"/>
          <w:divBdr>
            <w:top w:val="none" w:sz="0" w:space="0" w:color="auto"/>
            <w:left w:val="none" w:sz="0" w:space="0" w:color="auto"/>
            <w:bottom w:val="none" w:sz="0" w:space="0" w:color="auto"/>
            <w:right w:val="none" w:sz="0" w:space="0" w:color="auto"/>
          </w:divBdr>
        </w:div>
        <w:div w:id="2024700602">
          <w:marLeft w:val="0"/>
          <w:marRight w:val="0"/>
          <w:marTop w:val="0"/>
          <w:marBottom w:val="0"/>
          <w:divBdr>
            <w:top w:val="none" w:sz="0" w:space="0" w:color="auto"/>
            <w:left w:val="none" w:sz="0" w:space="0" w:color="auto"/>
            <w:bottom w:val="none" w:sz="0" w:space="0" w:color="auto"/>
            <w:right w:val="none" w:sz="0" w:space="0" w:color="auto"/>
          </w:divBdr>
        </w:div>
        <w:div w:id="2024700603">
          <w:marLeft w:val="0"/>
          <w:marRight w:val="0"/>
          <w:marTop w:val="0"/>
          <w:marBottom w:val="0"/>
          <w:divBdr>
            <w:top w:val="none" w:sz="0" w:space="0" w:color="auto"/>
            <w:left w:val="none" w:sz="0" w:space="0" w:color="auto"/>
            <w:bottom w:val="none" w:sz="0" w:space="0" w:color="auto"/>
            <w:right w:val="none" w:sz="0" w:space="0" w:color="auto"/>
          </w:divBdr>
        </w:div>
        <w:div w:id="2024700604">
          <w:marLeft w:val="0"/>
          <w:marRight w:val="0"/>
          <w:marTop w:val="0"/>
          <w:marBottom w:val="0"/>
          <w:divBdr>
            <w:top w:val="none" w:sz="0" w:space="0" w:color="auto"/>
            <w:left w:val="none" w:sz="0" w:space="0" w:color="auto"/>
            <w:bottom w:val="none" w:sz="0" w:space="0" w:color="auto"/>
            <w:right w:val="none" w:sz="0" w:space="0" w:color="auto"/>
          </w:divBdr>
        </w:div>
        <w:div w:id="2024700605">
          <w:marLeft w:val="0"/>
          <w:marRight w:val="0"/>
          <w:marTop w:val="0"/>
          <w:marBottom w:val="0"/>
          <w:divBdr>
            <w:top w:val="none" w:sz="0" w:space="0" w:color="auto"/>
            <w:left w:val="none" w:sz="0" w:space="0" w:color="auto"/>
            <w:bottom w:val="none" w:sz="0" w:space="0" w:color="auto"/>
            <w:right w:val="none" w:sz="0" w:space="0" w:color="auto"/>
          </w:divBdr>
        </w:div>
        <w:div w:id="2024700606">
          <w:marLeft w:val="0"/>
          <w:marRight w:val="0"/>
          <w:marTop w:val="0"/>
          <w:marBottom w:val="0"/>
          <w:divBdr>
            <w:top w:val="none" w:sz="0" w:space="0" w:color="auto"/>
            <w:left w:val="none" w:sz="0" w:space="0" w:color="auto"/>
            <w:bottom w:val="none" w:sz="0" w:space="0" w:color="auto"/>
            <w:right w:val="none" w:sz="0" w:space="0" w:color="auto"/>
          </w:divBdr>
        </w:div>
        <w:div w:id="2024700607">
          <w:marLeft w:val="0"/>
          <w:marRight w:val="0"/>
          <w:marTop w:val="0"/>
          <w:marBottom w:val="0"/>
          <w:divBdr>
            <w:top w:val="none" w:sz="0" w:space="0" w:color="auto"/>
            <w:left w:val="none" w:sz="0" w:space="0" w:color="auto"/>
            <w:bottom w:val="none" w:sz="0" w:space="0" w:color="auto"/>
            <w:right w:val="none" w:sz="0" w:space="0" w:color="auto"/>
          </w:divBdr>
        </w:div>
        <w:div w:id="2024700608">
          <w:marLeft w:val="0"/>
          <w:marRight w:val="0"/>
          <w:marTop w:val="0"/>
          <w:marBottom w:val="0"/>
          <w:divBdr>
            <w:top w:val="none" w:sz="0" w:space="0" w:color="auto"/>
            <w:left w:val="none" w:sz="0" w:space="0" w:color="auto"/>
            <w:bottom w:val="none" w:sz="0" w:space="0" w:color="auto"/>
            <w:right w:val="none" w:sz="0" w:space="0" w:color="auto"/>
          </w:divBdr>
        </w:div>
        <w:div w:id="2024700609">
          <w:marLeft w:val="0"/>
          <w:marRight w:val="0"/>
          <w:marTop w:val="0"/>
          <w:marBottom w:val="0"/>
          <w:divBdr>
            <w:top w:val="none" w:sz="0" w:space="0" w:color="auto"/>
            <w:left w:val="none" w:sz="0" w:space="0" w:color="auto"/>
            <w:bottom w:val="none" w:sz="0" w:space="0" w:color="auto"/>
            <w:right w:val="none" w:sz="0" w:space="0" w:color="auto"/>
          </w:divBdr>
        </w:div>
        <w:div w:id="2024700610">
          <w:marLeft w:val="0"/>
          <w:marRight w:val="0"/>
          <w:marTop w:val="0"/>
          <w:marBottom w:val="0"/>
          <w:divBdr>
            <w:top w:val="none" w:sz="0" w:space="0" w:color="auto"/>
            <w:left w:val="none" w:sz="0" w:space="0" w:color="auto"/>
            <w:bottom w:val="none" w:sz="0" w:space="0" w:color="auto"/>
            <w:right w:val="none" w:sz="0" w:space="0" w:color="auto"/>
          </w:divBdr>
        </w:div>
        <w:div w:id="2024700611">
          <w:marLeft w:val="0"/>
          <w:marRight w:val="0"/>
          <w:marTop w:val="0"/>
          <w:marBottom w:val="0"/>
          <w:divBdr>
            <w:top w:val="none" w:sz="0" w:space="0" w:color="auto"/>
            <w:left w:val="none" w:sz="0" w:space="0" w:color="auto"/>
            <w:bottom w:val="none" w:sz="0" w:space="0" w:color="auto"/>
            <w:right w:val="none" w:sz="0" w:space="0" w:color="auto"/>
          </w:divBdr>
        </w:div>
        <w:div w:id="2024700612">
          <w:marLeft w:val="0"/>
          <w:marRight w:val="0"/>
          <w:marTop w:val="0"/>
          <w:marBottom w:val="0"/>
          <w:divBdr>
            <w:top w:val="none" w:sz="0" w:space="0" w:color="auto"/>
            <w:left w:val="none" w:sz="0" w:space="0" w:color="auto"/>
            <w:bottom w:val="none" w:sz="0" w:space="0" w:color="auto"/>
            <w:right w:val="none" w:sz="0" w:space="0" w:color="auto"/>
          </w:divBdr>
        </w:div>
        <w:div w:id="2024700613">
          <w:marLeft w:val="0"/>
          <w:marRight w:val="0"/>
          <w:marTop w:val="0"/>
          <w:marBottom w:val="0"/>
          <w:divBdr>
            <w:top w:val="none" w:sz="0" w:space="0" w:color="auto"/>
            <w:left w:val="none" w:sz="0" w:space="0" w:color="auto"/>
            <w:bottom w:val="none" w:sz="0" w:space="0" w:color="auto"/>
            <w:right w:val="none" w:sz="0" w:space="0" w:color="auto"/>
          </w:divBdr>
        </w:div>
        <w:div w:id="2024700614">
          <w:marLeft w:val="0"/>
          <w:marRight w:val="0"/>
          <w:marTop w:val="0"/>
          <w:marBottom w:val="0"/>
          <w:divBdr>
            <w:top w:val="none" w:sz="0" w:space="0" w:color="auto"/>
            <w:left w:val="none" w:sz="0" w:space="0" w:color="auto"/>
            <w:bottom w:val="none" w:sz="0" w:space="0" w:color="auto"/>
            <w:right w:val="none" w:sz="0" w:space="0" w:color="auto"/>
          </w:divBdr>
        </w:div>
        <w:div w:id="2024700615">
          <w:marLeft w:val="0"/>
          <w:marRight w:val="0"/>
          <w:marTop w:val="0"/>
          <w:marBottom w:val="0"/>
          <w:divBdr>
            <w:top w:val="none" w:sz="0" w:space="0" w:color="auto"/>
            <w:left w:val="none" w:sz="0" w:space="0" w:color="auto"/>
            <w:bottom w:val="none" w:sz="0" w:space="0" w:color="auto"/>
            <w:right w:val="none" w:sz="0" w:space="0" w:color="auto"/>
          </w:divBdr>
        </w:div>
        <w:div w:id="2024700616">
          <w:marLeft w:val="0"/>
          <w:marRight w:val="0"/>
          <w:marTop w:val="0"/>
          <w:marBottom w:val="0"/>
          <w:divBdr>
            <w:top w:val="none" w:sz="0" w:space="0" w:color="auto"/>
            <w:left w:val="none" w:sz="0" w:space="0" w:color="auto"/>
            <w:bottom w:val="none" w:sz="0" w:space="0" w:color="auto"/>
            <w:right w:val="none" w:sz="0" w:space="0" w:color="auto"/>
          </w:divBdr>
        </w:div>
        <w:div w:id="2024700617">
          <w:marLeft w:val="0"/>
          <w:marRight w:val="0"/>
          <w:marTop w:val="0"/>
          <w:marBottom w:val="0"/>
          <w:divBdr>
            <w:top w:val="none" w:sz="0" w:space="0" w:color="auto"/>
            <w:left w:val="none" w:sz="0" w:space="0" w:color="auto"/>
            <w:bottom w:val="none" w:sz="0" w:space="0" w:color="auto"/>
            <w:right w:val="none" w:sz="0" w:space="0" w:color="auto"/>
          </w:divBdr>
        </w:div>
        <w:div w:id="2024700618">
          <w:marLeft w:val="0"/>
          <w:marRight w:val="0"/>
          <w:marTop w:val="0"/>
          <w:marBottom w:val="0"/>
          <w:divBdr>
            <w:top w:val="none" w:sz="0" w:space="0" w:color="auto"/>
            <w:left w:val="none" w:sz="0" w:space="0" w:color="auto"/>
            <w:bottom w:val="none" w:sz="0" w:space="0" w:color="auto"/>
            <w:right w:val="none" w:sz="0" w:space="0" w:color="auto"/>
          </w:divBdr>
        </w:div>
        <w:div w:id="2024700619">
          <w:marLeft w:val="0"/>
          <w:marRight w:val="0"/>
          <w:marTop w:val="0"/>
          <w:marBottom w:val="0"/>
          <w:divBdr>
            <w:top w:val="none" w:sz="0" w:space="0" w:color="auto"/>
            <w:left w:val="none" w:sz="0" w:space="0" w:color="auto"/>
            <w:bottom w:val="none" w:sz="0" w:space="0" w:color="auto"/>
            <w:right w:val="none" w:sz="0" w:space="0" w:color="auto"/>
          </w:divBdr>
        </w:div>
        <w:div w:id="2024700620">
          <w:marLeft w:val="0"/>
          <w:marRight w:val="0"/>
          <w:marTop w:val="0"/>
          <w:marBottom w:val="0"/>
          <w:divBdr>
            <w:top w:val="none" w:sz="0" w:space="0" w:color="auto"/>
            <w:left w:val="none" w:sz="0" w:space="0" w:color="auto"/>
            <w:bottom w:val="none" w:sz="0" w:space="0" w:color="auto"/>
            <w:right w:val="none" w:sz="0" w:space="0" w:color="auto"/>
          </w:divBdr>
        </w:div>
        <w:div w:id="2024700621">
          <w:marLeft w:val="0"/>
          <w:marRight w:val="0"/>
          <w:marTop w:val="0"/>
          <w:marBottom w:val="0"/>
          <w:divBdr>
            <w:top w:val="none" w:sz="0" w:space="0" w:color="auto"/>
            <w:left w:val="none" w:sz="0" w:space="0" w:color="auto"/>
            <w:bottom w:val="none" w:sz="0" w:space="0" w:color="auto"/>
            <w:right w:val="none" w:sz="0" w:space="0" w:color="auto"/>
          </w:divBdr>
        </w:div>
        <w:div w:id="2024700622">
          <w:marLeft w:val="0"/>
          <w:marRight w:val="0"/>
          <w:marTop w:val="0"/>
          <w:marBottom w:val="0"/>
          <w:divBdr>
            <w:top w:val="none" w:sz="0" w:space="0" w:color="auto"/>
            <w:left w:val="none" w:sz="0" w:space="0" w:color="auto"/>
            <w:bottom w:val="none" w:sz="0" w:space="0" w:color="auto"/>
            <w:right w:val="none" w:sz="0" w:space="0" w:color="auto"/>
          </w:divBdr>
        </w:div>
        <w:div w:id="2024700623">
          <w:marLeft w:val="0"/>
          <w:marRight w:val="0"/>
          <w:marTop w:val="0"/>
          <w:marBottom w:val="0"/>
          <w:divBdr>
            <w:top w:val="none" w:sz="0" w:space="0" w:color="auto"/>
            <w:left w:val="none" w:sz="0" w:space="0" w:color="auto"/>
            <w:bottom w:val="none" w:sz="0" w:space="0" w:color="auto"/>
            <w:right w:val="none" w:sz="0" w:space="0" w:color="auto"/>
          </w:divBdr>
        </w:div>
        <w:div w:id="2024700624">
          <w:marLeft w:val="0"/>
          <w:marRight w:val="0"/>
          <w:marTop w:val="0"/>
          <w:marBottom w:val="0"/>
          <w:divBdr>
            <w:top w:val="none" w:sz="0" w:space="0" w:color="auto"/>
            <w:left w:val="none" w:sz="0" w:space="0" w:color="auto"/>
            <w:bottom w:val="none" w:sz="0" w:space="0" w:color="auto"/>
            <w:right w:val="none" w:sz="0" w:space="0" w:color="auto"/>
          </w:divBdr>
        </w:div>
        <w:div w:id="2024700625">
          <w:marLeft w:val="0"/>
          <w:marRight w:val="0"/>
          <w:marTop w:val="0"/>
          <w:marBottom w:val="0"/>
          <w:divBdr>
            <w:top w:val="none" w:sz="0" w:space="0" w:color="auto"/>
            <w:left w:val="none" w:sz="0" w:space="0" w:color="auto"/>
            <w:bottom w:val="none" w:sz="0" w:space="0" w:color="auto"/>
            <w:right w:val="none" w:sz="0" w:space="0" w:color="auto"/>
          </w:divBdr>
        </w:div>
        <w:div w:id="2024700626">
          <w:marLeft w:val="0"/>
          <w:marRight w:val="0"/>
          <w:marTop w:val="0"/>
          <w:marBottom w:val="0"/>
          <w:divBdr>
            <w:top w:val="none" w:sz="0" w:space="0" w:color="auto"/>
            <w:left w:val="none" w:sz="0" w:space="0" w:color="auto"/>
            <w:bottom w:val="none" w:sz="0" w:space="0" w:color="auto"/>
            <w:right w:val="none" w:sz="0" w:space="0" w:color="auto"/>
          </w:divBdr>
        </w:div>
        <w:div w:id="2024700627">
          <w:marLeft w:val="0"/>
          <w:marRight w:val="0"/>
          <w:marTop w:val="0"/>
          <w:marBottom w:val="0"/>
          <w:divBdr>
            <w:top w:val="none" w:sz="0" w:space="0" w:color="auto"/>
            <w:left w:val="none" w:sz="0" w:space="0" w:color="auto"/>
            <w:bottom w:val="none" w:sz="0" w:space="0" w:color="auto"/>
            <w:right w:val="none" w:sz="0" w:space="0" w:color="auto"/>
          </w:divBdr>
        </w:div>
        <w:div w:id="2024700628">
          <w:marLeft w:val="0"/>
          <w:marRight w:val="0"/>
          <w:marTop w:val="0"/>
          <w:marBottom w:val="0"/>
          <w:divBdr>
            <w:top w:val="none" w:sz="0" w:space="0" w:color="auto"/>
            <w:left w:val="none" w:sz="0" w:space="0" w:color="auto"/>
            <w:bottom w:val="none" w:sz="0" w:space="0" w:color="auto"/>
            <w:right w:val="none" w:sz="0" w:space="0" w:color="auto"/>
          </w:divBdr>
        </w:div>
        <w:div w:id="2024700629">
          <w:marLeft w:val="0"/>
          <w:marRight w:val="0"/>
          <w:marTop w:val="0"/>
          <w:marBottom w:val="0"/>
          <w:divBdr>
            <w:top w:val="none" w:sz="0" w:space="0" w:color="auto"/>
            <w:left w:val="none" w:sz="0" w:space="0" w:color="auto"/>
            <w:bottom w:val="none" w:sz="0" w:space="0" w:color="auto"/>
            <w:right w:val="none" w:sz="0" w:space="0" w:color="auto"/>
          </w:divBdr>
        </w:div>
        <w:div w:id="2024700630">
          <w:marLeft w:val="0"/>
          <w:marRight w:val="0"/>
          <w:marTop w:val="0"/>
          <w:marBottom w:val="0"/>
          <w:divBdr>
            <w:top w:val="none" w:sz="0" w:space="0" w:color="auto"/>
            <w:left w:val="none" w:sz="0" w:space="0" w:color="auto"/>
            <w:bottom w:val="none" w:sz="0" w:space="0" w:color="auto"/>
            <w:right w:val="none" w:sz="0" w:space="0" w:color="auto"/>
          </w:divBdr>
        </w:div>
        <w:div w:id="2024700632">
          <w:marLeft w:val="0"/>
          <w:marRight w:val="0"/>
          <w:marTop w:val="0"/>
          <w:marBottom w:val="0"/>
          <w:divBdr>
            <w:top w:val="none" w:sz="0" w:space="0" w:color="auto"/>
            <w:left w:val="none" w:sz="0" w:space="0" w:color="auto"/>
            <w:bottom w:val="none" w:sz="0" w:space="0" w:color="auto"/>
            <w:right w:val="none" w:sz="0" w:space="0" w:color="auto"/>
          </w:divBdr>
        </w:div>
        <w:div w:id="2024700633">
          <w:marLeft w:val="0"/>
          <w:marRight w:val="0"/>
          <w:marTop w:val="0"/>
          <w:marBottom w:val="0"/>
          <w:divBdr>
            <w:top w:val="none" w:sz="0" w:space="0" w:color="auto"/>
            <w:left w:val="none" w:sz="0" w:space="0" w:color="auto"/>
            <w:bottom w:val="none" w:sz="0" w:space="0" w:color="auto"/>
            <w:right w:val="none" w:sz="0" w:space="0" w:color="auto"/>
          </w:divBdr>
        </w:div>
        <w:div w:id="2024700634">
          <w:marLeft w:val="0"/>
          <w:marRight w:val="0"/>
          <w:marTop w:val="0"/>
          <w:marBottom w:val="0"/>
          <w:divBdr>
            <w:top w:val="none" w:sz="0" w:space="0" w:color="auto"/>
            <w:left w:val="none" w:sz="0" w:space="0" w:color="auto"/>
            <w:bottom w:val="none" w:sz="0" w:space="0" w:color="auto"/>
            <w:right w:val="none" w:sz="0" w:space="0" w:color="auto"/>
          </w:divBdr>
        </w:div>
        <w:div w:id="2024700635">
          <w:marLeft w:val="0"/>
          <w:marRight w:val="0"/>
          <w:marTop w:val="0"/>
          <w:marBottom w:val="0"/>
          <w:divBdr>
            <w:top w:val="none" w:sz="0" w:space="0" w:color="auto"/>
            <w:left w:val="none" w:sz="0" w:space="0" w:color="auto"/>
            <w:bottom w:val="none" w:sz="0" w:space="0" w:color="auto"/>
            <w:right w:val="none" w:sz="0" w:space="0" w:color="auto"/>
          </w:divBdr>
        </w:div>
        <w:div w:id="2024700636">
          <w:marLeft w:val="0"/>
          <w:marRight w:val="0"/>
          <w:marTop w:val="0"/>
          <w:marBottom w:val="0"/>
          <w:divBdr>
            <w:top w:val="none" w:sz="0" w:space="0" w:color="auto"/>
            <w:left w:val="none" w:sz="0" w:space="0" w:color="auto"/>
            <w:bottom w:val="none" w:sz="0" w:space="0" w:color="auto"/>
            <w:right w:val="none" w:sz="0" w:space="0" w:color="auto"/>
          </w:divBdr>
        </w:div>
        <w:div w:id="2024700637">
          <w:marLeft w:val="0"/>
          <w:marRight w:val="0"/>
          <w:marTop w:val="0"/>
          <w:marBottom w:val="0"/>
          <w:divBdr>
            <w:top w:val="none" w:sz="0" w:space="0" w:color="auto"/>
            <w:left w:val="none" w:sz="0" w:space="0" w:color="auto"/>
            <w:bottom w:val="none" w:sz="0" w:space="0" w:color="auto"/>
            <w:right w:val="none" w:sz="0" w:space="0" w:color="auto"/>
          </w:divBdr>
        </w:div>
        <w:div w:id="2024700638">
          <w:marLeft w:val="0"/>
          <w:marRight w:val="0"/>
          <w:marTop w:val="0"/>
          <w:marBottom w:val="0"/>
          <w:divBdr>
            <w:top w:val="none" w:sz="0" w:space="0" w:color="auto"/>
            <w:left w:val="none" w:sz="0" w:space="0" w:color="auto"/>
            <w:bottom w:val="none" w:sz="0" w:space="0" w:color="auto"/>
            <w:right w:val="none" w:sz="0" w:space="0" w:color="auto"/>
          </w:divBdr>
        </w:div>
        <w:div w:id="2024700639">
          <w:marLeft w:val="0"/>
          <w:marRight w:val="0"/>
          <w:marTop w:val="0"/>
          <w:marBottom w:val="0"/>
          <w:divBdr>
            <w:top w:val="none" w:sz="0" w:space="0" w:color="auto"/>
            <w:left w:val="none" w:sz="0" w:space="0" w:color="auto"/>
            <w:bottom w:val="none" w:sz="0" w:space="0" w:color="auto"/>
            <w:right w:val="none" w:sz="0" w:space="0" w:color="auto"/>
          </w:divBdr>
        </w:div>
        <w:div w:id="2024700640">
          <w:marLeft w:val="0"/>
          <w:marRight w:val="0"/>
          <w:marTop w:val="0"/>
          <w:marBottom w:val="0"/>
          <w:divBdr>
            <w:top w:val="none" w:sz="0" w:space="0" w:color="auto"/>
            <w:left w:val="none" w:sz="0" w:space="0" w:color="auto"/>
            <w:bottom w:val="none" w:sz="0" w:space="0" w:color="auto"/>
            <w:right w:val="none" w:sz="0" w:space="0" w:color="auto"/>
          </w:divBdr>
        </w:div>
        <w:div w:id="2024700641">
          <w:marLeft w:val="0"/>
          <w:marRight w:val="0"/>
          <w:marTop w:val="0"/>
          <w:marBottom w:val="0"/>
          <w:divBdr>
            <w:top w:val="none" w:sz="0" w:space="0" w:color="auto"/>
            <w:left w:val="none" w:sz="0" w:space="0" w:color="auto"/>
            <w:bottom w:val="none" w:sz="0" w:space="0" w:color="auto"/>
            <w:right w:val="none" w:sz="0" w:space="0" w:color="auto"/>
          </w:divBdr>
        </w:div>
        <w:div w:id="2024700642">
          <w:marLeft w:val="0"/>
          <w:marRight w:val="0"/>
          <w:marTop w:val="0"/>
          <w:marBottom w:val="0"/>
          <w:divBdr>
            <w:top w:val="none" w:sz="0" w:space="0" w:color="auto"/>
            <w:left w:val="none" w:sz="0" w:space="0" w:color="auto"/>
            <w:bottom w:val="none" w:sz="0" w:space="0" w:color="auto"/>
            <w:right w:val="none" w:sz="0" w:space="0" w:color="auto"/>
          </w:divBdr>
        </w:div>
        <w:div w:id="2024700643">
          <w:marLeft w:val="0"/>
          <w:marRight w:val="0"/>
          <w:marTop w:val="0"/>
          <w:marBottom w:val="0"/>
          <w:divBdr>
            <w:top w:val="none" w:sz="0" w:space="0" w:color="auto"/>
            <w:left w:val="none" w:sz="0" w:space="0" w:color="auto"/>
            <w:bottom w:val="none" w:sz="0" w:space="0" w:color="auto"/>
            <w:right w:val="none" w:sz="0" w:space="0" w:color="auto"/>
          </w:divBdr>
        </w:div>
        <w:div w:id="2024700644">
          <w:marLeft w:val="0"/>
          <w:marRight w:val="0"/>
          <w:marTop w:val="0"/>
          <w:marBottom w:val="0"/>
          <w:divBdr>
            <w:top w:val="none" w:sz="0" w:space="0" w:color="auto"/>
            <w:left w:val="none" w:sz="0" w:space="0" w:color="auto"/>
            <w:bottom w:val="none" w:sz="0" w:space="0" w:color="auto"/>
            <w:right w:val="none" w:sz="0" w:space="0" w:color="auto"/>
          </w:divBdr>
        </w:div>
        <w:div w:id="2024700645">
          <w:marLeft w:val="0"/>
          <w:marRight w:val="0"/>
          <w:marTop w:val="0"/>
          <w:marBottom w:val="0"/>
          <w:divBdr>
            <w:top w:val="none" w:sz="0" w:space="0" w:color="auto"/>
            <w:left w:val="none" w:sz="0" w:space="0" w:color="auto"/>
            <w:bottom w:val="none" w:sz="0" w:space="0" w:color="auto"/>
            <w:right w:val="none" w:sz="0" w:space="0" w:color="auto"/>
          </w:divBdr>
        </w:div>
        <w:div w:id="2024700646">
          <w:marLeft w:val="0"/>
          <w:marRight w:val="0"/>
          <w:marTop w:val="0"/>
          <w:marBottom w:val="0"/>
          <w:divBdr>
            <w:top w:val="none" w:sz="0" w:space="0" w:color="auto"/>
            <w:left w:val="none" w:sz="0" w:space="0" w:color="auto"/>
            <w:bottom w:val="none" w:sz="0" w:space="0" w:color="auto"/>
            <w:right w:val="none" w:sz="0" w:space="0" w:color="auto"/>
          </w:divBdr>
        </w:div>
        <w:div w:id="2024700647">
          <w:marLeft w:val="0"/>
          <w:marRight w:val="0"/>
          <w:marTop w:val="0"/>
          <w:marBottom w:val="0"/>
          <w:divBdr>
            <w:top w:val="none" w:sz="0" w:space="0" w:color="auto"/>
            <w:left w:val="none" w:sz="0" w:space="0" w:color="auto"/>
            <w:bottom w:val="none" w:sz="0" w:space="0" w:color="auto"/>
            <w:right w:val="none" w:sz="0" w:space="0" w:color="auto"/>
          </w:divBdr>
        </w:div>
        <w:div w:id="2024700648">
          <w:marLeft w:val="0"/>
          <w:marRight w:val="0"/>
          <w:marTop w:val="0"/>
          <w:marBottom w:val="0"/>
          <w:divBdr>
            <w:top w:val="none" w:sz="0" w:space="0" w:color="auto"/>
            <w:left w:val="none" w:sz="0" w:space="0" w:color="auto"/>
            <w:bottom w:val="none" w:sz="0" w:space="0" w:color="auto"/>
            <w:right w:val="none" w:sz="0" w:space="0" w:color="auto"/>
          </w:divBdr>
        </w:div>
        <w:div w:id="2024700649">
          <w:marLeft w:val="0"/>
          <w:marRight w:val="0"/>
          <w:marTop w:val="0"/>
          <w:marBottom w:val="0"/>
          <w:divBdr>
            <w:top w:val="none" w:sz="0" w:space="0" w:color="auto"/>
            <w:left w:val="none" w:sz="0" w:space="0" w:color="auto"/>
            <w:bottom w:val="none" w:sz="0" w:space="0" w:color="auto"/>
            <w:right w:val="none" w:sz="0" w:space="0" w:color="auto"/>
          </w:divBdr>
        </w:div>
        <w:div w:id="2024700650">
          <w:marLeft w:val="0"/>
          <w:marRight w:val="0"/>
          <w:marTop w:val="0"/>
          <w:marBottom w:val="0"/>
          <w:divBdr>
            <w:top w:val="none" w:sz="0" w:space="0" w:color="auto"/>
            <w:left w:val="none" w:sz="0" w:space="0" w:color="auto"/>
            <w:bottom w:val="none" w:sz="0" w:space="0" w:color="auto"/>
            <w:right w:val="none" w:sz="0" w:space="0" w:color="auto"/>
          </w:divBdr>
        </w:div>
        <w:div w:id="2024700651">
          <w:marLeft w:val="0"/>
          <w:marRight w:val="0"/>
          <w:marTop w:val="0"/>
          <w:marBottom w:val="0"/>
          <w:divBdr>
            <w:top w:val="none" w:sz="0" w:space="0" w:color="auto"/>
            <w:left w:val="none" w:sz="0" w:space="0" w:color="auto"/>
            <w:bottom w:val="none" w:sz="0" w:space="0" w:color="auto"/>
            <w:right w:val="none" w:sz="0" w:space="0" w:color="auto"/>
          </w:divBdr>
        </w:div>
        <w:div w:id="2024700652">
          <w:marLeft w:val="0"/>
          <w:marRight w:val="0"/>
          <w:marTop w:val="0"/>
          <w:marBottom w:val="0"/>
          <w:divBdr>
            <w:top w:val="none" w:sz="0" w:space="0" w:color="auto"/>
            <w:left w:val="none" w:sz="0" w:space="0" w:color="auto"/>
            <w:bottom w:val="none" w:sz="0" w:space="0" w:color="auto"/>
            <w:right w:val="none" w:sz="0" w:space="0" w:color="auto"/>
          </w:divBdr>
        </w:div>
        <w:div w:id="2024700653">
          <w:marLeft w:val="0"/>
          <w:marRight w:val="0"/>
          <w:marTop w:val="0"/>
          <w:marBottom w:val="0"/>
          <w:divBdr>
            <w:top w:val="none" w:sz="0" w:space="0" w:color="auto"/>
            <w:left w:val="none" w:sz="0" w:space="0" w:color="auto"/>
            <w:bottom w:val="none" w:sz="0" w:space="0" w:color="auto"/>
            <w:right w:val="none" w:sz="0" w:space="0" w:color="auto"/>
          </w:divBdr>
        </w:div>
        <w:div w:id="2024700654">
          <w:marLeft w:val="0"/>
          <w:marRight w:val="0"/>
          <w:marTop w:val="0"/>
          <w:marBottom w:val="0"/>
          <w:divBdr>
            <w:top w:val="none" w:sz="0" w:space="0" w:color="auto"/>
            <w:left w:val="none" w:sz="0" w:space="0" w:color="auto"/>
            <w:bottom w:val="none" w:sz="0" w:space="0" w:color="auto"/>
            <w:right w:val="none" w:sz="0" w:space="0" w:color="auto"/>
          </w:divBdr>
        </w:div>
        <w:div w:id="2024700655">
          <w:marLeft w:val="0"/>
          <w:marRight w:val="0"/>
          <w:marTop w:val="0"/>
          <w:marBottom w:val="0"/>
          <w:divBdr>
            <w:top w:val="none" w:sz="0" w:space="0" w:color="auto"/>
            <w:left w:val="none" w:sz="0" w:space="0" w:color="auto"/>
            <w:bottom w:val="none" w:sz="0" w:space="0" w:color="auto"/>
            <w:right w:val="none" w:sz="0" w:space="0" w:color="auto"/>
          </w:divBdr>
        </w:div>
        <w:div w:id="2024700656">
          <w:marLeft w:val="0"/>
          <w:marRight w:val="0"/>
          <w:marTop w:val="0"/>
          <w:marBottom w:val="0"/>
          <w:divBdr>
            <w:top w:val="none" w:sz="0" w:space="0" w:color="auto"/>
            <w:left w:val="none" w:sz="0" w:space="0" w:color="auto"/>
            <w:bottom w:val="none" w:sz="0" w:space="0" w:color="auto"/>
            <w:right w:val="none" w:sz="0" w:space="0" w:color="auto"/>
          </w:divBdr>
        </w:div>
        <w:div w:id="2024700657">
          <w:marLeft w:val="0"/>
          <w:marRight w:val="0"/>
          <w:marTop w:val="0"/>
          <w:marBottom w:val="0"/>
          <w:divBdr>
            <w:top w:val="none" w:sz="0" w:space="0" w:color="auto"/>
            <w:left w:val="none" w:sz="0" w:space="0" w:color="auto"/>
            <w:bottom w:val="none" w:sz="0" w:space="0" w:color="auto"/>
            <w:right w:val="none" w:sz="0" w:space="0" w:color="auto"/>
          </w:divBdr>
        </w:div>
        <w:div w:id="2024700658">
          <w:marLeft w:val="0"/>
          <w:marRight w:val="0"/>
          <w:marTop w:val="0"/>
          <w:marBottom w:val="0"/>
          <w:divBdr>
            <w:top w:val="none" w:sz="0" w:space="0" w:color="auto"/>
            <w:left w:val="none" w:sz="0" w:space="0" w:color="auto"/>
            <w:bottom w:val="none" w:sz="0" w:space="0" w:color="auto"/>
            <w:right w:val="none" w:sz="0" w:space="0" w:color="auto"/>
          </w:divBdr>
        </w:div>
        <w:div w:id="2024700659">
          <w:marLeft w:val="0"/>
          <w:marRight w:val="0"/>
          <w:marTop w:val="0"/>
          <w:marBottom w:val="0"/>
          <w:divBdr>
            <w:top w:val="none" w:sz="0" w:space="0" w:color="auto"/>
            <w:left w:val="none" w:sz="0" w:space="0" w:color="auto"/>
            <w:bottom w:val="none" w:sz="0" w:space="0" w:color="auto"/>
            <w:right w:val="none" w:sz="0" w:space="0" w:color="auto"/>
          </w:divBdr>
        </w:div>
        <w:div w:id="2024700660">
          <w:marLeft w:val="0"/>
          <w:marRight w:val="0"/>
          <w:marTop w:val="0"/>
          <w:marBottom w:val="0"/>
          <w:divBdr>
            <w:top w:val="none" w:sz="0" w:space="0" w:color="auto"/>
            <w:left w:val="none" w:sz="0" w:space="0" w:color="auto"/>
            <w:bottom w:val="none" w:sz="0" w:space="0" w:color="auto"/>
            <w:right w:val="none" w:sz="0" w:space="0" w:color="auto"/>
          </w:divBdr>
        </w:div>
        <w:div w:id="2024700661">
          <w:marLeft w:val="0"/>
          <w:marRight w:val="0"/>
          <w:marTop w:val="0"/>
          <w:marBottom w:val="0"/>
          <w:divBdr>
            <w:top w:val="none" w:sz="0" w:space="0" w:color="auto"/>
            <w:left w:val="none" w:sz="0" w:space="0" w:color="auto"/>
            <w:bottom w:val="none" w:sz="0" w:space="0" w:color="auto"/>
            <w:right w:val="none" w:sz="0" w:space="0" w:color="auto"/>
          </w:divBdr>
        </w:div>
        <w:div w:id="2024700662">
          <w:marLeft w:val="0"/>
          <w:marRight w:val="0"/>
          <w:marTop w:val="0"/>
          <w:marBottom w:val="0"/>
          <w:divBdr>
            <w:top w:val="none" w:sz="0" w:space="0" w:color="auto"/>
            <w:left w:val="none" w:sz="0" w:space="0" w:color="auto"/>
            <w:bottom w:val="none" w:sz="0" w:space="0" w:color="auto"/>
            <w:right w:val="none" w:sz="0" w:space="0" w:color="auto"/>
          </w:divBdr>
        </w:div>
        <w:div w:id="2024700663">
          <w:marLeft w:val="0"/>
          <w:marRight w:val="0"/>
          <w:marTop w:val="0"/>
          <w:marBottom w:val="0"/>
          <w:divBdr>
            <w:top w:val="none" w:sz="0" w:space="0" w:color="auto"/>
            <w:left w:val="none" w:sz="0" w:space="0" w:color="auto"/>
            <w:bottom w:val="none" w:sz="0" w:space="0" w:color="auto"/>
            <w:right w:val="none" w:sz="0" w:space="0" w:color="auto"/>
          </w:divBdr>
        </w:div>
        <w:div w:id="2024700664">
          <w:marLeft w:val="0"/>
          <w:marRight w:val="0"/>
          <w:marTop w:val="0"/>
          <w:marBottom w:val="0"/>
          <w:divBdr>
            <w:top w:val="none" w:sz="0" w:space="0" w:color="auto"/>
            <w:left w:val="none" w:sz="0" w:space="0" w:color="auto"/>
            <w:bottom w:val="none" w:sz="0" w:space="0" w:color="auto"/>
            <w:right w:val="none" w:sz="0" w:space="0" w:color="auto"/>
          </w:divBdr>
        </w:div>
        <w:div w:id="2024700665">
          <w:marLeft w:val="0"/>
          <w:marRight w:val="0"/>
          <w:marTop w:val="0"/>
          <w:marBottom w:val="0"/>
          <w:divBdr>
            <w:top w:val="none" w:sz="0" w:space="0" w:color="auto"/>
            <w:left w:val="none" w:sz="0" w:space="0" w:color="auto"/>
            <w:bottom w:val="none" w:sz="0" w:space="0" w:color="auto"/>
            <w:right w:val="none" w:sz="0" w:space="0" w:color="auto"/>
          </w:divBdr>
        </w:div>
        <w:div w:id="2024700666">
          <w:marLeft w:val="0"/>
          <w:marRight w:val="0"/>
          <w:marTop w:val="0"/>
          <w:marBottom w:val="0"/>
          <w:divBdr>
            <w:top w:val="none" w:sz="0" w:space="0" w:color="auto"/>
            <w:left w:val="none" w:sz="0" w:space="0" w:color="auto"/>
            <w:bottom w:val="none" w:sz="0" w:space="0" w:color="auto"/>
            <w:right w:val="none" w:sz="0" w:space="0" w:color="auto"/>
          </w:divBdr>
        </w:div>
        <w:div w:id="2024700667">
          <w:marLeft w:val="0"/>
          <w:marRight w:val="0"/>
          <w:marTop w:val="0"/>
          <w:marBottom w:val="0"/>
          <w:divBdr>
            <w:top w:val="none" w:sz="0" w:space="0" w:color="auto"/>
            <w:left w:val="none" w:sz="0" w:space="0" w:color="auto"/>
            <w:bottom w:val="none" w:sz="0" w:space="0" w:color="auto"/>
            <w:right w:val="none" w:sz="0" w:space="0" w:color="auto"/>
          </w:divBdr>
        </w:div>
        <w:div w:id="2024700668">
          <w:marLeft w:val="0"/>
          <w:marRight w:val="0"/>
          <w:marTop w:val="0"/>
          <w:marBottom w:val="0"/>
          <w:divBdr>
            <w:top w:val="none" w:sz="0" w:space="0" w:color="auto"/>
            <w:left w:val="none" w:sz="0" w:space="0" w:color="auto"/>
            <w:bottom w:val="none" w:sz="0" w:space="0" w:color="auto"/>
            <w:right w:val="none" w:sz="0" w:space="0" w:color="auto"/>
          </w:divBdr>
        </w:div>
        <w:div w:id="2024700669">
          <w:marLeft w:val="0"/>
          <w:marRight w:val="0"/>
          <w:marTop w:val="0"/>
          <w:marBottom w:val="0"/>
          <w:divBdr>
            <w:top w:val="none" w:sz="0" w:space="0" w:color="auto"/>
            <w:left w:val="none" w:sz="0" w:space="0" w:color="auto"/>
            <w:bottom w:val="none" w:sz="0" w:space="0" w:color="auto"/>
            <w:right w:val="none" w:sz="0" w:space="0" w:color="auto"/>
          </w:divBdr>
        </w:div>
        <w:div w:id="2024700670">
          <w:marLeft w:val="0"/>
          <w:marRight w:val="0"/>
          <w:marTop w:val="0"/>
          <w:marBottom w:val="0"/>
          <w:divBdr>
            <w:top w:val="none" w:sz="0" w:space="0" w:color="auto"/>
            <w:left w:val="none" w:sz="0" w:space="0" w:color="auto"/>
            <w:bottom w:val="none" w:sz="0" w:space="0" w:color="auto"/>
            <w:right w:val="none" w:sz="0" w:space="0" w:color="auto"/>
          </w:divBdr>
        </w:div>
        <w:div w:id="2024700671">
          <w:marLeft w:val="0"/>
          <w:marRight w:val="0"/>
          <w:marTop w:val="0"/>
          <w:marBottom w:val="0"/>
          <w:divBdr>
            <w:top w:val="none" w:sz="0" w:space="0" w:color="auto"/>
            <w:left w:val="none" w:sz="0" w:space="0" w:color="auto"/>
            <w:bottom w:val="none" w:sz="0" w:space="0" w:color="auto"/>
            <w:right w:val="none" w:sz="0" w:space="0" w:color="auto"/>
          </w:divBdr>
        </w:div>
        <w:div w:id="2024700673">
          <w:marLeft w:val="0"/>
          <w:marRight w:val="0"/>
          <w:marTop w:val="0"/>
          <w:marBottom w:val="0"/>
          <w:divBdr>
            <w:top w:val="none" w:sz="0" w:space="0" w:color="auto"/>
            <w:left w:val="none" w:sz="0" w:space="0" w:color="auto"/>
            <w:bottom w:val="none" w:sz="0" w:space="0" w:color="auto"/>
            <w:right w:val="none" w:sz="0" w:space="0" w:color="auto"/>
          </w:divBdr>
        </w:div>
        <w:div w:id="2024700674">
          <w:marLeft w:val="0"/>
          <w:marRight w:val="0"/>
          <w:marTop w:val="0"/>
          <w:marBottom w:val="0"/>
          <w:divBdr>
            <w:top w:val="none" w:sz="0" w:space="0" w:color="auto"/>
            <w:left w:val="none" w:sz="0" w:space="0" w:color="auto"/>
            <w:bottom w:val="none" w:sz="0" w:space="0" w:color="auto"/>
            <w:right w:val="none" w:sz="0" w:space="0" w:color="auto"/>
          </w:divBdr>
        </w:div>
        <w:div w:id="2024700675">
          <w:marLeft w:val="0"/>
          <w:marRight w:val="0"/>
          <w:marTop w:val="0"/>
          <w:marBottom w:val="0"/>
          <w:divBdr>
            <w:top w:val="none" w:sz="0" w:space="0" w:color="auto"/>
            <w:left w:val="none" w:sz="0" w:space="0" w:color="auto"/>
            <w:bottom w:val="none" w:sz="0" w:space="0" w:color="auto"/>
            <w:right w:val="none" w:sz="0" w:space="0" w:color="auto"/>
          </w:divBdr>
        </w:div>
        <w:div w:id="2024700676">
          <w:marLeft w:val="0"/>
          <w:marRight w:val="0"/>
          <w:marTop w:val="0"/>
          <w:marBottom w:val="0"/>
          <w:divBdr>
            <w:top w:val="none" w:sz="0" w:space="0" w:color="auto"/>
            <w:left w:val="none" w:sz="0" w:space="0" w:color="auto"/>
            <w:bottom w:val="none" w:sz="0" w:space="0" w:color="auto"/>
            <w:right w:val="none" w:sz="0" w:space="0" w:color="auto"/>
          </w:divBdr>
        </w:div>
        <w:div w:id="2024700677">
          <w:marLeft w:val="0"/>
          <w:marRight w:val="0"/>
          <w:marTop w:val="0"/>
          <w:marBottom w:val="0"/>
          <w:divBdr>
            <w:top w:val="none" w:sz="0" w:space="0" w:color="auto"/>
            <w:left w:val="none" w:sz="0" w:space="0" w:color="auto"/>
            <w:bottom w:val="none" w:sz="0" w:space="0" w:color="auto"/>
            <w:right w:val="none" w:sz="0" w:space="0" w:color="auto"/>
          </w:divBdr>
        </w:div>
        <w:div w:id="2024700678">
          <w:marLeft w:val="0"/>
          <w:marRight w:val="0"/>
          <w:marTop w:val="0"/>
          <w:marBottom w:val="0"/>
          <w:divBdr>
            <w:top w:val="none" w:sz="0" w:space="0" w:color="auto"/>
            <w:left w:val="none" w:sz="0" w:space="0" w:color="auto"/>
            <w:bottom w:val="none" w:sz="0" w:space="0" w:color="auto"/>
            <w:right w:val="none" w:sz="0" w:space="0" w:color="auto"/>
          </w:divBdr>
        </w:div>
        <w:div w:id="2024700679">
          <w:marLeft w:val="0"/>
          <w:marRight w:val="0"/>
          <w:marTop w:val="0"/>
          <w:marBottom w:val="0"/>
          <w:divBdr>
            <w:top w:val="none" w:sz="0" w:space="0" w:color="auto"/>
            <w:left w:val="none" w:sz="0" w:space="0" w:color="auto"/>
            <w:bottom w:val="none" w:sz="0" w:space="0" w:color="auto"/>
            <w:right w:val="none" w:sz="0" w:space="0" w:color="auto"/>
          </w:divBdr>
        </w:div>
        <w:div w:id="2024700680">
          <w:marLeft w:val="0"/>
          <w:marRight w:val="0"/>
          <w:marTop w:val="0"/>
          <w:marBottom w:val="0"/>
          <w:divBdr>
            <w:top w:val="none" w:sz="0" w:space="0" w:color="auto"/>
            <w:left w:val="none" w:sz="0" w:space="0" w:color="auto"/>
            <w:bottom w:val="none" w:sz="0" w:space="0" w:color="auto"/>
            <w:right w:val="none" w:sz="0" w:space="0" w:color="auto"/>
          </w:divBdr>
        </w:div>
        <w:div w:id="2024700681">
          <w:marLeft w:val="0"/>
          <w:marRight w:val="0"/>
          <w:marTop w:val="0"/>
          <w:marBottom w:val="0"/>
          <w:divBdr>
            <w:top w:val="none" w:sz="0" w:space="0" w:color="auto"/>
            <w:left w:val="none" w:sz="0" w:space="0" w:color="auto"/>
            <w:bottom w:val="none" w:sz="0" w:space="0" w:color="auto"/>
            <w:right w:val="none" w:sz="0" w:space="0" w:color="auto"/>
          </w:divBdr>
        </w:div>
        <w:div w:id="2024700682">
          <w:marLeft w:val="0"/>
          <w:marRight w:val="0"/>
          <w:marTop w:val="0"/>
          <w:marBottom w:val="0"/>
          <w:divBdr>
            <w:top w:val="none" w:sz="0" w:space="0" w:color="auto"/>
            <w:left w:val="none" w:sz="0" w:space="0" w:color="auto"/>
            <w:bottom w:val="none" w:sz="0" w:space="0" w:color="auto"/>
            <w:right w:val="none" w:sz="0" w:space="0" w:color="auto"/>
          </w:divBdr>
        </w:div>
        <w:div w:id="2024700683">
          <w:marLeft w:val="0"/>
          <w:marRight w:val="0"/>
          <w:marTop w:val="0"/>
          <w:marBottom w:val="0"/>
          <w:divBdr>
            <w:top w:val="none" w:sz="0" w:space="0" w:color="auto"/>
            <w:left w:val="none" w:sz="0" w:space="0" w:color="auto"/>
            <w:bottom w:val="none" w:sz="0" w:space="0" w:color="auto"/>
            <w:right w:val="none" w:sz="0" w:space="0" w:color="auto"/>
          </w:divBdr>
        </w:div>
        <w:div w:id="2024700684">
          <w:marLeft w:val="0"/>
          <w:marRight w:val="0"/>
          <w:marTop w:val="0"/>
          <w:marBottom w:val="0"/>
          <w:divBdr>
            <w:top w:val="none" w:sz="0" w:space="0" w:color="auto"/>
            <w:left w:val="none" w:sz="0" w:space="0" w:color="auto"/>
            <w:bottom w:val="none" w:sz="0" w:space="0" w:color="auto"/>
            <w:right w:val="none" w:sz="0" w:space="0" w:color="auto"/>
          </w:divBdr>
        </w:div>
        <w:div w:id="2024700685">
          <w:marLeft w:val="0"/>
          <w:marRight w:val="0"/>
          <w:marTop w:val="0"/>
          <w:marBottom w:val="0"/>
          <w:divBdr>
            <w:top w:val="none" w:sz="0" w:space="0" w:color="auto"/>
            <w:left w:val="none" w:sz="0" w:space="0" w:color="auto"/>
            <w:bottom w:val="none" w:sz="0" w:space="0" w:color="auto"/>
            <w:right w:val="none" w:sz="0" w:space="0" w:color="auto"/>
          </w:divBdr>
        </w:div>
        <w:div w:id="2024700686">
          <w:marLeft w:val="0"/>
          <w:marRight w:val="0"/>
          <w:marTop w:val="0"/>
          <w:marBottom w:val="0"/>
          <w:divBdr>
            <w:top w:val="none" w:sz="0" w:space="0" w:color="auto"/>
            <w:left w:val="none" w:sz="0" w:space="0" w:color="auto"/>
            <w:bottom w:val="none" w:sz="0" w:space="0" w:color="auto"/>
            <w:right w:val="none" w:sz="0" w:space="0" w:color="auto"/>
          </w:divBdr>
        </w:div>
        <w:div w:id="2024700687">
          <w:marLeft w:val="0"/>
          <w:marRight w:val="0"/>
          <w:marTop w:val="0"/>
          <w:marBottom w:val="0"/>
          <w:divBdr>
            <w:top w:val="none" w:sz="0" w:space="0" w:color="auto"/>
            <w:left w:val="none" w:sz="0" w:space="0" w:color="auto"/>
            <w:bottom w:val="none" w:sz="0" w:space="0" w:color="auto"/>
            <w:right w:val="none" w:sz="0" w:space="0" w:color="auto"/>
          </w:divBdr>
        </w:div>
        <w:div w:id="2024700688">
          <w:marLeft w:val="0"/>
          <w:marRight w:val="0"/>
          <w:marTop w:val="0"/>
          <w:marBottom w:val="0"/>
          <w:divBdr>
            <w:top w:val="none" w:sz="0" w:space="0" w:color="auto"/>
            <w:left w:val="none" w:sz="0" w:space="0" w:color="auto"/>
            <w:bottom w:val="none" w:sz="0" w:space="0" w:color="auto"/>
            <w:right w:val="none" w:sz="0" w:space="0" w:color="auto"/>
          </w:divBdr>
        </w:div>
        <w:div w:id="2024700689">
          <w:marLeft w:val="0"/>
          <w:marRight w:val="0"/>
          <w:marTop w:val="0"/>
          <w:marBottom w:val="0"/>
          <w:divBdr>
            <w:top w:val="none" w:sz="0" w:space="0" w:color="auto"/>
            <w:left w:val="none" w:sz="0" w:space="0" w:color="auto"/>
            <w:bottom w:val="none" w:sz="0" w:space="0" w:color="auto"/>
            <w:right w:val="none" w:sz="0" w:space="0" w:color="auto"/>
          </w:divBdr>
        </w:div>
        <w:div w:id="2024700690">
          <w:marLeft w:val="0"/>
          <w:marRight w:val="0"/>
          <w:marTop w:val="0"/>
          <w:marBottom w:val="0"/>
          <w:divBdr>
            <w:top w:val="none" w:sz="0" w:space="0" w:color="auto"/>
            <w:left w:val="none" w:sz="0" w:space="0" w:color="auto"/>
            <w:bottom w:val="none" w:sz="0" w:space="0" w:color="auto"/>
            <w:right w:val="none" w:sz="0" w:space="0" w:color="auto"/>
          </w:divBdr>
        </w:div>
        <w:div w:id="2024700691">
          <w:marLeft w:val="0"/>
          <w:marRight w:val="0"/>
          <w:marTop w:val="0"/>
          <w:marBottom w:val="0"/>
          <w:divBdr>
            <w:top w:val="none" w:sz="0" w:space="0" w:color="auto"/>
            <w:left w:val="none" w:sz="0" w:space="0" w:color="auto"/>
            <w:bottom w:val="none" w:sz="0" w:space="0" w:color="auto"/>
            <w:right w:val="none" w:sz="0" w:space="0" w:color="auto"/>
          </w:divBdr>
        </w:div>
        <w:div w:id="2024700692">
          <w:marLeft w:val="0"/>
          <w:marRight w:val="0"/>
          <w:marTop w:val="0"/>
          <w:marBottom w:val="0"/>
          <w:divBdr>
            <w:top w:val="none" w:sz="0" w:space="0" w:color="auto"/>
            <w:left w:val="none" w:sz="0" w:space="0" w:color="auto"/>
            <w:bottom w:val="none" w:sz="0" w:space="0" w:color="auto"/>
            <w:right w:val="none" w:sz="0" w:space="0" w:color="auto"/>
          </w:divBdr>
        </w:div>
        <w:div w:id="2024700693">
          <w:marLeft w:val="0"/>
          <w:marRight w:val="0"/>
          <w:marTop w:val="0"/>
          <w:marBottom w:val="0"/>
          <w:divBdr>
            <w:top w:val="none" w:sz="0" w:space="0" w:color="auto"/>
            <w:left w:val="none" w:sz="0" w:space="0" w:color="auto"/>
            <w:bottom w:val="none" w:sz="0" w:space="0" w:color="auto"/>
            <w:right w:val="none" w:sz="0" w:space="0" w:color="auto"/>
          </w:divBdr>
        </w:div>
        <w:div w:id="2024700694">
          <w:marLeft w:val="0"/>
          <w:marRight w:val="0"/>
          <w:marTop w:val="0"/>
          <w:marBottom w:val="0"/>
          <w:divBdr>
            <w:top w:val="none" w:sz="0" w:space="0" w:color="auto"/>
            <w:left w:val="none" w:sz="0" w:space="0" w:color="auto"/>
            <w:bottom w:val="none" w:sz="0" w:space="0" w:color="auto"/>
            <w:right w:val="none" w:sz="0" w:space="0" w:color="auto"/>
          </w:divBdr>
        </w:div>
        <w:div w:id="2024700695">
          <w:marLeft w:val="0"/>
          <w:marRight w:val="0"/>
          <w:marTop w:val="0"/>
          <w:marBottom w:val="0"/>
          <w:divBdr>
            <w:top w:val="none" w:sz="0" w:space="0" w:color="auto"/>
            <w:left w:val="none" w:sz="0" w:space="0" w:color="auto"/>
            <w:bottom w:val="none" w:sz="0" w:space="0" w:color="auto"/>
            <w:right w:val="none" w:sz="0" w:space="0" w:color="auto"/>
          </w:divBdr>
        </w:div>
        <w:div w:id="2024700696">
          <w:marLeft w:val="0"/>
          <w:marRight w:val="0"/>
          <w:marTop w:val="0"/>
          <w:marBottom w:val="0"/>
          <w:divBdr>
            <w:top w:val="none" w:sz="0" w:space="0" w:color="auto"/>
            <w:left w:val="none" w:sz="0" w:space="0" w:color="auto"/>
            <w:bottom w:val="none" w:sz="0" w:space="0" w:color="auto"/>
            <w:right w:val="none" w:sz="0" w:space="0" w:color="auto"/>
          </w:divBdr>
        </w:div>
        <w:div w:id="2024700697">
          <w:marLeft w:val="0"/>
          <w:marRight w:val="0"/>
          <w:marTop w:val="0"/>
          <w:marBottom w:val="0"/>
          <w:divBdr>
            <w:top w:val="none" w:sz="0" w:space="0" w:color="auto"/>
            <w:left w:val="none" w:sz="0" w:space="0" w:color="auto"/>
            <w:bottom w:val="none" w:sz="0" w:space="0" w:color="auto"/>
            <w:right w:val="none" w:sz="0" w:space="0" w:color="auto"/>
          </w:divBdr>
        </w:div>
        <w:div w:id="2024700698">
          <w:marLeft w:val="0"/>
          <w:marRight w:val="0"/>
          <w:marTop w:val="0"/>
          <w:marBottom w:val="0"/>
          <w:divBdr>
            <w:top w:val="none" w:sz="0" w:space="0" w:color="auto"/>
            <w:left w:val="none" w:sz="0" w:space="0" w:color="auto"/>
            <w:bottom w:val="none" w:sz="0" w:space="0" w:color="auto"/>
            <w:right w:val="none" w:sz="0" w:space="0" w:color="auto"/>
          </w:divBdr>
        </w:div>
        <w:div w:id="2024700700">
          <w:marLeft w:val="0"/>
          <w:marRight w:val="0"/>
          <w:marTop w:val="0"/>
          <w:marBottom w:val="0"/>
          <w:divBdr>
            <w:top w:val="none" w:sz="0" w:space="0" w:color="auto"/>
            <w:left w:val="none" w:sz="0" w:space="0" w:color="auto"/>
            <w:bottom w:val="none" w:sz="0" w:space="0" w:color="auto"/>
            <w:right w:val="none" w:sz="0" w:space="0" w:color="auto"/>
          </w:divBdr>
        </w:div>
        <w:div w:id="2024700701">
          <w:marLeft w:val="0"/>
          <w:marRight w:val="0"/>
          <w:marTop w:val="0"/>
          <w:marBottom w:val="0"/>
          <w:divBdr>
            <w:top w:val="none" w:sz="0" w:space="0" w:color="auto"/>
            <w:left w:val="none" w:sz="0" w:space="0" w:color="auto"/>
            <w:bottom w:val="none" w:sz="0" w:space="0" w:color="auto"/>
            <w:right w:val="none" w:sz="0" w:space="0" w:color="auto"/>
          </w:divBdr>
        </w:div>
        <w:div w:id="2024700702">
          <w:marLeft w:val="0"/>
          <w:marRight w:val="0"/>
          <w:marTop w:val="0"/>
          <w:marBottom w:val="0"/>
          <w:divBdr>
            <w:top w:val="none" w:sz="0" w:space="0" w:color="auto"/>
            <w:left w:val="none" w:sz="0" w:space="0" w:color="auto"/>
            <w:bottom w:val="none" w:sz="0" w:space="0" w:color="auto"/>
            <w:right w:val="none" w:sz="0" w:space="0" w:color="auto"/>
          </w:divBdr>
        </w:div>
        <w:div w:id="2024700703">
          <w:marLeft w:val="0"/>
          <w:marRight w:val="0"/>
          <w:marTop w:val="0"/>
          <w:marBottom w:val="0"/>
          <w:divBdr>
            <w:top w:val="none" w:sz="0" w:space="0" w:color="auto"/>
            <w:left w:val="none" w:sz="0" w:space="0" w:color="auto"/>
            <w:bottom w:val="none" w:sz="0" w:space="0" w:color="auto"/>
            <w:right w:val="none" w:sz="0" w:space="0" w:color="auto"/>
          </w:divBdr>
        </w:div>
        <w:div w:id="2024700704">
          <w:marLeft w:val="0"/>
          <w:marRight w:val="0"/>
          <w:marTop w:val="0"/>
          <w:marBottom w:val="0"/>
          <w:divBdr>
            <w:top w:val="none" w:sz="0" w:space="0" w:color="auto"/>
            <w:left w:val="none" w:sz="0" w:space="0" w:color="auto"/>
            <w:bottom w:val="none" w:sz="0" w:space="0" w:color="auto"/>
            <w:right w:val="none" w:sz="0" w:space="0" w:color="auto"/>
          </w:divBdr>
        </w:div>
        <w:div w:id="2024700705">
          <w:marLeft w:val="0"/>
          <w:marRight w:val="0"/>
          <w:marTop w:val="0"/>
          <w:marBottom w:val="0"/>
          <w:divBdr>
            <w:top w:val="none" w:sz="0" w:space="0" w:color="auto"/>
            <w:left w:val="none" w:sz="0" w:space="0" w:color="auto"/>
            <w:bottom w:val="none" w:sz="0" w:space="0" w:color="auto"/>
            <w:right w:val="none" w:sz="0" w:space="0" w:color="auto"/>
          </w:divBdr>
        </w:div>
        <w:div w:id="2024700706">
          <w:marLeft w:val="0"/>
          <w:marRight w:val="0"/>
          <w:marTop w:val="0"/>
          <w:marBottom w:val="0"/>
          <w:divBdr>
            <w:top w:val="none" w:sz="0" w:space="0" w:color="auto"/>
            <w:left w:val="none" w:sz="0" w:space="0" w:color="auto"/>
            <w:bottom w:val="none" w:sz="0" w:space="0" w:color="auto"/>
            <w:right w:val="none" w:sz="0" w:space="0" w:color="auto"/>
          </w:divBdr>
        </w:div>
        <w:div w:id="2024700707">
          <w:marLeft w:val="0"/>
          <w:marRight w:val="0"/>
          <w:marTop w:val="0"/>
          <w:marBottom w:val="0"/>
          <w:divBdr>
            <w:top w:val="none" w:sz="0" w:space="0" w:color="auto"/>
            <w:left w:val="none" w:sz="0" w:space="0" w:color="auto"/>
            <w:bottom w:val="none" w:sz="0" w:space="0" w:color="auto"/>
            <w:right w:val="none" w:sz="0" w:space="0" w:color="auto"/>
          </w:divBdr>
        </w:div>
        <w:div w:id="2024700708">
          <w:marLeft w:val="0"/>
          <w:marRight w:val="0"/>
          <w:marTop w:val="0"/>
          <w:marBottom w:val="0"/>
          <w:divBdr>
            <w:top w:val="none" w:sz="0" w:space="0" w:color="auto"/>
            <w:left w:val="none" w:sz="0" w:space="0" w:color="auto"/>
            <w:bottom w:val="none" w:sz="0" w:space="0" w:color="auto"/>
            <w:right w:val="none" w:sz="0" w:space="0" w:color="auto"/>
          </w:divBdr>
        </w:div>
        <w:div w:id="2024700709">
          <w:marLeft w:val="0"/>
          <w:marRight w:val="0"/>
          <w:marTop w:val="0"/>
          <w:marBottom w:val="0"/>
          <w:divBdr>
            <w:top w:val="none" w:sz="0" w:space="0" w:color="auto"/>
            <w:left w:val="none" w:sz="0" w:space="0" w:color="auto"/>
            <w:bottom w:val="none" w:sz="0" w:space="0" w:color="auto"/>
            <w:right w:val="none" w:sz="0" w:space="0" w:color="auto"/>
          </w:divBdr>
        </w:div>
        <w:div w:id="2024700710">
          <w:marLeft w:val="0"/>
          <w:marRight w:val="0"/>
          <w:marTop w:val="0"/>
          <w:marBottom w:val="0"/>
          <w:divBdr>
            <w:top w:val="none" w:sz="0" w:space="0" w:color="auto"/>
            <w:left w:val="none" w:sz="0" w:space="0" w:color="auto"/>
            <w:bottom w:val="none" w:sz="0" w:space="0" w:color="auto"/>
            <w:right w:val="none" w:sz="0" w:space="0" w:color="auto"/>
          </w:divBdr>
        </w:div>
        <w:div w:id="2024700711">
          <w:marLeft w:val="0"/>
          <w:marRight w:val="0"/>
          <w:marTop w:val="0"/>
          <w:marBottom w:val="0"/>
          <w:divBdr>
            <w:top w:val="none" w:sz="0" w:space="0" w:color="auto"/>
            <w:left w:val="none" w:sz="0" w:space="0" w:color="auto"/>
            <w:bottom w:val="none" w:sz="0" w:space="0" w:color="auto"/>
            <w:right w:val="none" w:sz="0" w:space="0" w:color="auto"/>
          </w:divBdr>
        </w:div>
        <w:div w:id="2024700712">
          <w:marLeft w:val="0"/>
          <w:marRight w:val="0"/>
          <w:marTop w:val="0"/>
          <w:marBottom w:val="0"/>
          <w:divBdr>
            <w:top w:val="none" w:sz="0" w:space="0" w:color="auto"/>
            <w:left w:val="none" w:sz="0" w:space="0" w:color="auto"/>
            <w:bottom w:val="none" w:sz="0" w:space="0" w:color="auto"/>
            <w:right w:val="none" w:sz="0" w:space="0" w:color="auto"/>
          </w:divBdr>
        </w:div>
        <w:div w:id="2024700713">
          <w:marLeft w:val="0"/>
          <w:marRight w:val="0"/>
          <w:marTop w:val="0"/>
          <w:marBottom w:val="0"/>
          <w:divBdr>
            <w:top w:val="none" w:sz="0" w:space="0" w:color="auto"/>
            <w:left w:val="none" w:sz="0" w:space="0" w:color="auto"/>
            <w:bottom w:val="none" w:sz="0" w:space="0" w:color="auto"/>
            <w:right w:val="none" w:sz="0" w:space="0" w:color="auto"/>
          </w:divBdr>
        </w:div>
        <w:div w:id="2024700714">
          <w:marLeft w:val="0"/>
          <w:marRight w:val="0"/>
          <w:marTop w:val="0"/>
          <w:marBottom w:val="0"/>
          <w:divBdr>
            <w:top w:val="none" w:sz="0" w:space="0" w:color="auto"/>
            <w:left w:val="none" w:sz="0" w:space="0" w:color="auto"/>
            <w:bottom w:val="none" w:sz="0" w:space="0" w:color="auto"/>
            <w:right w:val="none" w:sz="0" w:space="0" w:color="auto"/>
          </w:divBdr>
        </w:div>
        <w:div w:id="2024700715">
          <w:marLeft w:val="0"/>
          <w:marRight w:val="0"/>
          <w:marTop w:val="0"/>
          <w:marBottom w:val="0"/>
          <w:divBdr>
            <w:top w:val="none" w:sz="0" w:space="0" w:color="auto"/>
            <w:left w:val="none" w:sz="0" w:space="0" w:color="auto"/>
            <w:bottom w:val="none" w:sz="0" w:space="0" w:color="auto"/>
            <w:right w:val="none" w:sz="0" w:space="0" w:color="auto"/>
          </w:divBdr>
        </w:div>
        <w:div w:id="2024700716">
          <w:marLeft w:val="0"/>
          <w:marRight w:val="0"/>
          <w:marTop w:val="0"/>
          <w:marBottom w:val="0"/>
          <w:divBdr>
            <w:top w:val="none" w:sz="0" w:space="0" w:color="auto"/>
            <w:left w:val="none" w:sz="0" w:space="0" w:color="auto"/>
            <w:bottom w:val="none" w:sz="0" w:space="0" w:color="auto"/>
            <w:right w:val="none" w:sz="0" w:space="0" w:color="auto"/>
          </w:divBdr>
        </w:div>
        <w:div w:id="2024700717">
          <w:marLeft w:val="0"/>
          <w:marRight w:val="0"/>
          <w:marTop w:val="0"/>
          <w:marBottom w:val="0"/>
          <w:divBdr>
            <w:top w:val="none" w:sz="0" w:space="0" w:color="auto"/>
            <w:left w:val="none" w:sz="0" w:space="0" w:color="auto"/>
            <w:bottom w:val="none" w:sz="0" w:space="0" w:color="auto"/>
            <w:right w:val="none" w:sz="0" w:space="0" w:color="auto"/>
          </w:divBdr>
        </w:div>
        <w:div w:id="2024700718">
          <w:marLeft w:val="0"/>
          <w:marRight w:val="0"/>
          <w:marTop w:val="0"/>
          <w:marBottom w:val="0"/>
          <w:divBdr>
            <w:top w:val="none" w:sz="0" w:space="0" w:color="auto"/>
            <w:left w:val="none" w:sz="0" w:space="0" w:color="auto"/>
            <w:bottom w:val="none" w:sz="0" w:space="0" w:color="auto"/>
            <w:right w:val="none" w:sz="0" w:space="0" w:color="auto"/>
          </w:divBdr>
        </w:div>
        <w:div w:id="2024700719">
          <w:marLeft w:val="0"/>
          <w:marRight w:val="0"/>
          <w:marTop w:val="0"/>
          <w:marBottom w:val="0"/>
          <w:divBdr>
            <w:top w:val="none" w:sz="0" w:space="0" w:color="auto"/>
            <w:left w:val="none" w:sz="0" w:space="0" w:color="auto"/>
            <w:bottom w:val="none" w:sz="0" w:space="0" w:color="auto"/>
            <w:right w:val="none" w:sz="0" w:space="0" w:color="auto"/>
          </w:divBdr>
        </w:div>
        <w:div w:id="2024700720">
          <w:marLeft w:val="0"/>
          <w:marRight w:val="0"/>
          <w:marTop w:val="0"/>
          <w:marBottom w:val="0"/>
          <w:divBdr>
            <w:top w:val="none" w:sz="0" w:space="0" w:color="auto"/>
            <w:left w:val="none" w:sz="0" w:space="0" w:color="auto"/>
            <w:bottom w:val="none" w:sz="0" w:space="0" w:color="auto"/>
            <w:right w:val="none" w:sz="0" w:space="0" w:color="auto"/>
          </w:divBdr>
        </w:div>
        <w:div w:id="2024700721">
          <w:marLeft w:val="0"/>
          <w:marRight w:val="0"/>
          <w:marTop w:val="0"/>
          <w:marBottom w:val="0"/>
          <w:divBdr>
            <w:top w:val="none" w:sz="0" w:space="0" w:color="auto"/>
            <w:left w:val="none" w:sz="0" w:space="0" w:color="auto"/>
            <w:bottom w:val="none" w:sz="0" w:space="0" w:color="auto"/>
            <w:right w:val="none" w:sz="0" w:space="0" w:color="auto"/>
          </w:divBdr>
        </w:div>
        <w:div w:id="2024700722">
          <w:marLeft w:val="0"/>
          <w:marRight w:val="0"/>
          <w:marTop w:val="0"/>
          <w:marBottom w:val="0"/>
          <w:divBdr>
            <w:top w:val="none" w:sz="0" w:space="0" w:color="auto"/>
            <w:left w:val="none" w:sz="0" w:space="0" w:color="auto"/>
            <w:bottom w:val="none" w:sz="0" w:space="0" w:color="auto"/>
            <w:right w:val="none" w:sz="0" w:space="0" w:color="auto"/>
          </w:divBdr>
        </w:div>
        <w:div w:id="2024700723">
          <w:marLeft w:val="0"/>
          <w:marRight w:val="0"/>
          <w:marTop w:val="0"/>
          <w:marBottom w:val="0"/>
          <w:divBdr>
            <w:top w:val="none" w:sz="0" w:space="0" w:color="auto"/>
            <w:left w:val="none" w:sz="0" w:space="0" w:color="auto"/>
            <w:bottom w:val="none" w:sz="0" w:space="0" w:color="auto"/>
            <w:right w:val="none" w:sz="0" w:space="0" w:color="auto"/>
          </w:divBdr>
        </w:div>
        <w:div w:id="2024700724">
          <w:marLeft w:val="0"/>
          <w:marRight w:val="0"/>
          <w:marTop w:val="0"/>
          <w:marBottom w:val="0"/>
          <w:divBdr>
            <w:top w:val="none" w:sz="0" w:space="0" w:color="auto"/>
            <w:left w:val="none" w:sz="0" w:space="0" w:color="auto"/>
            <w:bottom w:val="none" w:sz="0" w:space="0" w:color="auto"/>
            <w:right w:val="none" w:sz="0" w:space="0" w:color="auto"/>
          </w:divBdr>
        </w:div>
        <w:div w:id="2024700725">
          <w:marLeft w:val="0"/>
          <w:marRight w:val="0"/>
          <w:marTop w:val="0"/>
          <w:marBottom w:val="0"/>
          <w:divBdr>
            <w:top w:val="none" w:sz="0" w:space="0" w:color="auto"/>
            <w:left w:val="none" w:sz="0" w:space="0" w:color="auto"/>
            <w:bottom w:val="none" w:sz="0" w:space="0" w:color="auto"/>
            <w:right w:val="none" w:sz="0" w:space="0" w:color="auto"/>
          </w:divBdr>
        </w:div>
        <w:div w:id="2024700726">
          <w:marLeft w:val="0"/>
          <w:marRight w:val="0"/>
          <w:marTop w:val="0"/>
          <w:marBottom w:val="0"/>
          <w:divBdr>
            <w:top w:val="none" w:sz="0" w:space="0" w:color="auto"/>
            <w:left w:val="none" w:sz="0" w:space="0" w:color="auto"/>
            <w:bottom w:val="none" w:sz="0" w:space="0" w:color="auto"/>
            <w:right w:val="none" w:sz="0" w:space="0" w:color="auto"/>
          </w:divBdr>
        </w:div>
        <w:div w:id="2024700728">
          <w:marLeft w:val="0"/>
          <w:marRight w:val="0"/>
          <w:marTop w:val="0"/>
          <w:marBottom w:val="0"/>
          <w:divBdr>
            <w:top w:val="none" w:sz="0" w:space="0" w:color="auto"/>
            <w:left w:val="none" w:sz="0" w:space="0" w:color="auto"/>
            <w:bottom w:val="none" w:sz="0" w:space="0" w:color="auto"/>
            <w:right w:val="none" w:sz="0" w:space="0" w:color="auto"/>
          </w:divBdr>
        </w:div>
        <w:div w:id="2024700729">
          <w:marLeft w:val="0"/>
          <w:marRight w:val="0"/>
          <w:marTop w:val="0"/>
          <w:marBottom w:val="0"/>
          <w:divBdr>
            <w:top w:val="none" w:sz="0" w:space="0" w:color="auto"/>
            <w:left w:val="none" w:sz="0" w:space="0" w:color="auto"/>
            <w:bottom w:val="none" w:sz="0" w:space="0" w:color="auto"/>
            <w:right w:val="none" w:sz="0" w:space="0" w:color="auto"/>
          </w:divBdr>
        </w:div>
        <w:div w:id="2024700730">
          <w:marLeft w:val="0"/>
          <w:marRight w:val="0"/>
          <w:marTop w:val="0"/>
          <w:marBottom w:val="0"/>
          <w:divBdr>
            <w:top w:val="none" w:sz="0" w:space="0" w:color="auto"/>
            <w:left w:val="none" w:sz="0" w:space="0" w:color="auto"/>
            <w:bottom w:val="none" w:sz="0" w:space="0" w:color="auto"/>
            <w:right w:val="none" w:sz="0" w:space="0" w:color="auto"/>
          </w:divBdr>
        </w:div>
        <w:div w:id="2024700731">
          <w:marLeft w:val="0"/>
          <w:marRight w:val="0"/>
          <w:marTop w:val="0"/>
          <w:marBottom w:val="0"/>
          <w:divBdr>
            <w:top w:val="none" w:sz="0" w:space="0" w:color="auto"/>
            <w:left w:val="none" w:sz="0" w:space="0" w:color="auto"/>
            <w:bottom w:val="none" w:sz="0" w:space="0" w:color="auto"/>
            <w:right w:val="none" w:sz="0" w:space="0" w:color="auto"/>
          </w:divBdr>
        </w:div>
        <w:div w:id="2024700732">
          <w:marLeft w:val="0"/>
          <w:marRight w:val="0"/>
          <w:marTop w:val="0"/>
          <w:marBottom w:val="0"/>
          <w:divBdr>
            <w:top w:val="none" w:sz="0" w:space="0" w:color="auto"/>
            <w:left w:val="none" w:sz="0" w:space="0" w:color="auto"/>
            <w:bottom w:val="none" w:sz="0" w:space="0" w:color="auto"/>
            <w:right w:val="none" w:sz="0" w:space="0" w:color="auto"/>
          </w:divBdr>
        </w:div>
        <w:div w:id="2024700733">
          <w:marLeft w:val="0"/>
          <w:marRight w:val="0"/>
          <w:marTop w:val="0"/>
          <w:marBottom w:val="0"/>
          <w:divBdr>
            <w:top w:val="none" w:sz="0" w:space="0" w:color="auto"/>
            <w:left w:val="none" w:sz="0" w:space="0" w:color="auto"/>
            <w:bottom w:val="none" w:sz="0" w:space="0" w:color="auto"/>
            <w:right w:val="none" w:sz="0" w:space="0" w:color="auto"/>
          </w:divBdr>
        </w:div>
        <w:div w:id="2024700734">
          <w:marLeft w:val="0"/>
          <w:marRight w:val="0"/>
          <w:marTop w:val="0"/>
          <w:marBottom w:val="0"/>
          <w:divBdr>
            <w:top w:val="none" w:sz="0" w:space="0" w:color="auto"/>
            <w:left w:val="none" w:sz="0" w:space="0" w:color="auto"/>
            <w:bottom w:val="none" w:sz="0" w:space="0" w:color="auto"/>
            <w:right w:val="none" w:sz="0" w:space="0" w:color="auto"/>
          </w:divBdr>
        </w:div>
        <w:div w:id="2024700736">
          <w:marLeft w:val="0"/>
          <w:marRight w:val="0"/>
          <w:marTop w:val="0"/>
          <w:marBottom w:val="0"/>
          <w:divBdr>
            <w:top w:val="none" w:sz="0" w:space="0" w:color="auto"/>
            <w:left w:val="none" w:sz="0" w:space="0" w:color="auto"/>
            <w:bottom w:val="none" w:sz="0" w:space="0" w:color="auto"/>
            <w:right w:val="none" w:sz="0" w:space="0" w:color="auto"/>
          </w:divBdr>
        </w:div>
        <w:div w:id="2024700737">
          <w:marLeft w:val="0"/>
          <w:marRight w:val="0"/>
          <w:marTop w:val="0"/>
          <w:marBottom w:val="0"/>
          <w:divBdr>
            <w:top w:val="none" w:sz="0" w:space="0" w:color="auto"/>
            <w:left w:val="none" w:sz="0" w:space="0" w:color="auto"/>
            <w:bottom w:val="none" w:sz="0" w:space="0" w:color="auto"/>
            <w:right w:val="none" w:sz="0" w:space="0" w:color="auto"/>
          </w:divBdr>
        </w:div>
        <w:div w:id="2024700738">
          <w:marLeft w:val="0"/>
          <w:marRight w:val="0"/>
          <w:marTop w:val="0"/>
          <w:marBottom w:val="0"/>
          <w:divBdr>
            <w:top w:val="none" w:sz="0" w:space="0" w:color="auto"/>
            <w:left w:val="none" w:sz="0" w:space="0" w:color="auto"/>
            <w:bottom w:val="none" w:sz="0" w:space="0" w:color="auto"/>
            <w:right w:val="none" w:sz="0" w:space="0" w:color="auto"/>
          </w:divBdr>
        </w:div>
        <w:div w:id="2024700739">
          <w:marLeft w:val="0"/>
          <w:marRight w:val="0"/>
          <w:marTop w:val="0"/>
          <w:marBottom w:val="0"/>
          <w:divBdr>
            <w:top w:val="none" w:sz="0" w:space="0" w:color="auto"/>
            <w:left w:val="none" w:sz="0" w:space="0" w:color="auto"/>
            <w:bottom w:val="none" w:sz="0" w:space="0" w:color="auto"/>
            <w:right w:val="none" w:sz="0" w:space="0" w:color="auto"/>
          </w:divBdr>
        </w:div>
        <w:div w:id="2024700740">
          <w:marLeft w:val="0"/>
          <w:marRight w:val="0"/>
          <w:marTop w:val="0"/>
          <w:marBottom w:val="0"/>
          <w:divBdr>
            <w:top w:val="none" w:sz="0" w:space="0" w:color="auto"/>
            <w:left w:val="none" w:sz="0" w:space="0" w:color="auto"/>
            <w:bottom w:val="none" w:sz="0" w:space="0" w:color="auto"/>
            <w:right w:val="none" w:sz="0" w:space="0" w:color="auto"/>
          </w:divBdr>
        </w:div>
        <w:div w:id="2024700741">
          <w:marLeft w:val="0"/>
          <w:marRight w:val="0"/>
          <w:marTop w:val="0"/>
          <w:marBottom w:val="0"/>
          <w:divBdr>
            <w:top w:val="none" w:sz="0" w:space="0" w:color="auto"/>
            <w:left w:val="none" w:sz="0" w:space="0" w:color="auto"/>
            <w:bottom w:val="none" w:sz="0" w:space="0" w:color="auto"/>
            <w:right w:val="none" w:sz="0" w:space="0" w:color="auto"/>
          </w:divBdr>
        </w:div>
        <w:div w:id="2024700742">
          <w:marLeft w:val="0"/>
          <w:marRight w:val="0"/>
          <w:marTop w:val="0"/>
          <w:marBottom w:val="0"/>
          <w:divBdr>
            <w:top w:val="none" w:sz="0" w:space="0" w:color="auto"/>
            <w:left w:val="none" w:sz="0" w:space="0" w:color="auto"/>
            <w:bottom w:val="none" w:sz="0" w:space="0" w:color="auto"/>
            <w:right w:val="none" w:sz="0" w:space="0" w:color="auto"/>
          </w:divBdr>
        </w:div>
        <w:div w:id="2024700743">
          <w:marLeft w:val="0"/>
          <w:marRight w:val="0"/>
          <w:marTop w:val="0"/>
          <w:marBottom w:val="0"/>
          <w:divBdr>
            <w:top w:val="none" w:sz="0" w:space="0" w:color="auto"/>
            <w:left w:val="none" w:sz="0" w:space="0" w:color="auto"/>
            <w:bottom w:val="none" w:sz="0" w:space="0" w:color="auto"/>
            <w:right w:val="none" w:sz="0" w:space="0" w:color="auto"/>
          </w:divBdr>
        </w:div>
        <w:div w:id="2024700744">
          <w:marLeft w:val="0"/>
          <w:marRight w:val="0"/>
          <w:marTop w:val="0"/>
          <w:marBottom w:val="0"/>
          <w:divBdr>
            <w:top w:val="none" w:sz="0" w:space="0" w:color="auto"/>
            <w:left w:val="none" w:sz="0" w:space="0" w:color="auto"/>
            <w:bottom w:val="none" w:sz="0" w:space="0" w:color="auto"/>
            <w:right w:val="none" w:sz="0" w:space="0" w:color="auto"/>
          </w:divBdr>
        </w:div>
        <w:div w:id="2024700745">
          <w:marLeft w:val="0"/>
          <w:marRight w:val="0"/>
          <w:marTop w:val="0"/>
          <w:marBottom w:val="0"/>
          <w:divBdr>
            <w:top w:val="none" w:sz="0" w:space="0" w:color="auto"/>
            <w:left w:val="none" w:sz="0" w:space="0" w:color="auto"/>
            <w:bottom w:val="none" w:sz="0" w:space="0" w:color="auto"/>
            <w:right w:val="none" w:sz="0" w:space="0" w:color="auto"/>
          </w:divBdr>
        </w:div>
        <w:div w:id="2024700746">
          <w:marLeft w:val="0"/>
          <w:marRight w:val="0"/>
          <w:marTop w:val="0"/>
          <w:marBottom w:val="0"/>
          <w:divBdr>
            <w:top w:val="none" w:sz="0" w:space="0" w:color="auto"/>
            <w:left w:val="none" w:sz="0" w:space="0" w:color="auto"/>
            <w:bottom w:val="none" w:sz="0" w:space="0" w:color="auto"/>
            <w:right w:val="none" w:sz="0" w:space="0" w:color="auto"/>
          </w:divBdr>
        </w:div>
        <w:div w:id="2024700747">
          <w:marLeft w:val="0"/>
          <w:marRight w:val="0"/>
          <w:marTop w:val="0"/>
          <w:marBottom w:val="0"/>
          <w:divBdr>
            <w:top w:val="none" w:sz="0" w:space="0" w:color="auto"/>
            <w:left w:val="none" w:sz="0" w:space="0" w:color="auto"/>
            <w:bottom w:val="none" w:sz="0" w:space="0" w:color="auto"/>
            <w:right w:val="none" w:sz="0" w:space="0" w:color="auto"/>
          </w:divBdr>
        </w:div>
        <w:div w:id="2024700748">
          <w:marLeft w:val="0"/>
          <w:marRight w:val="0"/>
          <w:marTop w:val="0"/>
          <w:marBottom w:val="0"/>
          <w:divBdr>
            <w:top w:val="none" w:sz="0" w:space="0" w:color="auto"/>
            <w:left w:val="none" w:sz="0" w:space="0" w:color="auto"/>
            <w:bottom w:val="none" w:sz="0" w:space="0" w:color="auto"/>
            <w:right w:val="none" w:sz="0" w:space="0" w:color="auto"/>
          </w:divBdr>
        </w:div>
        <w:div w:id="2024700750">
          <w:marLeft w:val="0"/>
          <w:marRight w:val="0"/>
          <w:marTop w:val="0"/>
          <w:marBottom w:val="0"/>
          <w:divBdr>
            <w:top w:val="none" w:sz="0" w:space="0" w:color="auto"/>
            <w:left w:val="none" w:sz="0" w:space="0" w:color="auto"/>
            <w:bottom w:val="none" w:sz="0" w:space="0" w:color="auto"/>
            <w:right w:val="none" w:sz="0" w:space="0" w:color="auto"/>
          </w:divBdr>
        </w:div>
        <w:div w:id="2024700751">
          <w:marLeft w:val="0"/>
          <w:marRight w:val="0"/>
          <w:marTop w:val="0"/>
          <w:marBottom w:val="0"/>
          <w:divBdr>
            <w:top w:val="none" w:sz="0" w:space="0" w:color="auto"/>
            <w:left w:val="none" w:sz="0" w:space="0" w:color="auto"/>
            <w:bottom w:val="none" w:sz="0" w:space="0" w:color="auto"/>
            <w:right w:val="none" w:sz="0" w:space="0" w:color="auto"/>
          </w:divBdr>
        </w:div>
        <w:div w:id="2024700752">
          <w:marLeft w:val="0"/>
          <w:marRight w:val="0"/>
          <w:marTop w:val="0"/>
          <w:marBottom w:val="0"/>
          <w:divBdr>
            <w:top w:val="none" w:sz="0" w:space="0" w:color="auto"/>
            <w:left w:val="none" w:sz="0" w:space="0" w:color="auto"/>
            <w:bottom w:val="none" w:sz="0" w:space="0" w:color="auto"/>
            <w:right w:val="none" w:sz="0" w:space="0" w:color="auto"/>
          </w:divBdr>
        </w:div>
        <w:div w:id="2024700753">
          <w:marLeft w:val="0"/>
          <w:marRight w:val="0"/>
          <w:marTop w:val="0"/>
          <w:marBottom w:val="0"/>
          <w:divBdr>
            <w:top w:val="none" w:sz="0" w:space="0" w:color="auto"/>
            <w:left w:val="none" w:sz="0" w:space="0" w:color="auto"/>
            <w:bottom w:val="none" w:sz="0" w:space="0" w:color="auto"/>
            <w:right w:val="none" w:sz="0" w:space="0" w:color="auto"/>
          </w:divBdr>
        </w:div>
        <w:div w:id="2024700754">
          <w:marLeft w:val="0"/>
          <w:marRight w:val="0"/>
          <w:marTop w:val="0"/>
          <w:marBottom w:val="0"/>
          <w:divBdr>
            <w:top w:val="none" w:sz="0" w:space="0" w:color="auto"/>
            <w:left w:val="none" w:sz="0" w:space="0" w:color="auto"/>
            <w:bottom w:val="none" w:sz="0" w:space="0" w:color="auto"/>
            <w:right w:val="none" w:sz="0" w:space="0" w:color="auto"/>
          </w:divBdr>
        </w:div>
        <w:div w:id="2024700755">
          <w:marLeft w:val="0"/>
          <w:marRight w:val="0"/>
          <w:marTop w:val="0"/>
          <w:marBottom w:val="0"/>
          <w:divBdr>
            <w:top w:val="none" w:sz="0" w:space="0" w:color="auto"/>
            <w:left w:val="none" w:sz="0" w:space="0" w:color="auto"/>
            <w:bottom w:val="none" w:sz="0" w:space="0" w:color="auto"/>
            <w:right w:val="none" w:sz="0" w:space="0" w:color="auto"/>
          </w:divBdr>
        </w:div>
        <w:div w:id="2024700756">
          <w:marLeft w:val="0"/>
          <w:marRight w:val="0"/>
          <w:marTop w:val="0"/>
          <w:marBottom w:val="0"/>
          <w:divBdr>
            <w:top w:val="none" w:sz="0" w:space="0" w:color="auto"/>
            <w:left w:val="none" w:sz="0" w:space="0" w:color="auto"/>
            <w:bottom w:val="none" w:sz="0" w:space="0" w:color="auto"/>
            <w:right w:val="none" w:sz="0" w:space="0" w:color="auto"/>
          </w:divBdr>
        </w:div>
        <w:div w:id="2024700757">
          <w:marLeft w:val="0"/>
          <w:marRight w:val="0"/>
          <w:marTop w:val="0"/>
          <w:marBottom w:val="0"/>
          <w:divBdr>
            <w:top w:val="none" w:sz="0" w:space="0" w:color="auto"/>
            <w:left w:val="none" w:sz="0" w:space="0" w:color="auto"/>
            <w:bottom w:val="none" w:sz="0" w:space="0" w:color="auto"/>
            <w:right w:val="none" w:sz="0" w:space="0" w:color="auto"/>
          </w:divBdr>
        </w:div>
        <w:div w:id="2024700758">
          <w:marLeft w:val="0"/>
          <w:marRight w:val="0"/>
          <w:marTop w:val="0"/>
          <w:marBottom w:val="0"/>
          <w:divBdr>
            <w:top w:val="none" w:sz="0" w:space="0" w:color="auto"/>
            <w:left w:val="none" w:sz="0" w:space="0" w:color="auto"/>
            <w:bottom w:val="none" w:sz="0" w:space="0" w:color="auto"/>
            <w:right w:val="none" w:sz="0" w:space="0" w:color="auto"/>
          </w:divBdr>
        </w:div>
        <w:div w:id="2024700759">
          <w:marLeft w:val="0"/>
          <w:marRight w:val="0"/>
          <w:marTop w:val="0"/>
          <w:marBottom w:val="0"/>
          <w:divBdr>
            <w:top w:val="none" w:sz="0" w:space="0" w:color="auto"/>
            <w:left w:val="none" w:sz="0" w:space="0" w:color="auto"/>
            <w:bottom w:val="none" w:sz="0" w:space="0" w:color="auto"/>
            <w:right w:val="none" w:sz="0" w:space="0" w:color="auto"/>
          </w:divBdr>
        </w:div>
        <w:div w:id="2024700760">
          <w:marLeft w:val="0"/>
          <w:marRight w:val="0"/>
          <w:marTop w:val="0"/>
          <w:marBottom w:val="0"/>
          <w:divBdr>
            <w:top w:val="none" w:sz="0" w:space="0" w:color="auto"/>
            <w:left w:val="none" w:sz="0" w:space="0" w:color="auto"/>
            <w:bottom w:val="none" w:sz="0" w:space="0" w:color="auto"/>
            <w:right w:val="none" w:sz="0" w:space="0" w:color="auto"/>
          </w:divBdr>
        </w:div>
        <w:div w:id="2024700761">
          <w:marLeft w:val="0"/>
          <w:marRight w:val="0"/>
          <w:marTop w:val="0"/>
          <w:marBottom w:val="0"/>
          <w:divBdr>
            <w:top w:val="none" w:sz="0" w:space="0" w:color="auto"/>
            <w:left w:val="none" w:sz="0" w:space="0" w:color="auto"/>
            <w:bottom w:val="none" w:sz="0" w:space="0" w:color="auto"/>
            <w:right w:val="none" w:sz="0" w:space="0" w:color="auto"/>
          </w:divBdr>
        </w:div>
        <w:div w:id="2024700762">
          <w:marLeft w:val="0"/>
          <w:marRight w:val="0"/>
          <w:marTop w:val="0"/>
          <w:marBottom w:val="0"/>
          <w:divBdr>
            <w:top w:val="none" w:sz="0" w:space="0" w:color="auto"/>
            <w:left w:val="none" w:sz="0" w:space="0" w:color="auto"/>
            <w:bottom w:val="none" w:sz="0" w:space="0" w:color="auto"/>
            <w:right w:val="none" w:sz="0" w:space="0" w:color="auto"/>
          </w:divBdr>
        </w:div>
        <w:div w:id="2024700763">
          <w:marLeft w:val="0"/>
          <w:marRight w:val="0"/>
          <w:marTop w:val="0"/>
          <w:marBottom w:val="0"/>
          <w:divBdr>
            <w:top w:val="none" w:sz="0" w:space="0" w:color="auto"/>
            <w:left w:val="none" w:sz="0" w:space="0" w:color="auto"/>
            <w:bottom w:val="none" w:sz="0" w:space="0" w:color="auto"/>
            <w:right w:val="none" w:sz="0" w:space="0" w:color="auto"/>
          </w:divBdr>
        </w:div>
        <w:div w:id="2024700764">
          <w:marLeft w:val="0"/>
          <w:marRight w:val="0"/>
          <w:marTop w:val="0"/>
          <w:marBottom w:val="0"/>
          <w:divBdr>
            <w:top w:val="none" w:sz="0" w:space="0" w:color="auto"/>
            <w:left w:val="none" w:sz="0" w:space="0" w:color="auto"/>
            <w:bottom w:val="none" w:sz="0" w:space="0" w:color="auto"/>
            <w:right w:val="none" w:sz="0" w:space="0" w:color="auto"/>
          </w:divBdr>
        </w:div>
        <w:div w:id="2024700765">
          <w:marLeft w:val="0"/>
          <w:marRight w:val="0"/>
          <w:marTop w:val="0"/>
          <w:marBottom w:val="0"/>
          <w:divBdr>
            <w:top w:val="none" w:sz="0" w:space="0" w:color="auto"/>
            <w:left w:val="none" w:sz="0" w:space="0" w:color="auto"/>
            <w:bottom w:val="none" w:sz="0" w:space="0" w:color="auto"/>
            <w:right w:val="none" w:sz="0" w:space="0" w:color="auto"/>
          </w:divBdr>
        </w:div>
        <w:div w:id="2024700766">
          <w:marLeft w:val="0"/>
          <w:marRight w:val="0"/>
          <w:marTop w:val="0"/>
          <w:marBottom w:val="0"/>
          <w:divBdr>
            <w:top w:val="none" w:sz="0" w:space="0" w:color="auto"/>
            <w:left w:val="none" w:sz="0" w:space="0" w:color="auto"/>
            <w:bottom w:val="none" w:sz="0" w:space="0" w:color="auto"/>
            <w:right w:val="none" w:sz="0" w:space="0" w:color="auto"/>
          </w:divBdr>
        </w:div>
        <w:div w:id="2024700767">
          <w:marLeft w:val="0"/>
          <w:marRight w:val="0"/>
          <w:marTop w:val="0"/>
          <w:marBottom w:val="0"/>
          <w:divBdr>
            <w:top w:val="none" w:sz="0" w:space="0" w:color="auto"/>
            <w:left w:val="none" w:sz="0" w:space="0" w:color="auto"/>
            <w:bottom w:val="none" w:sz="0" w:space="0" w:color="auto"/>
            <w:right w:val="none" w:sz="0" w:space="0" w:color="auto"/>
          </w:divBdr>
        </w:div>
        <w:div w:id="2024700769">
          <w:marLeft w:val="0"/>
          <w:marRight w:val="0"/>
          <w:marTop w:val="0"/>
          <w:marBottom w:val="0"/>
          <w:divBdr>
            <w:top w:val="none" w:sz="0" w:space="0" w:color="auto"/>
            <w:left w:val="none" w:sz="0" w:space="0" w:color="auto"/>
            <w:bottom w:val="none" w:sz="0" w:space="0" w:color="auto"/>
            <w:right w:val="none" w:sz="0" w:space="0" w:color="auto"/>
          </w:divBdr>
        </w:div>
        <w:div w:id="2024700770">
          <w:marLeft w:val="0"/>
          <w:marRight w:val="0"/>
          <w:marTop w:val="0"/>
          <w:marBottom w:val="0"/>
          <w:divBdr>
            <w:top w:val="none" w:sz="0" w:space="0" w:color="auto"/>
            <w:left w:val="none" w:sz="0" w:space="0" w:color="auto"/>
            <w:bottom w:val="none" w:sz="0" w:space="0" w:color="auto"/>
            <w:right w:val="none" w:sz="0" w:space="0" w:color="auto"/>
          </w:divBdr>
        </w:div>
        <w:div w:id="2024700771">
          <w:marLeft w:val="0"/>
          <w:marRight w:val="0"/>
          <w:marTop w:val="0"/>
          <w:marBottom w:val="0"/>
          <w:divBdr>
            <w:top w:val="none" w:sz="0" w:space="0" w:color="auto"/>
            <w:left w:val="none" w:sz="0" w:space="0" w:color="auto"/>
            <w:bottom w:val="none" w:sz="0" w:space="0" w:color="auto"/>
            <w:right w:val="none" w:sz="0" w:space="0" w:color="auto"/>
          </w:divBdr>
        </w:div>
        <w:div w:id="2024700772">
          <w:marLeft w:val="0"/>
          <w:marRight w:val="0"/>
          <w:marTop w:val="0"/>
          <w:marBottom w:val="0"/>
          <w:divBdr>
            <w:top w:val="none" w:sz="0" w:space="0" w:color="auto"/>
            <w:left w:val="none" w:sz="0" w:space="0" w:color="auto"/>
            <w:bottom w:val="none" w:sz="0" w:space="0" w:color="auto"/>
            <w:right w:val="none" w:sz="0" w:space="0" w:color="auto"/>
          </w:divBdr>
        </w:div>
        <w:div w:id="2024700773">
          <w:marLeft w:val="0"/>
          <w:marRight w:val="0"/>
          <w:marTop w:val="0"/>
          <w:marBottom w:val="0"/>
          <w:divBdr>
            <w:top w:val="none" w:sz="0" w:space="0" w:color="auto"/>
            <w:left w:val="none" w:sz="0" w:space="0" w:color="auto"/>
            <w:bottom w:val="none" w:sz="0" w:space="0" w:color="auto"/>
            <w:right w:val="none" w:sz="0" w:space="0" w:color="auto"/>
          </w:divBdr>
        </w:div>
        <w:div w:id="2024700774">
          <w:marLeft w:val="0"/>
          <w:marRight w:val="0"/>
          <w:marTop w:val="0"/>
          <w:marBottom w:val="0"/>
          <w:divBdr>
            <w:top w:val="none" w:sz="0" w:space="0" w:color="auto"/>
            <w:left w:val="none" w:sz="0" w:space="0" w:color="auto"/>
            <w:bottom w:val="none" w:sz="0" w:space="0" w:color="auto"/>
            <w:right w:val="none" w:sz="0" w:space="0" w:color="auto"/>
          </w:divBdr>
        </w:div>
        <w:div w:id="2024700775">
          <w:marLeft w:val="0"/>
          <w:marRight w:val="0"/>
          <w:marTop w:val="0"/>
          <w:marBottom w:val="0"/>
          <w:divBdr>
            <w:top w:val="none" w:sz="0" w:space="0" w:color="auto"/>
            <w:left w:val="none" w:sz="0" w:space="0" w:color="auto"/>
            <w:bottom w:val="none" w:sz="0" w:space="0" w:color="auto"/>
            <w:right w:val="none" w:sz="0" w:space="0" w:color="auto"/>
          </w:divBdr>
        </w:div>
        <w:div w:id="2024700776">
          <w:marLeft w:val="0"/>
          <w:marRight w:val="0"/>
          <w:marTop w:val="0"/>
          <w:marBottom w:val="0"/>
          <w:divBdr>
            <w:top w:val="none" w:sz="0" w:space="0" w:color="auto"/>
            <w:left w:val="none" w:sz="0" w:space="0" w:color="auto"/>
            <w:bottom w:val="none" w:sz="0" w:space="0" w:color="auto"/>
            <w:right w:val="none" w:sz="0" w:space="0" w:color="auto"/>
          </w:divBdr>
        </w:div>
        <w:div w:id="2024700777">
          <w:marLeft w:val="0"/>
          <w:marRight w:val="0"/>
          <w:marTop w:val="0"/>
          <w:marBottom w:val="0"/>
          <w:divBdr>
            <w:top w:val="none" w:sz="0" w:space="0" w:color="auto"/>
            <w:left w:val="none" w:sz="0" w:space="0" w:color="auto"/>
            <w:bottom w:val="none" w:sz="0" w:space="0" w:color="auto"/>
            <w:right w:val="none" w:sz="0" w:space="0" w:color="auto"/>
          </w:divBdr>
        </w:div>
        <w:div w:id="2024700778">
          <w:marLeft w:val="0"/>
          <w:marRight w:val="0"/>
          <w:marTop w:val="0"/>
          <w:marBottom w:val="0"/>
          <w:divBdr>
            <w:top w:val="none" w:sz="0" w:space="0" w:color="auto"/>
            <w:left w:val="none" w:sz="0" w:space="0" w:color="auto"/>
            <w:bottom w:val="none" w:sz="0" w:space="0" w:color="auto"/>
            <w:right w:val="none" w:sz="0" w:space="0" w:color="auto"/>
          </w:divBdr>
        </w:div>
        <w:div w:id="2024700779">
          <w:marLeft w:val="0"/>
          <w:marRight w:val="0"/>
          <w:marTop w:val="0"/>
          <w:marBottom w:val="0"/>
          <w:divBdr>
            <w:top w:val="none" w:sz="0" w:space="0" w:color="auto"/>
            <w:left w:val="none" w:sz="0" w:space="0" w:color="auto"/>
            <w:bottom w:val="none" w:sz="0" w:space="0" w:color="auto"/>
            <w:right w:val="none" w:sz="0" w:space="0" w:color="auto"/>
          </w:divBdr>
        </w:div>
        <w:div w:id="2024700780">
          <w:marLeft w:val="0"/>
          <w:marRight w:val="0"/>
          <w:marTop w:val="0"/>
          <w:marBottom w:val="0"/>
          <w:divBdr>
            <w:top w:val="none" w:sz="0" w:space="0" w:color="auto"/>
            <w:left w:val="none" w:sz="0" w:space="0" w:color="auto"/>
            <w:bottom w:val="none" w:sz="0" w:space="0" w:color="auto"/>
            <w:right w:val="none" w:sz="0" w:space="0" w:color="auto"/>
          </w:divBdr>
        </w:div>
        <w:div w:id="2024700781">
          <w:marLeft w:val="0"/>
          <w:marRight w:val="0"/>
          <w:marTop w:val="0"/>
          <w:marBottom w:val="0"/>
          <w:divBdr>
            <w:top w:val="none" w:sz="0" w:space="0" w:color="auto"/>
            <w:left w:val="none" w:sz="0" w:space="0" w:color="auto"/>
            <w:bottom w:val="none" w:sz="0" w:space="0" w:color="auto"/>
            <w:right w:val="none" w:sz="0" w:space="0" w:color="auto"/>
          </w:divBdr>
        </w:div>
        <w:div w:id="2024700782">
          <w:marLeft w:val="0"/>
          <w:marRight w:val="0"/>
          <w:marTop w:val="0"/>
          <w:marBottom w:val="0"/>
          <w:divBdr>
            <w:top w:val="none" w:sz="0" w:space="0" w:color="auto"/>
            <w:left w:val="none" w:sz="0" w:space="0" w:color="auto"/>
            <w:bottom w:val="none" w:sz="0" w:space="0" w:color="auto"/>
            <w:right w:val="none" w:sz="0" w:space="0" w:color="auto"/>
          </w:divBdr>
        </w:div>
        <w:div w:id="2024700783">
          <w:marLeft w:val="0"/>
          <w:marRight w:val="0"/>
          <w:marTop w:val="0"/>
          <w:marBottom w:val="0"/>
          <w:divBdr>
            <w:top w:val="none" w:sz="0" w:space="0" w:color="auto"/>
            <w:left w:val="none" w:sz="0" w:space="0" w:color="auto"/>
            <w:bottom w:val="none" w:sz="0" w:space="0" w:color="auto"/>
            <w:right w:val="none" w:sz="0" w:space="0" w:color="auto"/>
          </w:divBdr>
        </w:div>
        <w:div w:id="2024700784">
          <w:marLeft w:val="0"/>
          <w:marRight w:val="0"/>
          <w:marTop w:val="0"/>
          <w:marBottom w:val="0"/>
          <w:divBdr>
            <w:top w:val="none" w:sz="0" w:space="0" w:color="auto"/>
            <w:left w:val="none" w:sz="0" w:space="0" w:color="auto"/>
            <w:bottom w:val="none" w:sz="0" w:space="0" w:color="auto"/>
            <w:right w:val="none" w:sz="0" w:space="0" w:color="auto"/>
          </w:divBdr>
        </w:div>
        <w:div w:id="2024700785">
          <w:marLeft w:val="0"/>
          <w:marRight w:val="0"/>
          <w:marTop w:val="0"/>
          <w:marBottom w:val="0"/>
          <w:divBdr>
            <w:top w:val="none" w:sz="0" w:space="0" w:color="auto"/>
            <w:left w:val="none" w:sz="0" w:space="0" w:color="auto"/>
            <w:bottom w:val="none" w:sz="0" w:space="0" w:color="auto"/>
            <w:right w:val="none" w:sz="0" w:space="0" w:color="auto"/>
          </w:divBdr>
        </w:div>
        <w:div w:id="2024700786">
          <w:marLeft w:val="0"/>
          <w:marRight w:val="0"/>
          <w:marTop w:val="0"/>
          <w:marBottom w:val="0"/>
          <w:divBdr>
            <w:top w:val="none" w:sz="0" w:space="0" w:color="auto"/>
            <w:left w:val="none" w:sz="0" w:space="0" w:color="auto"/>
            <w:bottom w:val="none" w:sz="0" w:space="0" w:color="auto"/>
            <w:right w:val="none" w:sz="0" w:space="0" w:color="auto"/>
          </w:divBdr>
        </w:div>
        <w:div w:id="2024700787">
          <w:marLeft w:val="0"/>
          <w:marRight w:val="0"/>
          <w:marTop w:val="0"/>
          <w:marBottom w:val="0"/>
          <w:divBdr>
            <w:top w:val="none" w:sz="0" w:space="0" w:color="auto"/>
            <w:left w:val="none" w:sz="0" w:space="0" w:color="auto"/>
            <w:bottom w:val="none" w:sz="0" w:space="0" w:color="auto"/>
            <w:right w:val="none" w:sz="0" w:space="0" w:color="auto"/>
          </w:divBdr>
        </w:div>
        <w:div w:id="2024700788">
          <w:marLeft w:val="0"/>
          <w:marRight w:val="0"/>
          <w:marTop w:val="0"/>
          <w:marBottom w:val="0"/>
          <w:divBdr>
            <w:top w:val="none" w:sz="0" w:space="0" w:color="auto"/>
            <w:left w:val="none" w:sz="0" w:space="0" w:color="auto"/>
            <w:bottom w:val="none" w:sz="0" w:space="0" w:color="auto"/>
            <w:right w:val="none" w:sz="0" w:space="0" w:color="auto"/>
          </w:divBdr>
        </w:div>
        <w:div w:id="2024700789">
          <w:marLeft w:val="0"/>
          <w:marRight w:val="0"/>
          <w:marTop w:val="0"/>
          <w:marBottom w:val="0"/>
          <w:divBdr>
            <w:top w:val="none" w:sz="0" w:space="0" w:color="auto"/>
            <w:left w:val="none" w:sz="0" w:space="0" w:color="auto"/>
            <w:bottom w:val="none" w:sz="0" w:space="0" w:color="auto"/>
            <w:right w:val="none" w:sz="0" w:space="0" w:color="auto"/>
          </w:divBdr>
        </w:div>
        <w:div w:id="2024700790">
          <w:marLeft w:val="0"/>
          <w:marRight w:val="0"/>
          <w:marTop w:val="0"/>
          <w:marBottom w:val="0"/>
          <w:divBdr>
            <w:top w:val="none" w:sz="0" w:space="0" w:color="auto"/>
            <w:left w:val="none" w:sz="0" w:space="0" w:color="auto"/>
            <w:bottom w:val="none" w:sz="0" w:space="0" w:color="auto"/>
            <w:right w:val="none" w:sz="0" w:space="0" w:color="auto"/>
          </w:divBdr>
        </w:div>
        <w:div w:id="2024700791">
          <w:marLeft w:val="0"/>
          <w:marRight w:val="0"/>
          <w:marTop w:val="0"/>
          <w:marBottom w:val="0"/>
          <w:divBdr>
            <w:top w:val="none" w:sz="0" w:space="0" w:color="auto"/>
            <w:left w:val="none" w:sz="0" w:space="0" w:color="auto"/>
            <w:bottom w:val="none" w:sz="0" w:space="0" w:color="auto"/>
            <w:right w:val="none" w:sz="0" w:space="0" w:color="auto"/>
          </w:divBdr>
        </w:div>
        <w:div w:id="2024700792">
          <w:marLeft w:val="0"/>
          <w:marRight w:val="0"/>
          <w:marTop w:val="0"/>
          <w:marBottom w:val="0"/>
          <w:divBdr>
            <w:top w:val="none" w:sz="0" w:space="0" w:color="auto"/>
            <w:left w:val="none" w:sz="0" w:space="0" w:color="auto"/>
            <w:bottom w:val="none" w:sz="0" w:space="0" w:color="auto"/>
            <w:right w:val="none" w:sz="0" w:space="0" w:color="auto"/>
          </w:divBdr>
        </w:div>
        <w:div w:id="2024700793">
          <w:marLeft w:val="0"/>
          <w:marRight w:val="0"/>
          <w:marTop w:val="0"/>
          <w:marBottom w:val="0"/>
          <w:divBdr>
            <w:top w:val="none" w:sz="0" w:space="0" w:color="auto"/>
            <w:left w:val="none" w:sz="0" w:space="0" w:color="auto"/>
            <w:bottom w:val="none" w:sz="0" w:space="0" w:color="auto"/>
            <w:right w:val="none" w:sz="0" w:space="0" w:color="auto"/>
          </w:divBdr>
        </w:div>
        <w:div w:id="2024700794">
          <w:marLeft w:val="0"/>
          <w:marRight w:val="0"/>
          <w:marTop w:val="0"/>
          <w:marBottom w:val="0"/>
          <w:divBdr>
            <w:top w:val="none" w:sz="0" w:space="0" w:color="auto"/>
            <w:left w:val="none" w:sz="0" w:space="0" w:color="auto"/>
            <w:bottom w:val="none" w:sz="0" w:space="0" w:color="auto"/>
            <w:right w:val="none" w:sz="0" w:space="0" w:color="auto"/>
          </w:divBdr>
        </w:div>
        <w:div w:id="2024700795">
          <w:marLeft w:val="0"/>
          <w:marRight w:val="0"/>
          <w:marTop w:val="0"/>
          <w:marBottom w:val="0"/>
          <w:divBdr>
            <w:top w:val="none" w:sz="0" w:space="0" w:color="auto"/>
            <w:left w:val="none" w:sz="0" w:space="0" w:color="auto"/>
            <w:bottom w:val="none" w:sz="0" w:space="0" w:color="auto"/>
            <w:right w:val="none" w:sz="0" w:space="0" w:color="auto"/>
          </w:divBdr>
        </w:div>
        <w:div w:id="2024700796">
          <w:marLeft w:val="0"/>
          <w:marRight w:val="0"/>
          <w:marTop w:val="0"/>
          <w:marBottom w:val="0"/>
          <w:divBdr>
            <w:top w:val="none" w:sz="0" w:space="0" w:color="auto"/>
            <w:left w:val="none" w:sz="0" w:space="0" w:color="auto"/>
            <w:bottom w:val="none" w:sz="0" w:space="0" w:color="auto"/>
            <w:right w:val="none" w:sz="0" w:space="0" w:color="auto"/>
          </w:divBdr>
        </w:div>
        <w:div w:id="2024700797">
          <w:marLeft w:val="0"/>
          <w:marRight w:val="0"/>
          <w:marTop w:val="0"/>
          <w:marBottom w:val="0"/>
          <w:divBdr>
            <w:top w:val="none" w:sz="0" w:space="0" w:color="auto"/>
            <w:left w:val="none" w:sz="0" w:space="0" w:color="auto"/>
            <w:bottom w:val="none" w:sz="0" w:space="0" w:color="auto"/>
            <w:right w:val="none" w:sz="0" w:space="0" w:color="auto"/>
          </w:divBdr>
        </w:div>
        <w:div w:id="2024700798">
          <w:marLeft w:val="0"/>
          <w:marRight w:val="0"/>
          <w:marTop w:val="0"/>
          <w:marBottom w:val="0"/>
          <w:divBdr>
            <w:top w:val="none" w:sz="0" w:space="0" w:color="auto"/>
            <w:left w:val="none" w:sz="0" w:space="0" w:color="auto"/>
            <w:bottom w:val="none" w:sz="0" w:space="0" w:color="auto"/>
            <w:right w:val="none" w:sz="0" w:space="0" w:color="auto"/>
          </w:divBdr>
        </w:div>
        <w:div w:id="2024700799">
          <w:marLeft w:val="0"/>
          <w:marRight w:val="0"/>
          <w:marTop w:val="0"/>
          <w:marBottom w:val="0"/>
          <w:divBdr>
            <w:top w:val="none" w:sz="0" w:space="0" w:color="auto"/>
            <w:left w:val="none" w:sz="0" w:space="0" w:color="auto"/>
            <w:bottom w:val="none" w:sz="0" w:space="0" w:color="auto"/>
            <w:right w:val="none" w:sz="0" w:space="0" w:color="auto"/>
          </w:divBdr>
        </w:div>
        <w:div w:id="2024700800">
          <w:marLeft w:val="0"/>
          <w:marRight w:val="0"/>
          <w:marTop w:val="0"/>
          <w:marBottom w:val="0"/>
          <w:divBdr>
            <w:top w:val="none" w:sz="0" w:space="0" w:color="auto"/>
            <w:left w:val="none" w:sz="0" w:space="0" w:color="auto"/>
            <w:bottom w:val="none" w:sz="0" w:space="0" w:color="auto"/>
            <w:right w:val="none" w:sz="0" w:space="0" w:color="auto"/>
          </w:divBdr>
        </w:div>
        <w:div w:id="2024700801">
          <w:marLeft w:val="0"/>
          <w:marRight w:val="0"/>
          <w:marTop w:val="0"/>
          <w:marBottom w:val="0"/>
          <w:divBdr>
            <w:top w:val="none" w:sz="0" w:space="0" w:color="auto"/>
            <w:left w:val="none" w:sz="0" w:space="0" w:color="auto"/>
            <w:bottom w:val="none" w:sz="0" w:space="0" w:color="auto"/>
            <w:right w:val="none" w:sz="0" w:space="0" w:color="auto"/>
          </w:divBdr>
        </w:div>
        <w:div w:id="2024700802">
          <w:marLeft w:val="0"/>
          <w:marRight w:val="0"/>
          <w:marTop w:val="0"/>
          <w:marBottom w:val="0"/>
          <w:divBdr>
            <w:top w:val="none" w:sz="0" w:space="0" w:color="auto"/>
            <w:left w:val="none" w:sz="0" w:space="0" w:color="auto"/>
            <w:bottom w:val="none" w:sz="0" w:space="0" w:color="auto"/>
            <w:right w:val="none" w:sz="0" w:space="0" w:color="auto"/>
          </w:divBdr>
        </w:div>
        <w:div w:id="2024700803">
          <w:marLeft w:val="0"/>
          <w:marRight w:val="0"/>
          <w:marTop w:val="0"/>
          <w:marBottom w:val="0"/>
          <w:divBdr>
            <w:top w:val="none" w:sz="0" w:space="0" w:color="auto"/>
            <w:left w:val="none" w:sz="0" w:space="0" w:color="auto"/>
            <w:bottom w:val="none" w:sz="0" w:space="0" w:color="auto"/>
            <w:right w:val="none" w:sz="0" w:space="0" w:color="auto"/>
          </w:divBdr>
        </w:div>
        <w:div w:id="2024700804">
          <w:marLeft w:val="0"/>
          <w:marRight w:val="0"/>
          <w:marTop w:val="0"/>
          <w:marBottom w:val="0"/>
          <w:divBdr>
            <w:top w:val="none" w:sz="0" w:space="0" w:color="auto"/>
            <w:left w:val="none" w:sz="0" w:space="0" w:color="auto"/>
            <w:bottom w:val="none" w:sz="0" w:space="0" w:color="auto"/>
            <w:right w:val="none" w:sz="0" w:space="0" w:color="auto"/>
          </w:divBdr>
        </w:div>
        <w:div w:id="2024700805">
          <w:marLeft w:val="0"/>
          <w:marRight w:val="0"/>
          <w:marTop w:val="0"/>
          <w:marBottom w:val="0"/>
          <w:divBdr>
            <w:top w:val="none" w:sz="0" w:space="0" w:color="auto"/>
            <w:left w:val="none" w:sz="0" w:space="0" w:color="auto"/>
            <w:bottom w:val="none" w:sz="0" w:space="0" w:color="auto"/>
            <w:right w:val="none" w:sz="0" w:space="0" w:color="auto"/>
          </w:divBdr>
        </w:div>
        <w:div w:id="2024700806">
          <w:marLeft w:val="0"/>
          <w:marRight w:val="0"/>
          <w:marTop w:val="0"/>
          <w:marBottom w:val="0"/>
          <w:divBdr>
            <w:top w:val="none" w:sz="0" w:space="0" w:color="auto"/>
            <w:left w:val="none" w:sz="0" w:space="0" w:color="auto"/>
            <w:bottom w:val="none" w:sz="0" w:space="0" w:color="auto"/>
            <w:right w:val="none" w:sz="0" w:space="0" w:color="auto"/>
          </w:divBdr>
        </w:div>
        <w:div w:id="2024700807">
          <w:marLeft w:val="0"/>
          <w:marRight w:val="0"/>
          <w:marTop w:val="0"/>
          <w:marBottom w:val="0"/>
          <w:divBdr>
            <w:top w:val="none" w:sz="0" w:space="0" w:color="auto"/>
            <w:left w:val="none" w:sz="0" w:space="0" w:color="auto"/>
            <w:bottom w:val="none" w:sz="0" w:space="0" w:color="auto"/>
            <w:right w:val="none" w:sz="0" w:space="0" w:color="auto"/>
          </w:divBdr>
        </w:div>
        <w:div w:id="2024700808">
          <w:marLeft w:val="0"/>
          <w:marRight w:val="0"/>
          <w:marTop w:val="0"/>
          <w:marBottom w:val="0"/>
          <w:divBdr>
            <w:top w:val="none" w:sz="0" w:space="0" w:color="auto"/>
            <w:left w:val="none" w:sz="0" w:space="0" w:color="auto"/>
            <w:bottom w:val="none" w:sz="0" w:space="0" w:color="auto"/>
            <w:right w:val="none" w:sz="0" w:space="0" w:color="auto"/>
          </w:divBdr>
        </w:div>
        <w:div w:id="2024700809">
          <w:marLeft w:val="0"/>
          <w:marRight w:val="0"/>
          <w:marTop w:val="0"/>
          <w:marBottom w:val="0"/>
          <w:divBdr>
            <w:top w:val="none" w:sz="0" w:space="0" w:color="auto"/>
            <w:left w:val="none" w:sz="0" w:space="0" w:color="auto"/>
            <w:bottom w:val="none" w:sz="0" w:space="0" w:color="auto"/>
            <w:right w:val="none" w:sz="0" w:space="0" w:color="auto"/>
          </w:divBdr>
        </w:div>
        <w:div w:id="2024700810">
          <w:marLeft w:val="0"/>
          <w:marRight w:val="0"/>
          <w:marTop w:val="0"/>
          <w:marBottom w:val="0"/>
          <w:divBdr>
            <w:top w:val="none" w:sz="0" w:space="0" w:color="auto"/>
            <w:left w:val="none" w:sz="0" w:space="0" w:color="auto"/>
            <w:bottom w:val="none" w:sz="0" w:space="0" w:color="auto"/>
            <w:right w:val="none" w:sz="0" w:space="0" w:color="auto"/>
          </w:divBdr>
        </w:div>
        <w:div w:id="2024700811">
          <w:marLeft w:val="0"/>
          <w:marRight w:val="0"/>
          <w:marTop w:val="0"/>
          <w:marBottom w:val="0"/>
          <w:divBdr>
            <w:top w:val="none" w:sz="0" w:space="0" w:color="auto"/>
            <w:left w:val="none" w:sz="0" w:space="0" w:color="auto"/>
            <w:bottom w:val="none" w:sz="0" w:space="0" w:color="auto"/>
            <w:right w:val="none" w:sz="0" w:space="0" w:color="auto"/>
          </w:divBdr>
        </w:div>
        <w:div w:id="2024700812">
          <w:marLeft w:val="0"/>
          <w:marRight w:val="0"/>
          <w:marTop w:val="0"/>
          <w:marBottom w:val="0"/>
          <w:divBdr>
            <w:top w:val="none" w:sz="0" w:space="0" w:color="auto"/>
            <w:left w:val="none" w:sz="0" w:space="0" w:color="auto"/>
            <w:bottom w:val="none" w:sz="0" w:space="0" w:color="auto"/>
            <w:right w:val="none" w:sz="0" w:space="0" w:color="auto"/>
          </w:divBdr>
        </w:div>
        <w:div w:id="2024700813">
          <w:marLeft w:val="0"/>
          <w:marRight w:val="0"/>
          <w:marTop w:val="0"/>
          <w:marBottom w:val="0"/>
          <w:divBdr>
            <w:top w:val="none" w:sz="0" w:space="0" w:color="auto"/>
            <w:left w:val="none" w:sz="0" w:space="0" w:color="auto"/>
            <w:bottom w:val="none" w:sz="0" w:space="0" w:color="auto"/>
            <w:right w:val="none" w:sz="0" w:space="0" w:color="auto"/>
          </w:divBdr>
        </w:div>
        <w:div w:id="2024700814">
          <w:marLeft w:val="0"/>
          <w:marRight w:val="0"/>
          <w:marTop w:val="0"/>
          <w:marBottom w:val="0"/>
          <w:divBdr>
            <w:top w:val="none" w:sz="0" w:space="0" w:color="auto"/>
            <w:left w:val="none" w:sz="0" w:space="0" w:color="auto"/>
            <w:bottom w:val="none" w:sz="0" w:space="0" w:color="auto"/>
            <w:right w:val="none" w:sz="0" w:space="0" w:color="auto"/>
          </w:divBdr>
        </w:div>
        <w:div w:id="2024700815">
          <w:marLeft w:val="0"/>
          <w:marRight w:val="0"/>
          <w:marTop w:val="0"/>
          <w:marBottom w:val="0"/>
          <w:divBdr>
            <w:top w:val="none" w:sz="0" w:space="0" w:color="auto"/>
            <w:left w:val="none" w:sz="0" w:space="0" w:color="auto"/>
            <w:bottom w:val="none" w:sz="0" w:space="0" w:color="auto"/>
            <w:right w:val="none" w:sz="0" w:space="0" w:color="auto"/>
          </w:divBdr>
        </w:div>
        <w:div w:id="2024700816">
          <w:marLeft w:val="0"/>
          <w:marRight w:val="0"/>
          <w:marTop w:val="0"/>
          <w:marBottom w:val="0"/>
          <w:divBdr>
            <w:top w:val="none" w:sz="0" w:space="0" w:color="auto"/>
            <w:left w:val="none" w:sz="0" w:space="0" w:color="auto"/>
            <w:bottom w:val="none" w:sz="0" w:space="0" w:color="auto"/>
            <w:right w:val="none" w:sz="0" w:space="0" w:color="auto"/>
          </w:divBdr>
        </w:div>
        <w:div w:id="2024700817">
          <w:marLeft w:val="0"/>
          <w:marRight w:val="0"/>
          <w:marTop w:val="0"/>
          <w:marBottom w:val="0"/>
          <w:divBdr>
            <w:top w:val="none" w:sz="0" w:space="0" w:color="auto"/>
            <w:left w:val="none" w:sz="0" w:space="0" w:color="auto"/>
            <w:bottom w:val="none" w:sz="0" w:space="0" w:color="auto"/>
            <w:right w:val="none" w:sz="0" w:space="0" w:color="auto"/>
          </w:divBdr>
        </w:div>
        <w:div w:id="2024700818">
          <w:marLeft w:val="0"/>
          <w:marRight w:val="0"/>
          <w:marTop w:val="0"/>
          <w:marBottom w:val="0"/>
          <w:divBdr>
            <w:top w:val="none" w:sz="0" w:space="0" w:color="auto"/>
            <w:left w:val="none" w:sz="0" w:space="0" w:color="auto"/>
            <w:bottom w:val="none" w:sz="0" w:space="0" w:color="auto"/>
            <w:right w:val="none" w:sz="0" w:space="0" w:color="auto"/>
          </w:divBdr>
        </w:div>
        <w:div w:id="2024700820">
          <w:marLeft w:val="0"/>
          <w:marRight w:val="0"/>
          <w:marTop w:val="0"/>
          <w:marBottom w:val="0"/>
          <w:divBdr>
            <w:top w:val="none" w:sz="0" w:space="0" w:color="auto"/>
            <w:left w:val="none" w:sz="0" w:space="0" w:color="auto"/>
            <w:bottom w:val="none" w:sz="0" w:space="0" w:color="auto"/>
            <w:right w:val="none" w:sz="0" w:space="0" w:color="auto"/>
          </w:divBdr>
        </w:div>
        <w:div w:id="2024700821">
          <w:marLeft w:val="0"/>
          <w:marRight w:val="0"/>
          <w:marTop w:val="0"/>
          <w:marBottom w:val="0"/>
          <w:divBdr>
            <w:top w:val="none" w:sz="0" w:space="0" w:color="auto"/>
            <w:left w:val="none" w:sz="0" w:space="0" w:color="auto"/>
            <w:bottom w:val="none" w:sz="0" w:space="0" w:color="auto"/>
            <w:right w:val="none" w:sz="0" w:space="0" w:color="auto"/>
          </w:divBdr>
        </w:div>
        <w:div w:id="2024700822">
          <w:marLeft w:val="0"/>
          <w:marRight w:val="0"/>
          <w:marTop w:val="0"/>
          <w:marBottom w:val="0"/>
          <w:divBdr>
            <w:top w:val="none" w:sz="0" w:space="0" w:color="auto"/>
            <w:left w:val="none" w:sz="0" w:space="0" w:color="auto"/>
            <w:bottom w:val="none" w:sz="0" w:space="0" w:color="auto"/>
            <w:right w:val="none" w:sz="0" w:space="0" w:color="auto"/>
          </w:divBdr>
        </w:div>
        <w:div w:id="2024700823">
          <w:marLeft w:val="0"/>
          <w:marRight w:val="0"/>
          <w:marTop w:val="0"/>
          <w:marBottom w:val="0"/>
          <w:divBdr>
            <w:top w:val="none" w:sz="0" w:space="0" w:color="auto"/>
            <w:left w:val="none" w:sz="0" w:space="0" w:color="auto"/>
            <w:bottom w:val="none" w:sz="0" w:space="0" w:color="auto"/>
            <w:right w:val="none" w:sz="0" w:space="0" w:color="auto"/>
          </w:divBdr>
        </w:div>
        <w:div w:id="2024700824">
          <w:marLeft w:val="0"/>
          <w:marRight w:val="0"/>
          <w:marTop w:val="0"/>
          <w:marBottom w:val="0"/>
          <w:divBdr>
            <w:top w:val="none" w:sz="0" w:space="0" w:color="auto"/>
            <w:left w:val="none" w:sz="0" w:space="0" w:color="auto"/>
            <w:bottom w:val="none" w:sz="0" w:space="0" w:color="auto"/>
            <w:right w:val="none" w:sz="0" w:space="0" w:color="auto"/>
          </w:divBdr>
        </w:div>
        <w:div w:id="2024700825">
          <w:marLeft w:val="0"/>
          <w:marRight w:val="0"/>
          <w:marTop w:val="0"/>
          <w:marBottom w:val="0"/>
          <w:divBdr>
            <w:top w:val="none" w:sz="0" w:space="0" w:color="auto"/>
            <w:left w:val="none" w:sz="0" w:space="0" w:color="auto"/>
            <w:bottom w:val="none" w:sz="0" w:space="0" w:color="auto"/>
            <w:right w:val="none" w:sz="0" w:space="0" w:color="auto"/>
          </w:divBdr>
        </w:div>
        <w:div w:id="2024700826">
          <w:marLeft w:val="0"/>
          <w:marRight w:val="0"/>
          <w:marTop w:val="0"/>
          <w:marBottom w:val="0"/>
          <w:divBdr>
            <w:top w:val="none" w:sz="0" w:space="0" w:color="auto"/>
            <w:left w:val="none" w:sz="0" w:space="0" w:color="auto"/>
            <w:bottom w:val="none" w:sz="0" w:space="0" w:color="auto"/>
            <w:right w:val="none" w:sz="0" w:space="0" w:color="auto"/>
          </w:divBdr>
        </w:div>
        <w:div w:id="2024700827">
          <w:marLeft w:val="0"/>
          <w:marRight w:val="0"/>
          <w:marTop w:val="0"/>
          <w:marBottom w:val="0"/>
          <w:divBdr>
            <w:top w:val="none" w:sz="0" w:space="0" w:color="auto"/>
            <w:left w:val="none" w:sz="0" w:space="0" w:color="auto"/>
            <w:bottom w:val="none" w:sz="0" w:space="0" w:color="auto"/>
            <w:right w:val="none" w:sz="0" w:space="0" w:color="auto"/>
          </w:divBdr>
        </w:div>
        <w:div w:id="2024700828">
          <w:marLeft w:val="0"/>
          <w:marRight w:val="0"/>
          <w:marTop w:val="0"/>
          <w:marBottom w:val="0"/>
          <w:divBdr>
            <w:top w:val="none" w:sz="0" w:space="0" w:color="auto"/>
            <w:left w:val="none" w:sz="0" w:space="0" w:color="auto"/>
            <w:bottom w:val="none" w:sz="0" w:space="0" w:color="auto"/>
            <w:right w:val="none" w:sz="0" w:space="0" w:color="auto"/>
          </w:divBdr>
        </w:div>
        <w:div w:id="2024700829">
          <w:marLeft w:val="0"/>
          <w:marRight w:val="0"/>
          <w:marTop w:val="0"/>
          <w:marBottom w:val="0"/>
          <w:divBdr>
            <w:top w:val="none" w:sz="0" w:space="0" w:color="auto"/>
            <w:left w:val="none" w:sz="0" w:space="0" w:color="auto"/>
            <w:bottom w:val="none" w:sz="0" w:space="0" w:color="auto"/>
            <w:right w:val="none" w:sz="0" w:space="0" w:color="auto"/>
          </w:divBdr>
        </w:div>
        <w:div w:id="2024700830">
          <w:marLeft w:val="0"/>
          <w:marRight w:val="0"/>
          <w:marTop w:val="0"/>
          <w:marBottom w:val="0"/>
          <w:divBdr>
            <w:top w:val="none" w:sz="0" w:space="0" w:color="auto"/>
            <w:left w:val="none" w:sz="0" w:space="0" w:color="auto"/>
            <w:bottom w:val="none" w:sz="0" w:space="0" w:color="auto"/>
            <w:right w:val="none" w:sz="0" w:space="0" w:color="auto"/>
          </w:divBdr>
        </w:div>
        <w:div w:id="2024700832">
          <w:marLeft w:val="0"/>
          <w:marRight w:val="0"/>
          <w:marTop w:val="0"/>
          <w:marBottom w:val="0"/>
          <w:divBdr>
            <w:top w:val="none" w:sz="0" w:space="0" w:color="auto"/>
            <w:left w:val="none" w:sz="0" w:space="0" w:color="auto"/>
            <w:bottom w:val="none" w:sz="0" w:space="0" w:color="auto"/>
            <w:right w:val="none" w:sz="0" w:space="0" w:color="auto"/>
          </w:divBdr>
        </w:div>
        <w:div w:id="2024700833">
          <w:marLeft w:val="0"/>
          <w:marRight w:val="0"/>
          <w:marTop w:val="0"/>
          <w:marBottom w:val="0"/>
          <w:divBdr>
            <w:top w:val="none" w:sz="0" w:space="0" w:color="auto"/>
            <w:left w:val="none" w:sz="0" w:space="0" w:color="auto"/>
            <w:bottom w:val="none" w:sz="0" w:space="0" w:color="auto"/>
            <w:right w:val="none" w:sz="0" w:space="0" w:color="auto"/>
          </w:divBdr>
        </w:div>
        <w:div w:id="2024700835">
          <w:marLeft w:val="0"/>
          <w:marRight w:val="0"/>
          <w:marTop w:val="0"/>
          <w:marBottom w:val="0"/>
          <w:divBdr>
            <w:top w:val="none" w:sz="0" w:space="0" w:color="auto"/>
            <w:left w:val="none" w:sz="0" w:space="0" w:color="auto"/>
            <w:bottom w:val="none" w:sz="0" w:space="0" w:color="auto"/>
            <w:right w:val="none" w:sz="0" w:space="0" w:color="auto"/>
          </w:divBdr>
        </w:div>
        <w:div w:id="2024700836">
          <w:marLeft w:val="0"/>
          <w:marRight w:val="0"/>
          <w:marTop w:val="0"/>
          <w:marBottom w:val="0"/>
          <w:divBdr>
            <w:top w:val="none" w:sz="0" w:space="0" w:color="auto"/>
            <w:left w:val="none" w:sz="0" w:space="0" w:color="auto"/>
            <w:bottom w:val="none" w:sz="0" w:space="0" w:color="auto"/>
            <w:right w:val="none" w:sz="0" w:space="0" w:color="auto"/>
          </w:divBdr>
        </w:div>
        <w:div w:id="2024700837">
          <w:marLeft w:val="0"/>
          <w:marRight w:val="0"/>
          <w:marTop w:val="0"/>
          <w:marBottom w:val="0"/>
          <w:divBdr>
            <w:top w:val="none" w:sz="0" w:space="0" w:color="auto"/>
            <w:left w:val="none" w:sz="0" w:space="0" w:color="auto"/>
            <w:bottom w:val="none" w:sz="0" w:space="0" w:color="auto"/>
            <w:right w:val="none" w:sz="0" w:space="0" w:color="auto"/>
          </w:divBdr>
        </w:div>
        <w:div w:id="2024700838">
          <w:marLeft w:val="0"/>
          <w:marRight w:val="0"/>
          <w:marTop w:val="0"/>
          <w:marBottom w:val="0"/>
          <w:divBdr>
            <w:top w:val="none" w:sz="0" w:space="0" w:color="auto"/>
            <w:left w:val="none" w:sz="0" w:space="0" w:color="auto"/>
            <w:bottom w:val="none" w:sz="0" w:space="0" w:color="auto"/>
            <w:right w:val="none" w:sz="0" w:space="0" w:color="auto"/>
          </w:divBdr>
        </w:div>
        <w:div w:id="2024700839">
          <w:marLeft w:val="0"/>
          <w:marRight w:val="0"/>
          <w:marTop w:val="0"/>
          <w:marBottom w:val="0"/>
          <w:divBdr>
            <w:top w:val="none" w:sz="0" w:space="0" w:color="auto"/>
            <w:left w:val="none" w:sz="0" w:space="0" w:color="auto"/>
            <w:bottom w:val="none" w:sz="0" w:space="0" w:color="auto"/>
            <w:right w:val="none" w:sz="0" w:space="0" w:color="auto"/>
          </w:divBdr>
        </w:div>
        <w:div w:id="2024700840">
          <w:marLeft w:val="0"/>
          <w:marRight w:val="0"/>
          <w:marTop w:val="0"/>
          <w:marBottom w:val="0"/>
          <w:divBdr>
            <w:top w:val="none" w:sz="0" w:space="0" w:color="auto"/>
            <w:left w:val="none" w:sz="0" w:space="0" w:color="auto"/>
            <w:bottom w:val="none" w:sz="0" w:space="0" w:color="auto"/>
            <w:right w:val="none" w:sz="0" w:space="0" w:color="auto"/>
          </w:divBdr>
        </w:div>
        <w:div w:id="2024700841">
          <w:marLeft w:val="0"/>
          <w:marRight w:val="0"/>
          <w:marTop w:val="0"/>
          <w:marBottom w:val="0"/>
          <w:divBdr>
            <w:top w:val="none" w:sz="0" w:space="0" w:color="auto"/>
            <w:left w:val="none" w:sz="0" w:space="0" w:color="auto"/>
            <w:bottom w:val="none" w:sz="0" w:space="0" w:color="auto"/>
            <w:right w:val="none" w:sz="0" w:space="0" w:color="auto"/>
          </w:divBdr>
        </w:div>
        <w:div w:id="2024700842">
          <w:marLeft w:val="0"/>
          <w:marRight w:val="0"/>
          <w:marTop w:val="0"/>
          <w:marBottom w:val="0"/>
          <w:divBdr>
            <w:top w:val="none" w:sz="0" w:space="0" w:color="auto"/>
            <w:left w:val="none" w:sz="0" w:space="0" w:color="auto"/>
            <w:bottom w:val="none" w:sz="0" w:space="0" w:color="auto"/>
            <w:right w:val="none" w:sz="0" w:space="0" w:color="auto"/>
          </w:divBdr>
        </w:div>
        <w:div w:id="2024700843">
          <w:marLeft w:val="0"/>
          <w:marRight w:val="0"/>
          <w:marTop w:val="0"/>
          <w:marBottom w:val="0"/>
          <w:divBdr>
            <w:top w:val="none" w:sz="0" w:space="0" w:color="auto"/>
            <w:left w:val="none" w:sz="0" w:space="0" w:color="auto"/>
            <w:bottom w:val="none" w:sz="0" w:space="0" w:color="auto"/>
            <w:right w:val="none" w:sz="0" w:space="0" w:color="auto"/>
          </w:divBdr>
        </w:div>
        <w:div w:id="2024700844">
          <w:marLeft w:val="0"/>
          <w:marRight w:val="0"/>
          <w:marTop w:val="0"/>
          <w:marBottom w:val="0"/>
          <w:divBdr>
            <w:top w:val="none" w:sz="0" w:space="0" w:color="auto"/>
            <w:left w:val="none" w:sz="0" w:space="0" w:color="auto"/>
            <w:bottom w:val="none" w:sz="0" w:space="0" w:color="auto"/>
            <w:right w:val="none" w:sz="0" w:space="0" w:color="auto"/>
          </w:divBdr>
        </w:div>
        <w:div w:id="2024700845">
          <w:marLeft w:val="0"/>
          <w:marRight w:val="0"/>
          <w:marTop w:val="0"/>
          <w:marBottom w:val="0"/>
          <w:divBdr>
            <w:top w:val="none" w:sz="0" w:space="0" w:color="auto"/>
            <w:left w:val="none" w:sz="0" w:space="0" w:color="auto"/>
            <w:bottom w:val="none" w:sz="0" w:space="0" w:color="auto"/>
            <w:right w:val="none" w:sz="0" w:space="0" w:color="auto"/>
          </w:divBdr>
        </w:div>
        <w:div w:id="2024700846">
          <w:marLeft w:val="0"/>
          <w:marRight w:val="0"/>
          <w:marTop w:val="0"/>
          <w:marBottom w:val="0"/>
          <w:divBdr>
            <w:top w:val="none" w:sz="0" w:space="0" w:color="auto"/>
            <w:left w:val="none" w:sz="0" w:space="0" w:color="auto"/>
            <w:bottom w:val="none" w:sz="0" w:space="0" w:color="auto"/>
            <w:right w:val="none" w:sz="0" w:space="0" w:color="auto"/>
          </w:divBdr>
        </w:div>
        <w:div w:id="2024700847">
          <w:marLeft w:val="0"/>
          <w:marRight w:val="0"/>
          <w:marTop w:val="0"/>
          <w:marBottom w:val="0"/>
          <w:divBdr>
            <w:top w:val="none" w:sz="0" w:space="0" w:color="auto"/>
            <w:left w:val="none" w:sz="0" w:space="0" w:color="auto"/>
            <w:bottom w:val="none" w:sz="0" w:space="0" w:color="auto"/>
            <w:right w:val="none" w:sz="0" w:space="0" w:color="auto"/>
          </w:divBdr>
        </w:div>
        <w:div w:id="2024700848">
          <w:marLeft w:val="0"/>
          <w:marRight w:val="0"/>
          <w:marTop w:val="0"/>
          <w:marBottom w:val="0"/>
          <w:divBdr>
            <w:top w:val="none" w:sz="0" w:space="0" w:color="auto"/>
            <w:left w:val="none" w:sz="0" w:space="0" w:color="auto"/>
            <w:bottom w:val="none" w:sz="0" w:space="0" w:color="auto"/>
            <w:right w:val="none" w:sz="0" w:space="0" w:color="auto"/>
          </w:divBdr>
        </w:div>
        <w:div w:id="2024700849">
          <w:marLeft w:val="0"/>
          <w:marRight w:val="0"/>
          <w:marTop w:val="0"/>
          <w:marBottom w:val="0"/>
          <w:divBdr>
            <w:top w:val="none" w:sz="0" w:space="0" w:color="auto"/>
            <w:left w:val="none" w:sz="0" w:space="0" w:color="auto"/>
            <w:bottom w:val="none" w:sz="0" w:space="0" w:color="auto"/>
            <w:right w:val="none" w:sz="0" w:space="0" w:color="auto"/>
          </w:divBdr>
        </w:div>
        <w:div w:id="2024700850">
          <w:marLeft w:val="0"/>
          <w:marRight w:val="0"/>
          <w:marTop w:val="0"/>
          <w:marBottom w:val="0"/>
          <w:divBdr>
            <w:top w:val="none" w:sz="0" w:space="0" w:color="auto"/>
            <w:left w:val="none" w:sz="0" w:space="0" w:color="auto"/>
            <w:bottom w:val="none" w:sz="0" w:space="0" w:color="auto"/>
            <w:right w:val="none" w:sz="0" w:space="0" w:color="auto"/>
          </w:divBdr>
        </w:div>
        <w:div w:id="2024700851">
          <w:marLeft w:val="0"/>
          <w:marRight w:val="0"/>
          <w:marTop w:val="0"/>
          <w:marBottom w:val="0"/>
          <w:divBdr>
            <w:top w:val="none" w:sz="0" w:space="0" w:color="auto"/>
            <w:left w:val="none" w:sz="0" w:space="0" w:color="auto"/>
            <w:bottom w:val="none" w:sz="0" w:space="0" w:color="auto"/>
            <w:right w:val="none" w:sz="0" w:space="0" w:color="auto"/>
          </w:divBdr>
        </w:div>
        <w:div w:id="2024700852">
          <w:marLeft w:val="0"/>
          <w:marRight w:val="0"/>
          <w:marTop w:val="0"/>
          <w:marBottom w:val="0"/>
          <w:divBdr>
            <w:top w:val="none" w:sz="0" w:space="0" w:color="auto"/>
            <w:left w:val="none" w:sz="0" w:space="0" w:color="auto"/>
            <w:bottom w:val="none" w:sz="0" w:space="0" w:color="auto"/>
            <w:right w:val="none" w:sz="0" w:space="0" w:color="auto"/>
          </w:divBdr>
        </w:div>
        <w:div w:id="2024700853">
          <w:marLeft w:val="0"/>
          <w:marRight w:val="0"/>
          <w:marTop w:val="0"/>
          <w:marBottom w:val="0"/>
          <w:divBdr>
            <w:top w:val="none" w:sz="0" w:space="0" w:color="auto"/>
            <w:left w:val="none" w:sz="0" w:space="0" w:color="auto"/>
            <w:bottom w:val="none" w:sz="0" w:space="0" w:color="auto"/>
            <w:right w:val="none" w:sz="0" w:space="0" w:color="auto"/>
          </w:divBdr>
        </w:div>
        <w:div w:id="2024700854">
          <w:marLeft w:val="0"/>
          <w:marRight w:val="0"/>
          <w:marTop w:val="0"/>
          <w:marBottom w:val="0"/>
          <w:divBdr>
            <w:top w:val="none" w:sz="0" w:space="0" w:color="auto"/>
            <w:left w:val="none" w:sz="0" w:space="0" w:color="auto"/>
            <w:bottom w:val="none" w:sz="0" w:space="0" w:color="auto"/>
            <w:right w:val="none" w:sz="0" w:space="0" w:color="auto"/>
          </w:divBdr>
        </w:div>
        <w:div w:id="2024700855">
          <w:marLeft w:val="0"/>
          <w:marRight w:val="0"/>
          <w:marTop w:val="0"/>
          <w:marBottom w:val="0"/>
          <w:divBdr>
            <w:top w:val="none" w:sz="0" w:space="0" w:color="auto"/>
            <w:left w:val="none" w:sz="0" w:space="0" w:color="auto"/>
            <w:bottom w:val="none" w:sz="0" w:space="0" w:color="auto"/>
            <w:right w:val="none" w:sz="0" w:space="0" w:color="auto"/>
          </w:divBdr>
        </w:div>
        <w:div w:id="2024700856">
          <w:marLeft w:val="0"/>
          <w:marRight w:val="0"/>
          <w:marTop w:val="0"/>
          <w:marBottom w:val="0"/>
          <w:divBdr>
            <w:top w:val="none" w:sz="0" w:space="0" w:color="auto"/>
            <w:left w:val="none" w:sz="0" w:space="0" w:color="auto"/>
            <w:bottom w:val="none" w:sz="0" w:space="0" w:color="auto"/>
            <w:right w:val="none" w:sz="0" w:space="0" w:color="auto"/>
          </w:divBdr>
        </w:div>
        <w:div w:id="2024700857">
          <w:marLeft w:val="0"/>
          <w:marRight w:val="0"/>
          <w:marTop w:val="0"/>
          <w:marBottom w:val="0"/>
          <w:divBdr>
            <w:top w:val="none" w:sz="0" w:space="0" w:color="auto"/>
            <w:left w:val="none" w:sz="0" w:space="0" w:color="auto"/>
            <w:bottom w:val="none" w:sz="0" w:space="0" w:color="auto"/>
            <w:right w:val="none" w:sz="0" w:space="0" w:color="auto"/>
          </w:divBdr>
        </w:div>
        <w:div w:id="2024700858">
          <w:marLeft w:val="0"/>
          <w:marRight w:val="0"/>
          <w:marTop w:val="0"/>
          <w:marBottom w:val="0"/>
          <w:divBdr>
            <w:top w:val="none" w:sz="0" w:space="0" w:color="auto"/>
            <w:left w:val="none" w:sz="0" w:space="0" w:color="auto"/>
            <w:bottom w:val="none" w:sz="0" w:space="0" w:color="auto"/>
            <w:right w:val="none" w:sz="0" w:space="0" w:color="auto"/>
          </w:divBdr>
        </w:div>
        <w:div w:id="2024700859">
          <w:marLeft w:val="0"/>
          <w:marRight w:val="0"/>
          <w:marTop w:val="0"/>
          <w:marBottom w:val="0"/>
          <w:divBdr>
            <w:top w:val="none" w:sz="0" w:space="0" w:color="auto"/>
            <w:left w:val="none" w:sz="0" w:space="0" w:color="auto"/>
            <w:bottom w:val="none" w:sz="0" w:space="0" w:color="auto"/>
            <w:right w:val="none" w:sz="0" w:space="0" w:color="auto"/>
          </w:divBdr>
        </w:div>
        <w:div w:id="2024700860">
          <w:marLeft w:val="0"/>
          <w:marRight w:val="0"/>
          <w:marTop w:val="0"/>
          <w:marBottom w:val="0"/>
          <w:divBdr>
            <w:top w:val="none" w:sz="0" w:space="0" w:color="auto"/>
            <w:left w:val="none" w:sz="0" w:space="0" w:color="auto"/>
            <w:bottom w:val="none" w:sz="0" w:space="0" w:color="auto"/>
            <w:right w:val="none" w:sz="0" w:space="0" w:color="auto"/>
          </w:divBdr>
        </w:div>
        <w:div w:id="2024700861">
          <w:marLeft w:val="0"/>
          <w:marRight w:val="0"/>
          <w:marTop w:val="0"/>
          <w:marBottom w:val="0"/>
          <w:divBdr>
            <w:top w:val="none" w:sz="0" w:space="0" w:color="auto"/>
            <w:left w:val="none" w:sz="0" w:space="0" w:color="auto"/>
            <w:bottom w:val="none" w:sz="0" w:space="0" w:color="auto"/>
            <w:right w:val="none" w:sz="0" w:space="0" w:color="auto"/>
          </w:divBdr>
        </w:div>
        <w:div w:id="2024700862">
          <w:marLeft w:val="0"/>
          <w:marRight w:val="0"/>
          <w:marTop w:val="0"/>
          <w:marBottom w:val="0"/>
          <w:divBdr>
            <w:top w:val="none" w:sz="0" w:space="0" w:color="auto"/>
            <w:left w:val="none" w:sz="0" w:space="0" w:color="auto"/>
            <w:bottom w:val="none" w:sz="0" w:space="0" w:color="auto"/>
            <w:right w:val="none" w:sz="0" w:space="0" w:color="auto"/>
          </w:divBdr>
        </w:div>
        <w:div w:id="2024700864">
          <w:marLeft w:val="0"/>
          <w:marRight w:val="0"/>
          <w:marTop w:val="0"/>
          <w:marBottom w:val="0"/>
          <w:divBdr>
            <w:top w:val="none" w:sz="0" w:space="0" w:color="auto"/>
            <w:left w:val="none" w:sz="0" w:space="0" w:color="auto"/>
            <w:bottom w:val="none" w:sz="0" w:space="0" w:color="auto"/>
            <w:right w:val="none" w:sz="0" w:space="0" w:color="auto"/>
          </w:divBdr>
        </w:div>
        <w:div w:id="2024700865">
          <w:marLeft w:val="0"/>
          <w:marRight w:val="0"/>
          <w:marTop w:val="0"/>
          <w:marBottom w:val="0"/>
          <w:divBdr>
            <w:top w:val="none" w:sz="0" w:space="0" w:color="auto"/>
            <w:left w:val="none" w:sz="0" w:space="0" w:color="auto"/>
            <w:bottom w:val="none" w:sz="0" w:space="0" w:color="auto"/>
            <w:right w:val="none" w:sz="0" w:space="0" w:color="auto"/>
          </w:divBdr>
        </w:div>
        <w:div w:id="2024700866">
          <w:marLeft w:val="0"/>
          <w:marRight w:val="0"/>
          <w:marTop w:val="0"/>
          <w:marBottom w:val="0"/>
          <w:divBdr>
            <w:top w:val="none" w:sz="0" w:space="0" w:color="auto"/>
            <w:left w:val="none" w:sz="0" w:space="0" w:color="auto"/>
            <w:bottom w:val="none" w:sz="0" w:space="0" w:color="auto"/>
            <w:right w:val="none" w:sz="0" w:space="0" w:color="auto"/>
          </w:divBdr>
        </w:div>
        <w:div w:id="2024700867">
          <w:marLeft w:val="0"/>
          <w:marRight w:val="0"/>
          <w:marTop w:val="0"/>
          <w:marBottom w:val="0"/>
          <w:divBdr>
            <w:top w:val="none" w:sz="0" w:space="0" w:color="auto"/>
            <w:left w:val="none" w:sz="0" w:space="0" w:color="auto"/>
            <w:bottom w:val="none" w:sz="0" w:space="0" w:color="auto"/>
            <w:right w:val="none" w:sz="0" w:space="0" w:color="auto"/>
          </w:divBdr>
        </w:div>
        <w:div w:id="2024700868">
          <w:marLeft w:val="0"/>
          <w:marRight w:val="0"/>
          <w:marTop w:val="0"/>
          <w:marBottom w:val="0"/>
          <w:divBdr>
            <w:top w:val="none" w:sz="0" w:space="0" w:color="auto"/>
            <w:left w:val="none" w:sz="0" w:space="0" w:color="auto"/>
            <w:bottom w:val="none" w:sz="0" w:space="0" w:color="auto"/>
            <w:right w:val="none" w:sz="0" w:space="0" w:color="auto"/>
          </w:divBdr>
        </w:div>
        <w:div w:id="2024700869">
          <w:marLeft w:val="0"/>
          <w:marRight w:val="0"/>
          <w:marTop w:val="0"/>
          <w:marBottom w:val="0"/>
          <w:divBdr>
            <w:top w:val="none" w:sz="0" w:space="0" w:color="auto"/>
            <w:left w:val="none" w:sz="0" w:space="0" w:color="auto"/>
            <w:bottom w:val="none" w:sz="0" w:space="0" w:color="auto"/>
            <w:right w:val="none" w:sz="0" w:space="0" w:color="auto"/>
          </w:divBdr>
        </w:div>
        <w:div w:id="2024700870">
          <w:marLeft w:val="0"/>
          <w:marRight w:val="0"/>
          <w:marTop w:val="0"/>
          <w:marBottom w:val="0"/>
          <w:divBdr>
            <w:top w:val="none" w:sz="0" w:space="0" w:color="auto"/>
            <w:left w:val="none" w:sz="0" w:space="0" w:color="auto"/>
            <w:bottom w:val="none" w:sz="0" w:space="0" w:color="auto"/>
            <w:right w:val="none" w:sz="0" w:space="0" w:color="auto"/>
          </w:divBdr>
        </w:div>
        <w:div w:id="2024700871">
          <w:marLeft w:val="0"/>
          <w:marRight w:val="0"/>
          <w:marTop w:val="0"/>
          <w:marBottom w:val="0"/>
          <w:divBdr>
            <w:top w:val="none" w:sz="0" w:space="0" w:color="auto"/>
            <w:left w:val="none" w:sz="0" w:space="0" w:color="auto"/>
            <w:bottom w:val="none" w:sz="0" w:space="0" w:color="auto"/>
            <w:right w:val="none" w:sz="0" w:space="0" w:color="auto"/>
          </w:divBdr>
        </w:div>
        <w:div w:id="2024700872">
          <w:marLeft w:val="0"/>
          <w:marRight w:val="0"/>
          <w:marTop w:val="0"/>
          <w:marBottom w:val="0"/>
          <w:divBdr>
            <w:top w:val="none" w:sz="0" w:space="0" w:color="auto"/>
            <w:left w:val="none" w:sz="0" w:space="0" w:color="auto"/>
            <w:bottom w:val="none" w:sz="0" w:space="0" w:color="auto"/>
            <w:right w:val="none" w:sz="0" w:space="0" w:color="auto"/>
          </w:divBdr>
        </w:div>
        <w:div w:id="2024700873">
          <w:marLeft w:val="0"/>
          <w:marRight w:val="0"/>
          <w:marTop w:val="0"/>
          <w:marBottom w:val="0"/>
          <w:divBdr>
            <w:top w:val="none" w:sz="0" w:space="0" w:color="auto"/>
            <w:left w:val="none" w:sz="0" w:space="0" w:color="auto"/>
            <w:bottom w:val="none" w:sz="0" w:space="0" w:color="auto"/>
            <w:right w:val="none" w:sz="0" w:space="0" w:color="auto"/>
          </w:divBdr>
        </w:div>
        <w:div w:id="2024700874">
          <w:marLeft w:val="0"/>
          <w:marRight w:val="0"/>
          <w:marTop w:val="0"/>
          <w:marBottom w:val="0"/>
          <w:divBdr>
            <w:top w:val="none" w:sz="0" w:space="0" w:color="auto"/>
            <w:left w:val="none" w:sz="0" w:space="0" w:color="auto"/>
            <w:bottom w:val="none" w:sz="0" w:space="0" w:color="auto"/>
            <w:right w:val="none" w:sz="0" w:space="0" w:color="auto"/>
          </w:divBdr>
        </w:div>
        <w:div w:id="2024700875">
          <w:marLeft w:val="0"/>
          <w:marRight w:val="0"/>
          <w:marTop w:val="0"/>
          <w:marBottom w:val="0"/>
          <w:divBdr>
            <w:top w:val="none" w:sz="0" w:space="0" w:color="auto"/>
            <w:left w:val="none" w:sz="0" w:space="0" w:color="auto"/>
            <w:bottom w:val="none" w:sz="0" w:space="0" w:color="auto"/>
            <w:right w:val="none" w:sz="0" w:space="0" w:color="auto"/>
          </w:divBdr>
        </w:div>
        <w:div w:id="2024700876">
          <w:marLeft w:val="0"/>
          <w:marRight w:val="0"/>
          <w:marTop w:val="0"/>
          <w:marBottom w:val="0"/>
          <w:divBdr>
            <w:top w:val="none" w:sz="0" w:space="0" w:color="auto"/>
            <w:left w:val="none" w:sz="0" w:space="0" w:color="auto"/>
            <w:bottom w:val="none" w:sz="0" w:space="0" w:color="auto"/>
            <w:right w:val="none" w:sz="0" w:space="0" w:color="auto"/>
          </w:divBdr>
        </w:div>
        <w:div w:id="2024700877">
          <w:marLeft w:val="0"/>
          <w:marRight w:val="0"/>
          <w:marTop w:val="0"/>
          <w:marBottom w:val="0"/>
          <w:divBdr>
            <w:top w:val="none" w:sz="0" w:space="0" w:color="auto"/>
            <w:left w:val="none" w:sz="0" w:space="0" w:color="auto"/>
            <w:bottom w:val="none" w:sz="0" w:space="0" w:color="auto"/>
            <w:right w:val="none" w:sz="0" w:space="0" w:color="auto"/>
          </w:divBdr>
        </w:div>
        <w:div w:id="2024700878">
          <w:marLeft w:val="0"/>
          <w:marRight w:val="0"/>
          <w:marTop w:val="0"/>
          <w:marBottom w:val="0"/>
          <w:divBdr>
            <w:top w:val="none" w:sz="0" w:space="0" w:color="auto"/>
            <w:left w:val="none" w:sz="0" w:space="0" w:color="auto"/>
            <w:bottom w:val="none" w:sz="0" w:space="0" w:color="auto"/>
            <w:right w:val="none" w:sz="0" w:space="0" w:color="auto"/>
          </w:divBdr>
        </w:div>
        <w:div w:id="2024700879">
          <w:marLeft w:val="0"/>
          <w:marRight w:val="0"/>
          <w:marTop w:val="0"/>
          <w:marBottom w:val="0"/>
          <w:divBdr>
            <w:top w:val="none" w:sz="0" w:space="0" w:color="auto"/>
            <w:left w:val="none" w:sz="0" w:space="0" w:color="auto"/>
            <w:bottom w:val="none" w:sz="0" w:space="0" w:color="auto"/>
            <w:right w:val="none" w:sz="0" w:space="0" w:color="auto"/>
          </w:divBdr>
        </w:div>
        <w:div w:id="2024700880">
          <w:marLeft w:val="0"/>
          <w:marRight w:val="0"/>
          <w:marTop w:val="0"/>
          <w:marBottom w:val="0"/>
          <w:divBdr>
            <w:top w:val="none" w:sz="0" w:space="0" w:color="auto"/>
            <w:left w:val="none" w:sz="0" w:space="0" w:color="auto"/>
            <w:bottom w:val="none" w:sz="0" w:space="0" w:color="auto"/>
            <w:right w:val="none" w:sz="0" w:space="0" w:color="auto"/>
          </w:divBdr>
        </w:div>
        <w:div w:id="2024700881">
          <w:marLeft w:val="0"/>
          <w:marRight w:val="0"/>
          <w:marTop w:val="0"/>
          <w:marBottom w:val="0"/>
          <w:divBdr>
            <w:top w:val="none" w:sz="0" w:space="0" w:color="auto"/>
            <w:left w:val="none" w:sz="0" w:space="0" w:color="auto"/>
            <w:bottom w:val="none" w:sz="0" w:space="0" w:color="auto"/>
            <w:right w:val="none" w:sz="0" w:space="0" w:color="auto"/>
          </w:divBdr>
        </w:div>
        <w:div w:id="2024700882">
          <w:marLeft w:val="0"/>
          <w:marRight w:val="0"/>
          <w:marTop w:val="0"/>
          <w:marBottom w:val="0"/>
          <w:divBdr>
            <w:top w:val="none" w:sz="0" w:space="0" w:color="auto"/>
            <w:left w:val="none" w:sz="0" w:space="0" w:color="auto"/>
            <w:bottom w:val="none" w:sz="0" w:space="0" w:color="auto"/>
            <w:right w:val="none" w:sz="0" w:space="0" w:color="auto"/>
          </w:divBdr>
        </w:div>
        <w:div w:id="2024700883">
          <w:marLeft w:val="0"/>
          <w:marRight w:val="0"/>
          <w:marTop w:val="0"/>
          <w:marBottom w:val="0"/>
          <w:divBdr>
            <w:top w:val="none" w:sz="0" w:space="0" w:color="auto"/>
            <w:left w:val="none" w:sz="0" w:space="0" w:color="auto"/>
            <w:bottom w:val="none" w:sz="0" w:space="0" w:color="auto"/>
            <w:right w:val="none" w:sz="0" w:space="0" w:color="auto"/>
          </w:divBdr>
        </w:div>
        <w:div w:id="2024700884">
          <w:marLeft w:val="0"/>
          <w:marRight w:val="0"/>
          <w:marTop w:val="0"/>
          <w:marBottom w:val="0"/>
          <w:divBdr>
            <w:top w:val="none" w:sz="0" w:space="0" w:color="auto"/>
            <w:left w:val="none" w:sz="0" w:space="0" w:color="auto"/>
            <w:bottom w:val="none" w:sz="0" w:space="0" w:color="auto"/>
            <w:right w:val="none" w:sz="0" w:space="0" w:color="auto"/>
          </w:divBdr>
        </w:div>
        <w:div w:id="2024700885">
          <w:marLeft w:val="0"/>
          <w:marRight w:val="0"/>
          <w:marTop w:val="0"/>
          <w:marBottom w:val="0"/>
          <w:divBdr>
            <w:top w:val="none" w:sz="0" w:space="0" w:color="auto"/>
            <w:left w:val="none" w:sz="0" w:space="0" w:color="auto"/>
            <w:bottom w:val="none" w:sz="0" w:space="0" w:color="auto"/>
            <w:right w:val="none" w:sz="0" w:space="0" w:color="auto"/>
          </w:divBdr>
        </w:div>
        <w:div w:id="2024700886">
          <w:marLeft w:val="0"/>
          <w:marRight w:val="0"/>
          <w:marTop w:val="0"/>
          <w:marBottom w:val="0"/>
          <w:divBdr>
            <w:top w:val="none" w:sz="0" w:space="0" w:color="auto"/>
            <w:left w:val="none" w:sz="0" w:space="0" w:color="auto"/>
            <w:bottom w:val="none" w:sz="0" w:space="0" w:color="auto"/>
            <w:right w:val="none" w:sz="0" w:space="0" w:color="auto"/>
          </w:divBdr>
        </w:div>
        <w:div w:id="2024700887">
          <w:marLeft w:val="0"/>
          <w:marRight w:val="0"/>
          <w:marTop w:val="0"/>
          <w:marBottom w:val="0"/>
          <w:divBdr>
            <w:top w:val="none" w:sz="0" w:space="0" w:color="auto"/>
            <w:left w:val="none" w:sz="0" w:space="0" w:color="auto"/>
            <w:bottom w:val="none" w:sz="0" w:space="0" w:color="auto"/>
            <w:right w:val="none" w:sz="0" w:space="0" w:color="auto"/>
          </w:divBdr>
        </w:div>
        <w:div w:id="2024700888">
          <w:marLeft w:val="0"/>
          <w:marRight w:val="0"/>
          <w:marTop w:val="0"/>
          <w:marBottom w:val="0"/>
          <w:divBdr>
            <w:top w:val="none" w:sz="0" w:space="0" w:color="auto"/>
            <w:left w:val="none" w:sz="0" w:space="0" w:color="auto"/>
            <w:bottom w:val="none" w:sz="0" w:space="0" w:color="auto"/>
            <w:right w:val="none" w:sz="0" w:space="0" w:color="auto"/>
          </w:divBdr>
        </w:div>
        <w:div w:id="2024700889">
          <w:marLeft w:val="0"/>
          <w:marRight w:val="0"/>
          <w:marTop w:val="0"/>
          <w:marBottom w:val="0"/>
          <w:divBdr>
            <w:top w:val="none" w:sz="0" w:space="0" w:color="auto"/>
            <w:left w:val="none" w:sz="0" w:space="0" w:color="auto"/>
            <w:bottom w:val="none" w:sz="0" w:space="0" w:color="auto"/>
            <w:right w:val="none" w:sz="0" w:space="0" w:color="auto"/>
          </w:divBdr>
        </w:div>
        <w:div w:id="2024700890">
          <w:marLeft w:val="0"/>
          <w:marRight w:val="0"/>
          <w:marTop w:val="0"/>
          <w:marBottom w:val="0"/>
          <w:divBdr>
            <w:top w:val="none" w:sz="0" w:space="0" w:color="auto"/>
            <w:left w:val="none" w:sz="0" w:space="0" w:color="auto"/>
            <w:bottom w:val="none" w:sz="0" w:space="0" w:color="auto"/>
            <w:right w:val="none" w:sz="0" w:space="0" w:color="auto"/>
          </w:divBdr>
        </w:div>
        <w:div w:id="2024700891">
          <w:marLeft w:val="0"/>
          <w:marRight w:val="0"/>
          <w:marTop w:val="0"/>
          <w:marBottom w:val="0"/>
          <w:divBdr>
            <w:top w:val="none" w:sz="0" w:space="0" w:color="auto"/>
            <w:left w:val="none" w:sz="0" w:space="0" w:color="auto"/>
            <w:bottom w:val="none" w:sz="0" w:space="0" w:color="auto"/>
            <w:right w:val="none" w:sz="0" w:space="0" w:color="auto"/>
          </w:divBdr>
        </w:div>
        <w:div w:id="2024700892">
          <w:marLeft w:val="0"/>
          <w:marRight w:val="0"/>
          <w:marTop w:val="0"/>
          <w:marBottom w:val="0"/>
          <w:divBdr>
            <w:top w:val="none" w:sz="0" w:space="0" w:color="auto"/>
            <w:left w:val="none" w:sz="0" w:space="0" w:color="auto"/>
            <w:bottom w:val="none" w:sz="0" w:space="0" w:color="auto"/>
            <w:right w:val="none" w:sz="0" w:space="0" w:color="auto"/>
          </w:divBdr>
        </w:div>
        <w:div w:id="2024700893">
          <w:marLeft w:val="0"/>
          <w:marRight w:val="0"/>
          <w:marTop w:val="0"/>
          <w:marBottom w:val="0"/>
          <w:divBdr>
            <w:top w:val="none" w:sz="0" w:space="0" w:color="auto"/>
            <w:left w:val="none" w:sz="0" w:space="0" w:color="auto"/>
            <w:bottom w:val="none" w:sz="0" w:space="0" w:color="auto"/>
            <w:right w:val="none" w:sz="0" w:space="0" w:color="auto"/>
          </w:divBdr>
        </w:div>
        <w:div w:id="2024700894">
          <w:marLeft w:val="0"/>
          <w:marRight w:val="0"/>
          <w:marTop w:val="0"/>
          <w:marBottom w:val="0"/>
          <w:divBdr>
            <w:top w:val="none" w:sz="0" w:space="0" w:color="auto"/>
            <w:left w:val="none" w:sz="0" w:space="0" w:color="auto"/>
            <w:bottom w:val="none" w:sz="0" w:space="0" w:color="auto"/>
            <w:right w:val="none" w:sz="0" w:space="0" w:color="auto"/>
          </w:divBdr>
        </w:div>
        <w:div w:id="2024700895">
          <w:marLeft w:val="0"/>
          <w:marRight w:val="0"/>
          <w:marTop w:val="0"/>
          <w:marBottom w:val="0"/>
          <w:divBdr>
            <w:top w:val="none" w:sz="0" w:space="0" w:color="auto"/>
            <w:left w:val="none" w:sz="0" w:space="0" w:color="auto"/>
            <w:bottom w:val="none" w:sz="0" w:space="0" w:color="auto"/>
            <w:right w:val="none" w:sz="0" w:space="0" w:color="auto"/>
          </w:divBdr>
        </w:div>
        <w:div w:id="2024700896">
          <w:marLeft w:val="0"/>
          <w:marRight w:val="0"/>
          <w:marTop w:val="0"/>
          <w:marBottom w:val="0"/>
          <w:divBdr>
            <w:top w:val="none" w:sz="0" w:space="0" w:color="auto"/>
            <w:left w:val="none" w:sz="0" w:space="0" w:color="auto"/>
            <w:bottom w:val="none" w:sz="0" w:space="0" w:color="auto"/>
            <w:right w:val="none" w:sz="0" w:space="0" w:color="auto"/>
          </w:divBdr>
        </w:div>
        <w:div w:id="2024700897">
          <w:marLeft w:val="0"/>
          <w:marRight w:val="0"/>
          <w:marTop w:val="0"/>
          <w:marBottom w:val="0"/>
          <w:divBdr>
            <w:top w:val="none" w:sz="0" w:space="0" w:color="auto"/>
            <w:left w:val="none" w:sz="0" w:space="0" w:color="auto"/>
            <w:bottom w:val="none" w:sz="0" w:space="0" w:color="auto"/>
            <w:right w:val="none" w:sz="0" w:space="0" w:color="auto"/>
          </w:divBdr>
        </w:div>
        <w:div w:id="2024700898">
          <w:marLeft w:val="0"/>
          <w:marRight w:val="0"/>
          <w:marTop w:val="0"/>
          <w:marBottom w:val="0"/>
          <w:divBdr>
            <w:top w:val="none" w:sz="0" w:space="0" w:color="auto"/>
            <w:left w:val="none" w:sz="0" w:space="0" w:color="auto"/>
            <w:bottom w:val="none" w:sz="0" w:space="0" w:color="auto"/>
            <w:right w:val="none" w:sz="0" w:space="0" w:color="auto"/>
          </w:divBdr>
        </w:div>
        <w:div w:id="2024700899">
          <w:marLeft w:val="0"/>
          <w:marRight w:val="0"/>
          <w:marTop w:val="0"/>
          <w:marBottom w:val="0"/>
          <w:divBdr>
            <w:top w:val="none" w:sz="0" w:space="0" w:color="auto"/>
            <w:left w:val="none" w:sz="0" w:space="0" w:color="auto"/>
            <w:bottom w:val="none" w:sz="0" w:space="0" w:color="auto"/>
            <w:right w:val="none" w:sz="0" w:space="0" w:color="auto"/>
          </w:divBdr>
        </w:div>
        <w:div w:id="2024700900">
          <w:marLeft w:val="0"/>
          <w:marRight w:val="0"/>
          <w:marTop w:val="0"/>
          <w:marBottom w:val="0"/>
          <w:divBdr>
            <w:top w:val="none" w:sz="0" w:space="0" w:color="auto"/>
            <w:left w:val="none" w:sz="0" w:space="0" w:color="auto"/>
            <w:bottom w:val="none" w:sz="0" w:space="0" w:color="auto"/>
            <w:right w:val="none" w:sz="0" w:space="0" w:color="auto"/>
          </w:divBdr>
        </w:div>
        <w:div w:id="2024700901">
          <w:marLeft w:val="0"/>
          <w:marRight w:val="0"/>
          <w:marTop w:val="0"/>
          <w:marBottom w:val="0"/>
          <w:divBdr>
            <w:top w:val="none" w:sz="0" w:space="0" w:color="auto"/>
            <w:left w:val="none" w:sz="0" w:space="0" w:color="auto"/>
            <w:bottom w:val="none" w:sz="0" w:space="0" w:color="auto"/>
            <w:right w:val="none" w:sz="0" w:space="0" w:color="auto"/>
          </w:divBdr>
        </w:div>
        <w:div w:id="2024700902">
          <w:marLeft w:val="0"/>
          <w:marRight w:val="0"/>
          <w:marTop w:val="0"/>
          <w:marBottom w:val="0"/>
          <w:divBdr>
            <w:top w:val="none" w:sz="0" w:space="0" w:color="auto"/>
            <w:left w:val="none" w:sz="0" w:space="0" w:color="auto"/>
            <w:bottom w:val="none" w:sz="0" w:space="0" w:color="auto"/>
            <w:right w:val="none" w:sz="0" w:space="0" w:color="auto"/>
          </w:divBdr>
        </w:div>
        <w:div w:id="2024700903">
          <w:marLeft w:val="0"/>
          <w:marRight w:val="0"/>
          <w:marTop w:val="0"/>
          <w:marBottom w:val="0"/>
          <w:divBdr>
            <w:top w:val="none" w:sz="0" w:space="0" w:color="auto"/>
            <w:left w:val="none" w:sz="0" w:space="0" w:color="auto"/>
            <w:bottom w:val="none" w:sz="0" w:space="0" w:color="auto"/>
            <w:right w:val="none" w:sz="0" w:space="0" w:color="auto"/>
          </w:divBdr>
        </w:div>
        <w:div w:id="2024700904">
          <w:marLeft w:val="0"/>
          <w:marRight w:val="0"/>
          <w:marTop w:val="0"/>
          <w:marBottom w:val="0"/>
          <w:divBdr>
            <w:top w:val="none" w:sz="0" w:space="0" w:color="auto"/>
            <w:left w:val="none" w:sz="0" w:space="0" w:color="auto"/>
            <w:bottom w:val="none" w:sz="0" w:space="0" w:color="auto"/>
            <w:right w:val="none" w:sz="0" w:space="0" w:color="auto"/>
          </w:divBdr>
        </w:div>
        <w:div w:id="2024700905">
          <w:marLeft w:val="0"/>
          <w:marRight w:val="0"/>
          <w:marTop w:val="0"/>
          <w:marBottom w:val="0"/>
          <w:divBdr>
            <w:top w:val="none" w:sz="0" w:space="0" w:color="auto"/>
            <w:left w:val="none" w:sz="0" w:space="0" w:color="auto"/>
            <w:bottom w:val="none" w:sz="0" w:space="0" w:color="auto"/>
            <w:right w:val="none" w:sz="0" w:space="0" w:color="auto"/>
          </w:divBdr>
        </w:div>
        <w:div w:id="2024700906">
          <w:marLeft w:val="0"/>
          <w:marRight w:val="0"/>
          <w:marTop w:val="0"/>
          <w:marBottom w:val="0"/>
          <w:divBdr>
            <w:top w:val="none" w:sz="0" w:space="0" w:color="auto"/>
            <w:left w:val="none" w:sz="0" w:space="0" w:color="auto"/>
            <w:bottom w:val="none" w:sz="0" w:space="0" w:color="auto"/>
            <w:right w:val="none" w:sz="0" w:space="0" w:color="auto"/>
          </w:divBdr>
        </w:div>
        <w:div w:id="2024700907">
          <w:marLeft w:val="0"/>
          <w:marRight w:val="0"/>
          <w:marTop w:val="0"/>
          <w:marBottom w:val="0"/>
          <w:divBdr>
            <w:top w:val="none" w:sz="0" w:space="0" w:color="auto"/>
            <w:left w:val="none" w:sz="0" w:space="0" w:color="auto"/>
            <w:bottom w:val="none" w:sz="0" w:space="0" w:color="auto"/>
            <w:right w:val="none" w:sz="0" w:space="0" w:color="auto"/>
          </w:divBdr>
        </w:div>
        <w:div w:id="2024700908">
          <w:marLeft w:val="0"/>
          <w:marRight w:val="0"/>
          <w:marTop w:val="0"/>
          <w:marBottom w:val="0"/>
          <w:divBdr>
            <w:top w:val="none" w:sz="0" w:space="0" w:color="auto"/>
            <w:left w:val="none" w:sz="0" w:space="0" w:color="auto"/>
            <w:bottom w:val="none" w:sz="0" w:space="0" w:color="auto"/>
            <w:right w:val="none" w:sz="0" w:space="0" w:color="auto"/>
          </w:divBdr>
        </w:div>
        <w:div w:id="2024700909">
          <w:marLeft w:val="0"/>
          <w:marRight w:val="0"/>
          <w:marTop w:val="0"/>
          <w:marBottom w:val="0"/>
          <w:divBdr>
            <w:top w:val="none" w:sz="0" w:space="0" w:color="auto"/>
            <w:left w:val="none" w:sz="0" w:space="0" w:color="auto"/>
            <w:bottom w:val="none" w:sz="0" w:space="0" w:color="auto"/>
            <w:right w:val="none" w:sz="0" w:space="0" w:color="auto"/>
          </w:divBdr>
        </w:div>
        <w:div w:id="2024700910">
          <w:marLeft w:val="0"/>
          <w:marRight w:val="0"/>
          <w:marTop w:val="0"/>
          <w:marBottom w:val="0"/>
          <w:divBdr>
            <w:top w:val="none" w:sz="0" w:space="0" w:color="auto"/>
            <w:left w:val="none" w:sz="0" w:space="0" w:color="auto"/>
            <w:bottom w:val="none" w:sz="0" w:space="0" w:color="auto"/>
            <w:right w:val="none" w:sz="0" w:space="0" w:color="auto"/>
          </w:divBdr>
        </w:div>
        <w:div w:id="2024700911">
          <w:marLeft w:val="0"/>
          <w:marRight w:val="0"/>
          <w:marTop w:val="0"/>
          <w:marBottom w:val="0"/>
          <w:divBdr>
            <w:top w:val="none" w:sz="0" w:space="0" w:color="auto"/>
            <w:left w:val="none" w:sz="0" w:space="0" w:color="auto"/>
            <w:bottom w:val="none" w:sz="0" w:space="0" w:color="auto"/>
            <w:right w:val="none" w:sz="0" w:space="0" w:color="auto"/>
          </w:divBdr>
        </w:div>
        <w:div w:id="2024700912">
          <w:marLeft w:val="0"/>
          <w:marRight w:val="0"/>
          <w:marTop w:val="0"/>
          <w:marBottom w:val="0"/>
          <w:divBdr>
            <w:top w:val="none" w:sz="0" w:space="0" w:color="auto"/>
            <w:left w:val="none" w:sz="0" w:space="0" w:color="auto"/>
            <w:bottom w:val="none" w:sz="0" w:space="0" w:color="auto"/>
            <w:right w:val="none" w:sz="0" w:space="0" w:color="auto"/>
          </w:divBdr>
        </w:div>
        <w:div w:id="2024700914">
          <w:marLeft w:val="0"/>
          <w:marRight w:val="0"/>
          <w:marTop w:val="0"/>
          <w:marBottom w:val="0"/>
          <w:divBdr>
            <w:top w:val="none" w:sz="0" w:space="0" w:color="auto"/>
            <w:left w:val="none" w:sz="0" w:space="0" w:color="auto"/>
            <w:bottom w:val="none" w:sz="0" w:space="0" w:color="auto"/>
            <w:right w:val="none" w:sz="0" w:space="0" w:color="auto"/>
          </w:divBdr>
        </w:div>
        <w:div w:id="2024700915">
          <w:marLeft w:val="0"/>
          <w:marRight w:val="0"/>
          <w:marTop w:val="0"/>
          <w:marBottom w:val="0"/>
          <w:divBdr>
            <w:top w:val="none" w:sz="0" w:space="0" w:color="auto"/>
            <w:left w:val="none" w:sz="0" w:space="0" w:color="auto"/>
            <w:bottom w:val="none" w:sz="0" w:space="0" w:color="auto"/>
            <w:right w:val="none" w:sz="0" w:space="0" w:color="auto"/>
          </w:divBdr>
        </w:div>
        <w:div w:id="2024700916">
          <w:marLeft w:val="0"/>
          <w:marRight w:val="0"/>
          <w:marTop w:val="0"/>
          <w:marBottom w:val="0"/>
          <w:divBdr>
            <w:top w:val="none" w:sz="0" w:space="0" w:color="auto"/>
            <w:left w:val="none" w:sz="0" w:space="0" w:color="auto"/>
            <w:bottom w:val="none" w:sz="0" w:space="0" w:color="auto"/>
            <w:right w:val="none" w:sz="0" w:space="0" w:color="auto"/>
          </w:divBdr>
        </w:div>
        <w:div w:id="2024700917">
          <w:marLeft w:val="0"/>
          <w:marRight w:val="0"/>
          <w:marTop w:val="0"/>
          <w:marBottom w:val="0"/>
          <w:divBdr>
            <w:top w:val="none" w:sz="0" w:space="0" w:color="auto"/>
            <w:left w:val="none" w:sz="0" w:space="0" w:color="auto"/>
            <w:bottom w:val="none" w:sz="0" w:space="0" w:color="auto"/>
            <w:right w:val="none" w:sz="0" w:space="0" w:color="auto"/>
          </w:divBdr>
        </w:div>
        <w:div w:id="2024700918">
          <w:marLeft w:val="0"/>
          <w:marRight w:val="0"/>
          <w:marTop w:val="0"/>
          <w:marBottom w:val="0"/>
          <w:divBdr>
            <w:top w:val="none" w:sz="0" w:space="0" w:color="auto"/>
            <w:left w:val="none" w:sz="0" w:space="0" w:color="auto"/>
            <w:bottom w:val="none" w:sz="0" w:space="0" w:color="auto"/>
            <w:right w:val="none" w:sz="0" w:space="0" w:color="auto"/>
          </w:divBdr>
        </w:div>
        <w:div w:id="2024700919">
          <w:marLeft w:val="0"/>
          <w:marRight w:val="0"/>
          <w:marTop w:val="0"/>
          <w:marBottom w:val="0"/>
          <w:divBdr>
            <w:top w:val="none" w:sz="0" w:space="0" w:color="auto"/>
            <w:left w:val="none" w:sz="0" w:space="0" w:color="auto"/>
            <w:bottom w:val="none" w:sz="0" w:space="0" w:color="auto"/>
            <w:right w:val="none" w:sz="0" w:space="0" w:color="auto"/>
          </w:divBdr>
        </w:div>
        <w:div w:id="2024700920">
          <w:marLeft w:val="0"/>
          <w:marRight w:val="0"/>
          <w:marTop w:val="0"/>
          <w:marBottom w:val="0"/>
          <w:divBdr>
            <w:top w:val="none" w:sz="0" w:space="0" w:color="auto"/>
            <w:left w:val="none" w:sz="0" w:space="0" w:color="auto"/>
            <w:bottom w:val="none" w:sz="0" w:space="0" w:color="auto"/>
            <w:right w:val="none" w:sz="0" w:space="0" w:color="auto"/>
          </w:divBdr>
        </w:div>
        <w:div w:id="2024700921">
          <w:marLeft w:val="0"/>
          <w:marRight w:val="0"/>
          <w:marTop w:val="0"/>
          <w:marBottom w:val="0"/>
          <w:divBdr>
            <w:top w:val="none" w:sz="0" w:space="0" w:color="auto"/>
            <w:left w:val="none" w:sz="0" w:space="0" w:color="auto"/>
            <w:bottom w:val="none" w:sz="0" w:space="0" w:color="auto"/>
            <w:right w:val="none" w:sz="0" w:space="0" w:color="auto"/>
          </w:divBdr>
        </w:div>
        <w:div w:id="2024700922">
          <w:marLeft w:val="0"/>
          <w:marRight w:val="0"/>
          <w:marTop w:val="0"/>
          <w:marBottom w:val="0"/>
          <w:divBdr>
            <w:top w:val="none" w:sz="0" w:space="0" w:color="auto"/>
            <w:left w:val="none" w:sz="0" w:space="0" w:color="auto"/>
            <w:bottom w:val="none" w:sz="0" w:space="0" w:color="auto"/>
            <w:right w:val="none" w:sz="0" w:space="0" w:color="auto"/>
          </w:divBdr>
        </w:div>
        <w:div w:id="2024700923">
          <w:marLeft w:val="0"/>
          <w:marRight w:val="0"/>
          <w:marTop w:val="0"/>
          <w:marBottom w:val="0"/>
          <w:divBdr>
            <w:top w:val="none" w:sz="0" w:space="0" w:color="auto"/>
            <w:left w:val="none" w:sz="0" w:space="0" w:color="auto"/>
            <w:bottom w:val="none" w:sz="0" w:space="0" w:color="auto"/>
            <w:right w:val="none" w:sz="0" w:space="0" w:color="auto"/>
          </w:divBdr>
        </w:div>
        <w:div w:id="2024700924">
          <w:marLeft w:val="0"/>
          <w:marRight w:val="0"/>
          <w:marTop w:val="0"/>
          <w:marBottom w:val="0"/>
          <w:divBdr>
            <w:top w:val="none" w:sz="0" w:space="0" w:color="auto"/>
            <w:left w:val="none" w:sz="0" w:space="0" w:color="auto"/>
            <w:bottom w:val="none" w:sz="0" w:space="0" w:color="auto"/>
            <w:right w:val="none" w:sz="0" w:space="0" w:color="auto"/>
          </w:divBdr>
        </w:div>
        <w:div w:id="2024700925">
          <w:marLeft w:val="0"/>
          <w:marRight w:val="0"/>
          <w:marTop w:val="0"/>
          <w:marBottom w:val="0"/>
          <w:divBdr>
            <w:top w:val="none" w:sz="0" w:space="0" w:color="auto"/>
            <w:left w:val="none" w:sz="0" w:space="0" w:color="auto"/>
            <w:bottom w:val="none" w:sz="0" w:space="0" w:color="auto"/>
            <w:right w:val="none" w:sz="0" w:space="0" w:color="auto"/>
          </w:divBdr>
        </w:div>
        <w:div w:id="2024700926">
          <w:marLeft w:val="0"/>
          <w:marRight w:val="0"/>
          <w:marTop w:val="0"/>
          <w:marBottom w:val="0"/>
          <w:divBdr>
            <w:top w:val="none" w:sz="0" w:space="0" w:color="auto"/>
            <w:left w:val="none" w:sz="0" w:space="0" w:color="auto"/>
            <w:bottom w:val="none" w:sz="0" w:space="0" w:color="auto"/>
            <w:right w:val="none" w:sz="0" w:space="0" w:color="auto"/>
          </w:divBdr>
        </w:div>
        <w:div w:id="2024700927">
          <w:marLeft w:val="0"/>
          <w:marRight w:val="0"/>
          <w:marTop w:val="0"/>
          <w:marBottom w:val="0"/>
          <w:divBdr>
            <w:top w:val="none" w:sz="0" w:space="0" w:color="auto"/>
            <w:left w:val="none" w:sz="0" w:space="0" w:color="auto"/>
            <w:bottom w:val="none" w:sz="0" w:space="0" w:color="auto"/>
            <w:right w:val="none" w:sz="0" w:space="0" w:color="auto"/>
          </w:divBdr>
        </w:div>
        <w:div w:id="2024700929">
          <w:marLeft w:val="0"/>
          <w:marRight w:val="0"/>
          <w:marTop w:val="0"/>
          <w:marBottom w:val="0"/>
          <w:divBdr>
            <w:top w:val="none" w:sz="0" w:space="0" w:color="auto"/>
            <w:left w:val="none" w:sz="0" w:space="0" w:color="auto"/>
            <w:bottom w:val="none" w:sz="0" w:space="0" w:color="auto"/>
            <w:right w:val="none" w:sz="0" w:space="0" w:color="auto"/>
          </w:divBdr>
        </w:div>
        <w:div w:id="2024700930">
          <w:marLeft w:val="0"/>
          <w:marRight w:val="0"/>
          <w:marTop w:val="0"/>
          <w:marBottom w:val="0"/>
          <w:divBdr>
            <w:top w:val="none" w:sz="0" w:space="0" w:color="auto"/>
            <w:left w:val="none" w:sz="0" w:space="0" w:color="auto"/>
            <w:bottom w:val="none" w:sz="0" w:space="0" w:color="auto"/>
            <w:right w:val="none" w:sz="0" w:space="0" w:color="auto"/>
          </w:divBdr>
        </w:div>
        <w:div w:id="2024700931">
          <w:marLeft w:val="0"/>
          <w:marRight w:val="0"/>
          <w:marTop w:val="0"/>
          <w:marBottom w:val="0"/>
          <w:divBdr>
            <w:top w:val="none" w:sz="0" w:space="0" w:color="auto"/>
            <w:left w:val="none" w:sz="0" w:space="0" w:color="auto"/>
            <w:bottom w:val="none" w:sz="0" w:space="0" w:color="auto"/>
            <w:right w:val="none" w:sz="0" w:space="0" w:color="auto"/>
          </w:divBdr>
        </w:div>
        <w:div w:id="2024700932">
          <w:marLeft w:val="0"/>
          <w:marRight w:val="0"/>
          <w:marTop w:val="0"/>
          <w:marBottom w:val="0"/>
          <w:divBdr>
            <w:top w:val="none" w:sz="0" w:space="0" w:color="auto"/>
            <w:left w:val="none" w:sz="0" w:space="0" w:color="auto"/>
            <w:bottom w:val="none" w:sz="0" w:space="0" w:color="auto"/>
            <w:right w:val="none" w:sz="0" w:space="0" w:color="auto"/>
          </w:divBdr>
        </w:div>
        <w:div w:id="2024700933">
          <w:marLeft w:val="0"/>
          <w:marRight w:val="0"/>
          <w:marTop w:val="0"/>
          <w:marBottom w:val="0"/>
          <w:divBdr>
            <w:top w:val="none" w:sz="0" w:space="0" w:color="auto"/>
            <w:left w:val="none" w:sz="0" w:space="0" w:color="auto"/>
            <w:bottom w:val="none" w:sz="0" w:space="0" w:color="auto"/>
            <w:right w:val="none" w:sz="0" w:space="0" w:color="auto"/>
          </w:divBdr>
        </w:div>
        <w:div w:id="2024700934">
          <w:marLeft w:val="0"/>
          <w:marRight w:val="0"/>
          <w:marTop w:val="0"/>
          <w:marBottom w:val="0"/>
          <w:divBdr>
            <w:top w:val="none" w:sz="0" w:space="0" w:color="auto"/>
            <w:left w:val="none" w:sz="0" w:space="0" w:color="auto"/>
            <w:bottom w:val="none" w:sz="0" w:space="0" w:color="auto"/>
            <w:right w:val="none" w:sz="0" w:space="0" w:color="auto"/>
          </w:divBdr>
        </w:div>
        <w:div w:id="2024700935">
          <w:marLeft w:val="0"/>
          <w:marRight w:val="0"/>
          <w:marTop w:val="0"/>
          <w:marBottom w:val="0"/>
          <w:divBdr>
            <w:top w:val="none" w:sz="0" w:space="0" w:color="auto"/>
            <w:left w:val="none" w:sz="0" w:space="0" w:color="auto"/>
            <w:bottom w:val="none" w:sz="0" w:space="0" w:color="auto"/>
            <w:right w:val="none" w:sz="0" w:space="0" w:color="auto"/>
          </w:divBdr>
        </w:div>
        <w:div w:id="2024700936">
          <w:marLeft w:val="0"/>
          <w:marRight w:val="0"/>
          <w:marTop w:val="0"/>
          <w:marBottom w:val="0"/>
          <w:divBdr>
            <w:top w:val="none" w:sz="0" w:space="0" w:color="auto"/>
            <w:left w:val="none" w:sz="0" w:space="0" w:color="auto"/>
            <w:bottom w:val="none" w:sz="0" w:space="0" w:color="auto"/>
            <w:right w:val="none" w:sz="0" w:space="0" w:color="auto"/>
          </w:divBdr>
        </w:div>
        <w:div w:id="2024700937">
          <w:marLeft w:val="0"/>
          <w:marRight w:val="0"/>
          <w:marTop w:val="0"/>
          <w:marBottom w:val="0"/>
          <w:divBdr>
            <w:top w:val="none" w:sz="0" w:space="0" w:color="auto"/>
            <w:left w:val="none" w:sz="0" w:space="0" w:color="auto"/>
            <w:bottom w:val="none" w:sz="0" w:space="0" w:color="auto"/>
            <w:right w:val="none" w:sz="0" w:space="0" w:color="auto"/>
          </w:divBdr>
        </w:div>
        <w:div w:id="2024700938">
          <w:marLeft w:val="0"/>
          <w:marRight w:val="0"/>
          <w:marTop w:val="0"/>
          <w:marBottom w:val="0"/>
          <w:divBdr>
            <w:top w:val="none" w:sz="0" w:space="0" w:color="auto"/>
            <w:left w:val="none" w:sz="0" w:space="0" w:color="auto"/>
            <w:bottom w:val="none" w:sz="0" w:space="0" w:color="auto"/>
            <w:right w:val="none" w:sz="0" w:space="0" w:color="auto"/>
          </w:divBdr>
        </w:div>
        <w:div w:id="2024700939">
          <w:marLeft w:val="0"/>
          <w:marRight w:val="0"/>
          <w:marTop w:val="0"/>
          <w:marBottom w:val="0"/>
          <w:divBdr>
            <w:top w:val="none" w:sz="0" w:space="0" w:color="auto"/>
            <w:left w:val="none" w:sz="0" w:space="0" w:color="auto"/>
            <w:bottom w:val="none" w:sz="0" w:space="0" w:color="auto"/>
            <w:right w:val="none" w:sz="0" w:space="0" w:color="auto"/>
          </w:divBdr>
        </w:div>
        <w:div w:id="2024700940">
          <w:marLeft w:val="0"/>
          <w:marRight w:val="0"/>
          <w:marTop w:val="0"/>
          <w:marBottom w:val="0"/>
          <w:divBdr>
            <w:top w:val="none" w:sz="0" w:space="0" w:color="auto"/>
            <w:left w:val="none" w:sz="0" w:space="0" w:color="auto"/>
            <w:bottom w:val="none" w:sz="0" w:space="0" w:color="auto"/>
            <w:right w:val="none" w:sz="0" w:space="0" w:color="auto"/>
          </w:divBdr>
        </w:div>
        <w:div w:id="2024700941">
          <w:marLeft w:val="0"/>
          <w:marRight w:val="0"/>
          <w:marTop w:val="0"/>
          <w:marBottom w:val="0"/>
          <w:divBdr>
            <w:top w:val="none" w:sz="0" w:space="0" w:color="auto"/>
            <w:left w:val="none" w:sz="0" w:space="0" w:color="auto"/>
            <w:bottom w:val="none" w:sz="0" w:space="0" w:color="auto"/>
            <w:right w:val="none" w:sz="0" w:space="0" w:color="auto"/>
          </w:divBdr>
        </w:div>
        <w:div w:id="2024700942">
          <w:marLeft w:val="0"/>
          <w:marRight w:val="0"/>
          <w:marTop w:val="0"/>
          <w:marBottom w:val="0"/>
          <w:divBdr>
            <w:top w:val="none" w:sz="0" w:space="0" w:color="auto"/>
            <w:left w:val="none" w:sz="0" w:space="0" w:color="auto"/>
            <w:bottom w:val="none" w:sz="0" w:space="0" w:color="auto"/>
            <w:right w:val="none" w:sz="0" w:space="0" w:color="auto"/>
          </w:divBdr>
        </w:div>
        <w:div w:id="2024700943">
          <w:marLeft w:val="0"/>
          <w:marRight w:val="0"/>
          <w:marTop w:val="0"/>
          <w:marBottom w:val="0"/>
          <w:divBdr>
            <w:top w:val="none" w:sz="0" w:space="0" w:color="auto"/>
            <w:left w:val="none" w:sz="0" w:space="0" w:color="auto"/>
            <w:bottom w:val="none" w:sz="0" w:space="0" w:color="auto"/>
            <w:right w:val="none" w:sz="0" w:space="0" w:color="auto"/>
          </w:divBdr>
        </w:div>
        <w:div w:id="2024700944">
          <w:marLeft w:val="0"/>
          <w:marRight w:val="0"/>
          <w:marTop w:val="0"/>
          <w:marBottom w:val="0"/>
          <w:divBdr>
            <w:top w:val="none" w:sz="0" w:space="0" w:color="auto"/>
            <w:left w:val="none" w:sz="0" w:space="0" w:color="auto"/>
            <w:bottom w:val="none" w:sz="0" w:space="0" w:color="auto"/>
            <w:right w:val="none" w:sz="0" w:space="0" w:color="auto"/>
          </w:divBdr>
        </w:div>
        <w:div w:id="2024700945">
          <w:marLeft w:val="0"/>
          <w:marRight w:val="0"/>
          <w:marTop w:val="0"/>
          <w:marBottom w:val="0"/>
          <w:divBdr>
            <w:top w:val="none" w:sz="0" w:space="0" w:color="auto"/>
            <w:left w:val="none" w:sz="0" w:space="0" w:color="auto"/>
            <w:bottom w:val="none" w:sz="0" w:space="0" w:color="auto"/>
            <w:right w:val="none" w:sz="0" w:space="0" w:color="auto"/>
          </w:divBdr>
        </w:div>
        <w:div w:id="2024700946">
          <w:marLeft w:val="0"/>
          <w:marRight w:val="0"/>
          <w:marTop w:val="0"/>
          <w:marBottom w:val="0"/>
          <w:divBdr>
            <w:top w:val="none" w:sz="0" w:space="0" w:color="auto"/>
            <w:left w:val="none" w:sz="0" w:space="0" w:color="auto"/>
            <w:bottom w:val="none" w:sz="0" w:space="0" w:color="auto"/>
            <w:right w:val="none" w:sz="0" w:space="0" w:color="auto"/>
          </w:divBdr>
        </w:div>
        <w:div w:id="2024700947">
          <w:marLeft w:val="0"/>
          <w:marRight w:val="0"/>
          <w:marTop w:val="0"/>
          <w:marBottom w:val="0"/>
          <w:divBdr>
            <w:top w:val="none" w:sz="0" w:space="0" w:color="auto"/>
            <w:left w:val="none" w:sz="0" w:space="0" w:color="auto"/>
            <w:bottom w:val="none" w:sz="0" w:space="0" w:color="auto"/>
            <w:right w:val="none" w:sz="0" w:space="0" w:color="auto"/>
          </w:divBdr>
        </w:div>
        <w:div w:id="2024700948">
          <w:marLeft w:val="0"/>
          <w:marRight w:val="0"/>
          <w:marTop w:val="0"/>
          <w:marBottom w:val="0"/>
          <w:divBdr>
            <w:top w:val="none" w:sz="0" w:space="0" w:color="auto"/>
            <w:left w:val="none" w:sz="0" w:space="0" w:color="auto"/>
            <w:bottom w:val="none" w:sz="0" w:space="0" w:color="auto"/>
            <w:right w:val="none" w:sz="0" w:space="0" w:color="auto"/>
          </w:divBdr>
        </w:div>
        <w:div w:id="2024700949">
          <w:marLeft w:val="0"/>
          <w:marRight w:val="0"/>
          <w:marTop w:val="0"/>
          <w:marBottom w:val="0"/>
          <w:divBdr>
            <w:top w:val="none" w:sz="0" w:space="0" w:color="auto"/>
            <w:left w:val="none" w:sz="0" w:space="0" w:color="auto"/>
            <w:bottom w:val="none" w:sz="0" w:space="0" w:color="auto"/>
            <w:right w:val="none" w:sz="0" w:space="0" w:color="auto"/>
          </w:divBdr>
        </w:div>
        <w:div w:id="2024700950">
          <w:marLeft w:val="0"/>
          <w:marRight w:val="0"/>
          <w:marTop w:val="0"/>
          <w:marBottom w:val="0"/>
          <w:divBdr>
            <w:top w:val="none" w:sz="0" w:space="0" w:color="auto"/>
            <w:left w:val="none" w:sz="0" w:space="0" w:color="auto"/>
            <w:bottom w:val="none" w:sz="0" w:space="0" w:color="auto"/>
            <w:right w:val="none" w:sz="0" w:space="0" w:color="auto"/>
          </w:divBdr>
        </w:div>
        <w:div w:id="2024700951">
          <w:marLeft w:val="0"/>
          <w:marRight w:val="0"/>
          <w:marTop w:val="0"/>
          <w:marBottom w:val="0"/>
          <w:divBdr>
            <w:top w:val="none" w:sz="0" w:space="0" w:color="auto"/>
            <w:left w:val="none" w:sz="0" w:space="0" w:color="auto"/>
            <w:bottom w:val="none" w:sz="0" w:space="0" w:color="auto"/>
            <w:right w:val="none" w:sz="0" w:space="0" w:color="auto"/>
          </w:divBdr>
        </w:div>
        <w:div w:id="2024700952">
          <w:marLeft w:val="0"/>
          <w:marRight w:val="0"/>
          <w:marTop w:val="0"/>
          <w:marBottom w:val="0"/>
          <w:divBdr>
            <w:top w:val="none" w:sz="0" w:space="0" w:color="auto"/>
            <w:left w:val="none" w:sz="0" w:space="0" w:color="auto"/>
            <w:bottom w:val="none" w:sz="0" w:space="0" w:color="auto"/>
            <w:right w:val="none" w:sz="0" w:space="0" w:color="auto"/>
          </w:divBdr>
        </w:div>
        <w:div w:id="2024700953">
          <w:marLeft w:val="0"/>
          <w:marRight w:val="0"/>
          <w:marTop w:val="0"/>
          <w:marBottom w:val="0"/>
          <w:divBdr>
            <w:top w:val="none" w:sz="0" w:space="0" w:color="auto"/>
            <w:left w:val="none" w:sz="0" w:space="0" w:color="auto"/>
            <w:bottom w:val="none" w:sz="0" w:space="0" w:color="auto"/>
            <w:right w:val="none" w:sz="0" w:space="0" w:color="auto"/>
          </w:divBdr>
        </w:div>
        <w:div w:id="2024700955">
          <w:marLeft w:val="0"/>
          <w:marRight w:val="0"/>
          <w:marTop w:val="0"/>
          <w:marBottom w:val="0"/>
          <w:divBdr>
            <w:top w:val="none" w:sz="0" w:space="0" w:color="auto"/>
            <w:left w:val="none" w:sz="0" w:space="0" w:color="auto"/>
            <w:bottom w:val="none" w:sz="0" w:space="0" w:color="auto"/>
            <w:right w:val="none" w:sz="0" w:space="0" w:color="auto"/>
          </w:divBdr>
        </w:div>
        <w:div w:id="2024700956">
          <w:marLeft w:val="0"/>
          <w:marRight w:val="0"/>
          <w:marTop w:val="0"/>
          <w:marBottom w:val="0"/>
          <w:divBdr>
            <w:top w:val="none" w:sz="0" w:space="0" w:color="auto"/>
            <w:left w:val="none" w:sz="0" w:space="0" w:color="auto"/>
            <w:bottom w:val="none" w:sz="0" w:space="0" w:color="auto"/>
            <w:right w:val="none" w:sz="0" w:space="0" w:color="auto"/>
          </w:divBdr>
        </w:div>
        <w:div w:id="2024700957">
          <w:marLeft w:val="0"/>
          <w:marRight w:val="0"/>
          <w:marTop w:val="0"/>
          <w:marBottom w:val="0"/>
          <w:divBdr>
            <w:top w:val="none" w:sz="0" w:space="0" w:color="auto"/>
            <w:left w:val="none" w:sz="0" w:space="0" w:color="auto"/>
            <w:bottom w:val="none" w:sz="0" w:space="0" w:color="auto"/>
            <w:right w:val="none" w:sz="0" w:space="0" w:color="auto"/>
          </w:divBdr>
        </w:div>
        <w:div w:id="2024700958">
          <w:marLeft w:val="0"/>
          <w:marRight w:val="0"/>
          <w:marTop w:val="0"/>
          <w:marBottom w:val="0"/>
          <w:divBdr>
            <w:top w:val="none" w:sz="0" w:space="0" w:color="auto"/>
            <w:left w:val="none" w:sz="0" w:space="0" w:color="auto"/>
            <w:bottom w:val="none" w:sz="0" w:space="0" w:color="auto"/>
            <w:right w:val="none" w:sz="0" w:space="0" w:color="auto"/>
          </w:divBdr>
        </w:div>
        <w:div w:id="2024700959">
          <w:marLeft w:val="0"/>
          <w:marRight w:val="0"/>
          <w:marTop w:val="0"/>
          <w:marBottom w:val="0"/>
          <w:divBdr>
            <w:top w:val="none" w:sz="0" w:space="0" w:color="auto"/>
            <w:left w:val="none" w:sz="0" w:space="0" w:color="auto"/>
            <w:bottom w:val="none" w:sz="0" w:space="0" w:color="auto"/>
            <w:right w:val="none" w:sz="0" w:space="0" w:color="auto"/>
          </w:divBdr>
        </w:div>
        <w:div w:id="2024700960">
          <w:marLeft w:val="0"/>
          <w:marRight w:val="0"/>
          <w:marTop w:val="0"/>
          <w:marBottom w:val="0"/>
          <w:divBdr>
            <w:top w:val="none" w:sz="0" w:space="0" w:color="auto"/>
            <w:left w:val="none" w:sz="0" w:space="0" w:color="auto"/>
            <w:bottom w:val="none" w:sz="0" w:space="0" w:color="auto"/>
            <w:right w:val="none" w:sz="0" w:space="0" w:color="auto"/>
          </w:divBdr>
        </w:div>
        <w:div w:id="2024700961">
          <w:marLeft w:val="0"/>
          <w:marRight w:val="0"/>
          <w:marTop w:val="0"/>
          <w:marBottom w:val="0"/>
          <w:divBdr>
            <w:top w:val="none" w:sz="0" w:space="0" w:color="auto"/>
            <w:left w:val="none" w:sz="0" w:space="0" w:color="auto"/>
            <w:bottom w:val="none" w:sz="0" w:space="0" w:color="auto"/>
            <w:right w:val="none" w:sz="0" w:space="0" w:color="auto"/>
          </w:divBdr>
        </w:div>
        <w:div w:id="2024700962">
          <w:marLeft w:val="0"/>
          <w:marRight w:val="0"/>
          <w:marTop w:val="0"/>
          <w:marBottom w:val="0"/>
          <w:divBdr>
            <w:top w:val="none" w:sz="0" w:space="0" w:color="auto"/>
            <w:left w:val="none" w:sz="0" w:space="0" w:color="auto"/>
            <w:bottom w:val="none" w:sz="0" w:space="0" w:color="auto"/>
            <w:right w:val="none" w:sz="0" w:space="0" w:color="auto"/>
          </w:divBdr>
        </w:div>
        <w:div w:id="2024700963">
          <w:marLeft w:val="0"/>
          <w:marRight w:val="0"/>
          <w:marTop w:val="0"/>
          <w:marBottom w:val="0"/>
          <w:divBdr>
            <w:top w:val="none" w:sz="0" w:space="0" w:color="auto"/>
            <w:left w:val="none" w:sz="0" w:space="0" w:color="auto"/>
            <w:bottom w:val="none" w:sz="0" w:space="0" w:color="auto"/>
            <w:right w:val="none" w:sz="0" w:space="0" w:color="auto"/>
          </w:divBdr>
        </w:div>
        <w:div w:id="2024700964">
          <w:marLeft w:val="0"/>
          <w:marRight w:val="0"/>
          <w:marTop w:val="0"/>
          <w:marBottom w:val="0"/>
          <w:divBdr>
            <w:top w:val="none" w:sz="0" w:space="0" w:color="auto"/>
            <w:left w:val="none" w:sz="0" w:space="0" w:color="auto"/>
            <w:bottom w:val="none" w:sz="0" w:space="0" w:color="auto"/>
            <w:right w:val="none" w:sz="0" w:space="0" w:color="auto"/>
          </w:divBdr>
        </w:div>
        <w:div w:id="2024700965">
          <w:marLeft w:val="0"/>
          <w:marRight w:val="0"/>
          <w:marTop w:val="0"/>
          <w:marBottom w:val="0"/>
          <w:divBdr>
            <w:top w:val="none" w:sz="0" w:space="0" w:color="auto"/>
            <w:left w:val="none" w:sz="0" w:space="0" w:color="auto"/>
            <w:bottom w:val="none" w:sz="0" w:space="0" w:color="auto"/>
            <w:right w:val="none" w:sz="0" w:space="0" w:color="auto"/>
          </w:divBdr>
        </w:div>
        <w:div w:id="2024700966">
          <w:marLeft w:val="0"/>
          <w:marRight w:val="0"/>
          <w:marTop w:val="0"/>
          <w:marBottom w:val="0"/>
          <w:divBdr>
            <w:top w:val="none" w:sz="0" w:space="0" w:color="auto"/>
            <w:left w:val="none" w:sz="0" w:space="0" w:color="auto"/>
            <w:bottom w:val="none" w:sz="0" w:space="0" w:color="auto"/>
            <w:right w:val="none" w:sz="0" w:space="0" w:color="auto"/>
          </w:divBdr>
        </w:div>
        <w:div w:id="2024700967">
          <w:marLeft w:val="0"/>
          <w:marRight w:val="0"/>
          <w:marTop w:val="0"/>
          <w:marBottom w:val="0"/>
          <w:divBdr>
            <w:top w:val="none" w:sz="0" w:space="0" w:color="auto"/>
            <w:left w:val="none" w:sz="0" w:space="0" w:color="auto"/>
            <w:bottom w:val="none" w:sz="0" w:space="0" w:color="auto"/>
            <w:right w:val="none" w:sz="0" w:space="0" w:color="auto"/>
          </w:divBdr>
        </w:div>
        <w:div w:id="2024700968">
          <w:marLeft w:val="0"/>
          <w:marRight w:val="0"/>
          <w:marTop w:val="0"/>
          <w:marBottom w:val="0"/>
          <w:divBdr>
            <w:top w:val="none" w:sz="0" w:space="0" w:color="auto"/>
            <w:left w:val="none" w:sz="0" w:space="0" w:color="auto"/>
            <w:bottom w:val="none" w:sz="0" w:space="0" w:color="auto"/>
            <w:right w:val="none" w:sz="0" w:space="0" w:color="auto"/>
          </w:divBdr>
        </w:div>
        <w:div w:id="2024700969">
          <w:marLeft w:val="0"/>
          <w:marRight w:val="0"/>
          <w:marTop w:val="0"/>
          <w:marBottom w:val="0"/>
          <w:divBdr>
            <w:top w:val="none" w:sz="0" w:space="0" w:color="auto"/>
            <w:left w:val="none" w:sz="0" w:space="0" w:color="auto"/>
            <w:bottom w:val="none" w:sz="0" w:space="0" w:color="auto"/>
            <w:right w:val="none" w:sz="0" w:space="0" w:color="auto"/>
          </w:divBdr>
        </w:div>
        <w:div w:id="2024700970">
          <w:marLeft w:val="0"/>
          <w:marRight w:val="0"/>
          <w:marTop w:val="0"/>
          <w:marBottom w:val="0"/>
          <w:divBdr>
            <w:top w:val="none" w:sz="0" w:space="0" w:color="auto"/>
            <w:left w:val="none" w:sz="0" w:space="0" w:color="auto"/>
            <w:bottom w:val="none" w:sz="0" w:space="0" w:color="auto"/>
            <w:right w:val="none" w:sz="0" w:space="0" w:color="auto"/>
          </w:divBdr>
        </w:div>
        <w:div w:id="2024700971">
          <w:marLeft w:val="0"/>
          <w:marRight w:val="0"/>
          <w:marTop w:val="0"/>
          <w:marBottom w:val="0"/>
          <w:divBdr>
            <w:top w:val="none" w:sz="0" w:space="0" w:color="auto"/>
            <w:left w:val="none" w:sz="0" w:space="0" w:color="auto"/>
            <w:bottom w:val="none" w:sz="0" w:space="0" w:color="auto"/>
            <w:right w:val="none" w:sz="0" w:space="0" w:color="auto"/>
          </w:divBdr>
        </w:div>
        <w:div w:id="2024700972">
          <w:marLeft w:val="0"/>
          <w:marRight w:val="0"/>
          <w:marTop w:val="0"/>
          <w:marBottom w:val="0"/>
          <w:divBdr>
            <w:top w:val="none" w:sz="0" w:space="0" w:color="auto"/>
            <w:left w:val="none" w:sz="0" w:space="0" w:color="auto"/>
            <w:bottom w:val="none" w:sz="0" w:space="0" w:color="auto"/>
            <w:right w:val="none" w:sz="0" w:space="0" w:color="auto"/>
          </w:divBdr>
        </w:div>
        <w:div w:id="2024700973">
          <w:marLeft w:val="0"/>
          <w:marRight w:val="0"/>
          <w:marTop w:val="0"/>
          <w:marBottom w:val="0"/>
          <w:divBdr>
            <w:top w:val="none" w:sz="0" w:space="0" w:color="auto"/>
            <w:left w:val="none" w:sz="0" w:space="0" w:color="auto"/>
            <w:bottom w:val="none" w:sz="0" w:space="0" w:color="auto"/>
            <w:right w:val="none" w:sz="0" w:space="0" w:color="auto"/>
          </w:divBdr>
        </w:div>
        <w:div w:id="2024700974">
          <w:marLeft w:val="0"/>
          <w:marRight w:val="0"/>
          <w:marTop w:val="0"/>
          <w:marBottom w:val="0"/>
          <w:divBdr>
            <w:top w:val="none" w:sz="0" w:space="0" w:color="auto"/>
            <w:left w:val="none" w:sz="0" w:space="0" w:color="auto"/>
            <w:bottom w:val="none" w:sz="0" w:space="0" w:color="auto"/>
            <w:right w:val="none" w:sz="0" w:space="0" w:color="auto"/>
          </w:divBdr>
        </w:div>
        <w:div w:id="2024700975">
          <w:marLeft w:val="0"/>
          <w:marRight w:val="0"/>
          <w:marTop w:val="0"/>
          <w:marBottom w:val="0"/>
          <w:divBdr>
            <w:top w:val="none" w:sz="0" w:space="0" w:color="auto"/>
            <w:left w:val="none" w:sz="0" w:space="0" w:color="auto"/>
            <w:bottom w:val="none" w:sz="0" w:space="0" w:color="auto"/>
            <w:right w:val="none" w:sz="0" w:space="0" w:color="auto"/>
          </w:divBdr>
        </w:div>
        <w:div w:id="2024700976">
          <w:marLeft w:val="0"/>
          <w:marRight w:val="0"/>
          <w:marTop w:val="0"/>
          <w:marBottom w:val="0"/>
          <w:divBdr>
            <w:top w:val="none" w:sz="0" w:space="0" w:color="auto"/>
            <w:left w:val="none" w:sz="0" w:space="0" w:color="auto"/>
            <w:bottom w:val="none" w:sz="0" w:space="0" w:color="auto"/>
            <w:right w:val="none" w:sz="0" w:space="0" w:color="auto"/>
          </w:divBdr>
        </w:div>
        <w:div w:id="2024700977">
          <w:marLeft w:val="0"/>
          <w:marRight w:val="0"/>
          <w:marTop w:val="0"/>
          <w:marBottom w:val="0"/>
          <w:divBdr>
            <w:top w:val="none" w:sz="0" w:space="0" w:color="auto"/>
            <w:left w:val="none" w:sz="0" w:space="0" w:color="auto"/>
            <w:bottom w:val="none" w:sz="0" w:space="0" w:color="auto"/>
            <w:right w:val="none" w:sz="0" w:space="0" w:color="auto"/>
          </w:divBdr>
        </w:div>
        <w:div w:id="2024700978">
          <w:marLeft w:val="0"/>
          <w:marRight w:val="0"/>
          <w:marTop w:val="0"/>
          <w:marBottom w:val="0"/>
          <w:divBdr>
            <w:top w:val="none" w:sz="0" w:space="0" w:color="auto"/>
            <w:left w:val="none" w:sz="0" w:space="0" w:color="auto"/>
            <w:bottom w:val="none" w:sz="0" w:space="0" w:color="auto"/>
            <w:right w:val="none" w:sz="0" w:space="0" w:color="auto"/>
          </w:divBdr>
        </w:div>
        <w:div w:id="2024700979">
          <w:marLeft w:val="0"/>
          <w:marRight w:val="0"/>
          <w:marTop w:val="0"/>
          <w:marBottom w:val="0"/>
          <w:divBdr>
            <w:top w:val="none" w:sz="0" w:space="0" w:color="auto"/>
            <w:left w:val="none" w:sz="0" w:space="0" w:color="auto"/>
            <w:bottom w:val="none" w:sz="0" w:space="0" w:color="auto"/>
            <w:right w:val="none" w:sz="0" w:space="0" w:color="auto"/>
          </w:divBdr>
        </w:div>
        <w:div w:id="2024700980">
          <w:marLeft w:val="0"/>
          <w:marRight w:val="0"/>
          <w:marTop w:val="0"/>
          <w:marBottom w:val="0"/>
          <w:divBdr>
            <w:top w:val="none" w:sz="0" w:space="0" w:color="auto"/>
            <w:left w:val="none" w:sz="0" w:space="0" w:color="auto"/>
            <w:bottom w:val="none" w:sz="0" w:space="0" w:color="auto"/>
            <w:right w:val="none" w:sz="0" w:space="0" w:color="auto"/>
          </w:divBdr>
        </w:div>
        <w:div w:id="2024700981">
          <w:marLeft w:val="0"/>
          <w:marRight w:val="0"/>
          <w:marTop w:val="0"/>
          <w:marBottom w:val="0"/>
          <w:divBdr>
            <w:top w:val="none" w:sz="0" w:space="0" w:color="auto"/>
            <w:left w:val="none" w:sz="0" w:space="0" w:color="auto"/>
            <w:bottom w:val="none" w:sz="0" w:space="0" w:color="auto"/>
            <w:right w:val="none" w:sz="0" w:space="0" w:color="auto"/>
          </w:divBdr>
        </w:div>
        <w:div w:id="2024700982">
          <w:marLeft w:val="0"/>
          <w:marRight w:val="0"/>
          <w:marTop w:val="0"/>
          <w:marBottom w:val="0"/>
          <w:divBdr>
            <w:top w:val="none" w:sz="0" w:space="0" w:color="auto"/>
            <w:left w:val="none" w:sz="0" w:space="0" w:color="auto"/>
            <w:bottom w:val="none" w:sz="0" w:space="0" w:color="auto"/>
            <w:right w:val="none" w:sz="0" w:space="0" w:color="auto"/>
          </w:divBdr>
        </w:div>
        <w:div w:id="2024700983">
          <w:marLeft w:val="0"/>
          <w:marRight w:val="0"/>
          <w:marTop w:val="0"/>
          <w:marBottom w:val="0"/>
          <w:divBdr>
            <w:top w:val="none" w:sz="0" w:space="0" w:color="auto"/>
            <w:left w:val="none" w:sz="0" w:space="0" w:color="auto"/>
            <w:bottom w:val="none" w:sz="0" w:space="0" w:color="auto"/>
            <w:right w:val="none" w:sz="0" w:space="0" w:color="auto"/>
          </w:divBdr>
        </w:div>
        <w:div w:id="2024700984">
          <w:marLeft w:val="0"/>
          <w:marRight w:val="0"/>
          <w:marTop w:val="0"/>
          <w:marBottom w:val="0"/>
          <w:divBdr>
            <w:top w:val="none" w:sz="0" w:space="0" w:color="auto"/>
            <w:left w:val="none" w:sz="0" w:space="0" w:color="auto"/>
            <w:bottom w:val="none" w:sz="0" w:space="0" w:color="auto"/>
            <w:right w:val="none" w:sz="0" w:space="0" w:color="auto"/>
          </w:divBdr>
        </w:div>
        <w:div w:id="2024700985">
          <w:marLeft w:val="0"/>
          <w:marRight w:val="0"/>
          <w:marTop w:val="0"/>
          <w:marBottom w:val="0"/>
          <w:divBdr>
            <w:top w:val="none" w:sz="0" w:space="0" w:color="auto"/>
            <w:left w:val="none" w:sz="0" w:space="0" w:color="auto"/>
            <w:bottom w:val="none" w:sz="0" w:space="0" w:color="auto"/>
            <w:right w:val="none" w:sz="0" w:space="0" w:color="auto"/>
          </w:divBdr>
        </w:div>
        <w:div w:id="2024700986">
          <w:marLeft w:val="0"/>
          <w:marRight w:val="0"/>
          <w:marTop w:val="0"/>
          <w:marBottom w:val="0"/>
          <w:divBdr>
            <w:top w:val="none" w:sz="0" w:space="0" w:color="auto"/>
            <w:left w:val="none" w:sz="0" w:space="0" w:color="auto"/>
            <w:bottom w:val="none" w:sz="0" w:space="0" w:color="auto"/>
            <w:right w:val="none" w:sz="0" w:space="0" w:color="auto"/>
          </w:divBdr>
        </w:div>
        <w:div w:id="2024700987">
          <w:marLeft w:val="0"/>
          <w:marRight w:val="0"/>
          <w:marTop w:val="0"/>
          <w:marBottom w:val="0"/>
          <w:divBdr>
            <w:top w:val="none" w:sz="0" w:space="0" w:color="auto"/>
            <w:left w:val="none" w:sz="0" w:space="0" w:color="auto"/>
            <w:bottom w:val="none" w:sz="0" w:space="0" w:color="auto"/>
            <w:right w:val="none" w:sz="0" w:space="0" w:color="auto"/>
          </w:divBdr>
        </w:div>
        <w:div w:id="2024700988">
          <w:marLeft w:val="0"/>
          <w:marRight w:val="0"/>
          <w:marTop w:val="0"/>
          <w:marBottom w:val="0"/>
          <w:divBdr>
            <w:top w:val="none" w:sz="0" w:space="0" w:color="auto"/>
            <w:left w:val="none" w:sz="0" w:space="0" w:color="auto"/>
            <w:bottom w:val="none" w:sz="0" w:space="0" w:color="auto"/>
            <w:right w:val="none" w:sz="0" w:space="0" w:color="auto"/>
          </w:divBdr>
        </w:div>
        <w:div w:id="2024700989">
          <w:marLeft w:val="0"/>
          <w:marRight w:val="0"/>
          <w:marTop w:val="0"/>
          <w:marBottom w:val="0"/>
          <w:divBdr>
            <w:top w:val="none" w:sz="0" w:space="0" w:color="auto"/>
            <w:left w:val="none" w:sz="0" w:space="0" w:color="auto"/>
            <w:bottom w:val="none" w:sz="0" w:space="0" w:color="auto"/>
            <w:right w:val="none" w:sz="0" w:space="0" w:color="auto"/>
          </w:divBdr>
        </w:div>
        <w:div w:id="2024700990">
          <w:marLeft w:val="0"/>
          <w:marRight w:val="0"/>
          <w:marTop w:val="0"/>
          <w:marBottom w:val="0"/>
          <w:divBdr>
            <w:top w:val="none" w:sz="0" w:space="0" w:color="auto"/>
            <w:left w:val="none" w:sz="0" w:space="0" w:color="auto"/>
            <w:bottom w:val="none" w:sz="0" w:space="0" w:color="auto"/>
            <w:right w:val="none" w:sz="0" w:space="0" w:color="auto"/>
          </w:divBdr>
        </w:div>
        <w:div w:id="2024700991">
          <w:marLeft w:val="0"/>
          <w:marRight w:val="0"/>
          <w:marTop w:val="0"/>
          <w:marBottom w:val="0"/>
          <w:divBdr>
            <w:top w:val="none" w:sz="0" w:space="0" w:color="auto"/>
            <w:left w:val="none" w:sz="0" w:space="0" w:color="auto"/>
            <w:bottom w:val="none" w:sz="0" w:space="0" w:color="auto"/>
            <w:right w:val="none" w:sz="0" w:space="0" w:color="auto"/>
          </w:divBdr>
        </w:div>
        <w:div w:id="2024700992">
          <w:marLeft w:val="0"/>
          <w:marRight w:val="0"/>
          <w:marTop w:val="0"/>
          <w:marBottom w:val="0"/>
          <w:divBdr>
            <w:top w:val="none" w:sz="0" w:space="0" w:color="auto"/>
            <w:left w:val="none" w:sz="0" w:space="0" w:color="auto"/>
            <w:bottom w:val="none" w:sz="0" w:space="0" w:color="auto"/>
            <w:right w:val="none" w:sz="0" w:space="0" w:color="auto"/>
          </w:divBdr>
        </w:div>
        <w:div w:id="2024700993">
          <w:marLeft w:val="0"/>
          <w:marRight w:val="0"/>
          <w:marTop w:val="0"/>
          <w:marBottom w:val="0"/>
          <w:divBdr>
            <w:top w:val="none" w:sz="0" w:space="0" w:color="auto"/>
            <w:left w:val="none" w:sz="0" w:space="0" w:color="auto"/>
            <w:bottom w:val="none" w:sz="0" w:space="0" w:color="auto"/>
            <w:right w:val="none" w:sz="0" w:space="0" w:color="auto"/>
          </w:divBdr>
        </w:div>
        <w:div w:id="2024700994">
          <w:marLeft w:val="0"/>
          <w:marRight w:val="0"/>
          <w:marTop w:val="0"/>
          <w:marBottom w:val="0"/>
          <w:divBdr>
            <w:top w:val="none" w:sz="0" w:space="0" w:color="auto"/>
            <w:left w:val="none" w:sz="0" w:space="0" w:color="auto"/>
            <w:bottom w:val="none" w:sz="0" w:space="0" w:color="auto"/>
            <w:right w:val="none" w:sz="0" w:space="0" w:color="auto"/>
          </w:divBdr>
        </w:div>
        <w:div w:id="2024700995">
          <w:marLeft w:val="0"/>
          <w:marRight w:val="0"/>
          <w:marTop w:val="0"/>
          <w:marBottom w:val="0"/>
          <w:divBdr>
            <w:top w:val="none" w:sz="0" w:space="0" w:color="auto"/>
            <w:left w:val="none" w:sz="0" w:space="0" w:color="auto"/>
            <w:bottom w:val="none" w:sz="0" w:space="0" w:color="auto"/>
            <w:right w:val="none" w:sz="0" w:space="0" w:color="auto"/>
          </w:divBdr>
        </w:div>
        <w:div w:id="2024700996">
          <w:marLeft w:val="0"/>
          <w:marRight w:val="0"/>
          <w:marTop w:val="0"/>
          <w:marBottom w:val="0"/>
          <w:divBdr>
            <w:top w:val="none" w:sz="0" w:space="0" w:color="auto"/>
            <w:left w:val="none" w:sz="0" w:space="0" w:color="auto"/>
            <w:bottom w:val="none" w:sz="0" w:space="0" w:color="auto"/>
            <w:right w:val="none" w:sz="0" w:space="0" w:color="auto"/>
          </w:divBdr>
        </w:div>
        <w:div w:id="2024700997">
          <w:marLeft w:val="0"/>
          <w:marRight w:val="0"/>
          <w:marTop w:val="0"/>
          <w:marBottom w:val="0"/>
          <w:divBdr>
            <w:top w:val="none" w:sz="0" w:space="0" w:color="auto"/>
            <w:left w:val="none" w:sz="0" w:space="0" w:color="auto"/>
            <w:bottom w:val="none" w:sz="0" w:space="0" w:color="auto"/>
            <w:right w:val="none" w:sz="0" w:space="0" w:color="auto"/>
          </w:divBdr>
        </w:div>
        <w:div w:id="2024700998">
          <w:marLeft w:val="0"/>
          <w:marRight w:val="0"/>
          <w:marTop w:val="0"/>
          <w:marBottom w:val="0"/>
          <w:divBdr>
            <w:top w:val="none" w:sz="0" w:space="0" w:color="auto"/>
            <w:left w:val="none" w:sz="0" w:space="0" w:color="auto"/>
            <w:bottom w:val="none" w:sz="0" w:space="0" w:color="auto"/>
            <w:right w:val="none" w:sz="0" w:space="0" w:color="auto"/>
          </w:divBdr>
        </w:div>
        <w:div w:id="2024700999">
          <w:marLeft w:val="0"/>
          <w:marRight w:val="0"/>
          <w:marTop w:val="0"/>
          <w:marBottom w:val="0"/>
          <w:divBdr>
            <w:top w:val="none" w:sz="0" w:space="0" w:color="auto"/>
            <w:left w:val="none" w:sz="0" w:space="0" w:color="auto"/>
            <w:bottom w:val="none" w:sz="0" w:space="0" w:color="auto"/>
            <w:right w:val="none" w:sz="0" w:space="0" w:color="auto"/>
          </w:divBdr>
        </w:div>
        <w:div w:id="2024701000">
          <w:marLeft w:val="0"/>
          <w:marRight w:val="0"/>
          <w:marTop w:val="0"/>
          <w:marBottom w:val="0"/>
          <w:divBdr>
            <w:top w:val="none" w:sz="0" w:space="0" w:color="auto"/>
            <w:left w:val="none" w:sz="0" w:space="0" w:color="auto"/>
            <w:bottom w:val="none" w:sz="0" w:space="0" w:color="auto"/>
            <w:right w:val="none" w:sz="0" w:space="0" w:color="auto"/>
          </w:divBdr>
        </w:div>
        <w:div w:id="2024701001">
          <w:marLeft w:val="0"/>
          <w:marRight w:val="0"/>
          <w:marTop w:val="0"/>
          <w:marBottom w:val="0"/>
          <w:divBdr>
            <w:top w:val="none" w:sz="0" w:space="0" w:color="auto"/>
            <w:left w:val="none" w:sz="0" w:space="0" w:color="auto"/>
            <w:bottom w:val="none" w:sz="0" w:space="0" w:color="auto"/>
            <w:right w:val="none" w:sz="0" w:space="0" w:color="auto"/>
          </w:divBdr>
        </w:div>
        <w:div w:id="2024701002">
          <w:marLeft w:val="0"/>
          <w:marRight w:val="0"/>
          <w:marTop w:val="0"/>
          <w:marBottom w:val="0"/>
          <w:divBdr>
            <w:top w:val="none" w:sz="0" w:space="0" w:color="auto"/>
            <w:left w:val="none" w:sz="0" w:space="0" w:color="auto"/>
            <w:bottom w:val="none" w:sz="0" w:space="0" w:color="auto"/>
            <w:right w:val="none" w:sz="0" w:space="0" w:color="auto"/>
          </w:divBdr>
        </w:div>
        <w:div w:id="2024701003">
          <w:marLeft w:val="0"/>
          <w:marRight w:val="0"/>
          <w:marTop w:val="0"/>
          <w:marBottom w:val="0"/>
          <w:divBdr>
            <w:top w:val="none" w:sz="0" w:space="0" w:color="auto"/>
            <w:left w:val="none" w:sz="0" w:space="0" w:color="auto"/>
            <w:bottom w:val="none" w:sz="0" w:space="0" w:color="auto"/>
            <w:right w:val="none" w:sz="0" w:space="0" w:color="auto"/>
          </w:divBdr>
        </w:div>
        <w:div w:id="2024701004">
          <w:marLeft w:val="0"/>
          <w:marRight w:val="0"/>
          <w:marTop w:val="0"/>
          <w:marBottom w:val="0"/>
          <w:divBdr>
            <w:top w:val="none" w:sz="0" w:space="0" w:color="auto"/>
            <w:left w:val="none" w:sz="0" w:space="0" w:color="auto"/>
            <w:bottom w:val="none" w:sz="0" w:space="0" w:color="auto"/>
            <w:right w:val="none" w:sz="0" w:space="0" w:color="auto"/>
          </w:divBdr>
        </w:div>
        <w:div w:id="2024701005">
          <w:marLeft w:val="0"/>
          <w:marRight w:val="0"/>
          <w:marTop w:val="0"/>
          <w:marBottom w:val="0"/>
          <w:divBdr>
            <w:top w:val="none" w:sz="0" w:space="0" w:color="auto"/>
            <w:left w:val="none" w:sz="0" w:space="0" w:color="auto"/>
            <w:bottom w:val="none" w:sz="0" w:space="0" w:color="auto"/>
            <w:right w:val="none" w:sz="0" w:space="0" w:color="auto"/>
          </w:divBdr>
        </w:div>
        <w:div w:id="2024701006">
          <w:marLeft w:val="0"/>
          <w:marRight w:val="0"/>
          <w:marTop w:val="0"/>
          <w:marBottom w:val="0"/>
          <w:divBdr>
            <w:top w:val="none" w:sz="0" w:space="0" w:color="auto"/>
            <w:left w:val="none" w:sz="0" w:space="0" w:color="auto"/>
            <w:bottom w:val="none" w:sz="0" w:space="0" w:color="auto"/>
            <w:right w:val="none" w:sz="0" w:space="0" w:color="auto"/>
          </w:divBdr>
        </w:div>
        <w:div w:id="2024701007">
          <w:marLeft w:val="0"/>
          <w:marRight w:val="0"/>
          <w:marTop w:val="0"/>
          <w:marBottom w:val="0"/>
          <w:divBdr>
            <w:top w:val="none" w:sz="0" w:space="0" w:color="auto"/>
            <w:left w:val="none" w:sz="0" w:space="0" w:color="auto"/>
            <w:bottom w:val="none" w:sz="0" w:space="0" w:color="auto"/>
            <w:right w:val="none" w:sz="0" w:space="0" w:color="auto"/>
          </w:divBdr>
        </w:div>
        <w:div w:id="2024701008">
          <w:marLeft w:val="0"/>
          <w:marRight w:val="0"/>
          <w:marTop w:val="0"/>
          <w:marBottom w:val="0"/>
          <w:divBdr>
            <w:top w:val="none" w:sz="0" w:space="0" w:color="auto"/>
            <w:left w:val="none" w:sz="0" w:space="0" w:color="auto"/>
            <w:bottom w:val="none" w:sz="0" w:space="0" w:color="auto"/>
            <w:right w:val="none" w:sz="0" w:space="0" w:color="auto"/>
          </w:divBdr>
        </w:div>
        <w:div w:id="2024701009">
          <w:marLeft w:val="0"/>
          <w:marRight w:val="0"/>
          <w:marTop w:val="0"/>
          <w:marBottom w:val="0"/>
          <w:divBdr>
            <w:top w:val="none" w:sz="0" w:space="0" w:color="auto"/>
            <w:left w:val="none" w:sz="0" w:space="0" w:color="auto"/>
            <w:bottom w:val="none" w:sz="0" w:space="0" w:color="auto"/>
            <w:right w:val="none" w:sz="0" w:space="0" w:color="auto"/>
          </w:divBdr>
        </w:div>
        <w:div w:id="2024701010">
          <w:marLeft w:val="0"/>
          <w:marRight w:val="0"/>
          <w:marTop w:val="0"/>
          <w:marBottom w:val="0"/>
          <w:divBdr>
            <w:top w:val="none" w:sz="0" w:space="0" w:color="auto"/>
            <w:left w:val="none" w:sz="0" w:space="0" w:color="auto"/>
            <w:bottom w:val="none" w:sz="0" w:space="0" w:color="auto"/>
            <w:right w:val="none" w:sz="0" w:space="0" w:color="auto"/>
          </w:divBdr>
        </w:div>
        <w:div w:id="2024701011">
          <w:marLeft w:val="0"/>
          <w:marRight w:val="0"/>
          <w:marTop w:val="0"/>
          <w:marBottom w:val="0"/>
          <w:divBdr>
            <w:top w:val="none" w:sz="0" w:space="0" w:color="auto"/>
            <w:left w:val="none" w:sz="0" w:space="0" w:color="auto"/>
            <w:bottom w:val="none" w:sz="0" w:space="0" w:color="auto"/>
            <w:right w:val="none" w:sz="0" w:space="0" w:color="auto"/>
          </w:divBdr>
        </w:div>
        <w:div w:id="2024701012">
          <w:marLeft w:val="0"/>
          <w:marRight w:val="0"/>
          <w:marTop w:val="0"/>
          <w:marBottom w:val="0"/>
          <w:divBdr>
            <w:top w:val="none" w:sz="0" w:space="0" w:color="auto"/>
            <w:left w:val="none" w:sz="0" w:space="0" w:color="auto"/>
            <w:bottom w:val="none" w:sz="0" w:space="0" w:color="auto"/>
            <w:right w:val="none" w:sz="0" w:space="0" w:color="auto"/>
          </w:divBdr>
        </w:div>
        <w:div w:id="2024701013">
          <w:marLeft w:val="0"/>
          <w:marRight w:val="0"/>
          <w:marTop w:val="0"/>
          <w:marBottom w:val="0"/>
          <w:divBdr>
            <w:top w:val="none" w:sz="0" w:space="0" w:color="auto"/>
            <w:left w:val="none" w:sz="0" w:space="0" w:color="auto"/>
            <w:bottom w:val="none" w:sz="0" w:space="0" w:color="auto"/>
            <w:right w:val="none" w:sz="0" w:space="0" w:color="auto"/>
          </w:divBdr>
        </w:div>
        <w:div w:id="2024701014">
          <w:marLeft w:val="0"/>
          <w:marRight w:val="0"/>
          <w:marTop w:val="0"/>
          <w:marBottom w:val="0"/>
          <w:divBdr>
            <w:top w:val="none" w:sz="0" w:space="0" w:color="auto"/>
            <w:left w:val="none" w:sz="0" w:space="0" w:color="auto"/>
            <w:bottom w:val="none" w:sz="0" w:space="0" w:color="auto"/>
            <w:right w:val="none" w:sz="0" w:space="0" w:color="auto"/>
          </w:divBdr>
        </w:div>
        <w:div w:id="2024701015">
          <w:marLeft w:val="0"/>
          <w:marRight w:val="0"/>
          <w:marTop w:val="0"/>
          <w:marBottom w:val="0"/>
          <w:divBdr>
            <w:top w:val="none" w:sz="0" w:space="0" w:color="auto"/>
            <w:left w:val="none" w:sz="0" w:space="0" w:color="auto"/>
            <w:bottom w:val="none" w:sz="0" w:space="0" w:color="auto"/>
            <w:right w:val="none" w:sz="0" w:space="0" w:color="auto"/>
          </w:divBdr>
        </w:div>
        <w:div w:id="2024701016">
          <w:marLeft w:val="0"/>
          <w:marRight w:val="0"/>
          <w:marTop w:val="0"/>
          <w:marBottom w:val="0"/>
          <w:divBdr>
            <w:top w:val="none" w:sz="0" w:space="0" w:color="auto"/>
            <w:left w:val="none" w:sz="0" w:space="0" w:color="auto"/>
            <w:bottom w:val="none" w:sz="0" w:space="0" w:color="auto"/>
            <w:right w:val="none" w:sz="0" w:space="0" w:color="auto"/>
          </w:divBdr>
        </w:div>
        <w:div w:id="2024701017">
          <w:marLeft w:val="0"/>
          <w:marRight w:val="0"/>
          <w:marTop w:val="0"/>
          <w:marBottom w:val="0"/>
          <w:divBdr>
            <w:top w:val="none" w:sz="0" w:space="0" w:color="auto"/>
            <w:left w:val="none" w:sz="0" w:space="0" w:color="auto"/>
            <w:bottom w:val="none" w:sz="0" w:space="0" w:color="auto"/>
            <w:right w:val="none" w:sz="0" w:space="0" w:color="auto"/>
          </w:divBdr>
        </w:div>
        <w:div w:id="2024701018">
          <w:marLeft w:val="0"/>
          <w:marRight w:val="0"/>
          <w:marTop w:val="0"/>
          <w:marBottom w:val="0"/>
          <w:divBdr>
            <w:top w:val="none" w:sz="0" w:space="0" w:color="auto"/>
            <w:left w:val="none" w:sz="0" w:space="0" w:color="auto"/>
            <w:bottom w:val="none" w:sz="0" w:space="0" w:color="auto"/>
            <w:right w:val="none" w:sz="0" w:space="0" w:color="auto"/>
          </w:divBdr>
        </w:div>
        <w:div w:id="2024701020">
          <w:marLeft w:val="0"/>
          <w:marRight w:val="0"/>
          <w:marTop w:val="0"/>
          <w:marBottom w:val="0"/>
          <w:divBdr>
            <w:top w:val="none" w:sz="0" w:space="0" w:color="auto"/>
            <w:left w:val="none" w:sz="0" w:space="0" w:color="auto"/>
            <w:bottom w:val="none" w:sz="0" w:space="0" w:color="auto"/>
            <w:right w:val="none" w:sz="0" w:space="0" w:color="auto"/>
          </w:divBdr>
        </w:div>
        <w:div w:id="2024701021">
          <w:marLeft w:val="0"/>
          <w:marRight w:val="0"/>
          <w:marTop w:val="0"/>
          <w:marBottom w:val="0"/>
          <w:divBdr>
            <w:top w:val="none" w:sz="0" w:space="0" w:color="auto"/>
            <w:left w:val="none" w:sz="0" w:space="0" w:color="auto"/>
            <w:bottom w:val="none" w:sz="0" w:space="0" w:color="auto"/>
            <w:right w:val="none" w:sz="0" w:space="0" w:color="auto"/>
          </w:divBdr>
        </w:div>
        <w:div w:id="2024701022">
          <w:marLeft w:val="0"/>
          <w:marRight w:val="0"/>
          <w:marTop w:val="0"/>
          <w:marBottom w:val="0"/>
          <w:divBdr>
            <w:top w:val="none" w:sz="0" w:space="0" w:color="auto"/>
            <w:left w:val="none" w:sz="0" w:space="0" w:color="auto"/>
            <w:bottom w:val="none" w:sz="0" w:space="0" w:color="auto"/>
            <w:right w:val="none" w:sz="0" w:space="0" w:color="auto"/>
          </w:divBdr>
        </w:div>
        <w:div w:id="2024701023">
          <w:marLeft w:val="0"/>
          <w:marRight w:val="0"/>
          <w:marTop w:val="0"/>
          <w:marBottom w:val="0"/>
          <w:divBdr>
            <w:top w:val="none" w:sz="0" w:space="0" w:color="auto"/>
            <w:left w:val="none" w:sz="0" w:space="0" w:color="auto"/>
            <w:bottom w:val="none" w:sz="0" w:space="0" w:color="auto"/>
            <w:right w:val="none" w:sz="0" w:space="0" w:color="auto"/>
          </w:divBdr>
        </w:div>
        <w:div w:id="2024701024">
          <w:marLeft w:val="0"/>
          <w:marRight w:val="0"/>
          <w:marTop w:val="0"/>
          <w:marBottom w:val="0"/>
          <w:divBdr>
            <w:top w:val="none" w:sz="0" w:space="0" w:color="auto"/>
            <w:left w:val="none" w:sz="0" w:space="0" w:color="auto"/>
            <w:bottom w:val="none" w:sz="0" w:space="0" w:color="auto"/>
            <w:right w:val="none" w:sz="0" w:space="0" w:color="auto"/>
          </w:divBdr>
        </w:div>
        <w:div w:id="2024701025">
          <w:marLeft w:val="0"/>
          <w:marRight w:val="0"/>
          <w:marTop w:val="0"/>
          <w:marBottom w:val="0"/>
          <w:divBdr>
            <w:top w:val="none" w:sz="0" w:space="0" w:color="auto"/>
            <w:left w:val="none" w:sz="0" w:space="0" w:color="auto"/>
            <w:bottom w:val="none" w:sz="0" w:space="0" w:color="auto"/>
            <w:right w:val="none" w:sz="0" w:space="0" w:color="auto"/>
          </w:divBdr>
        </w:div>
        <w:div w:id="2024701026">
          <w:marLeft w:val="0"/>
          <w:marRight w:val="0"/>
          <w:marTop w:val="0"/>
          <w:marBottom w:val="0"/>
          <w:divBdr>
            <w:top w:val="none" w:sz="0" w:space="0" w:color="auto"/>
            <w:left w:val="none" w:sz="0" w:space="0" w:color="auto"/>
            <w:bottom w:val="none" w:sz="0" w:space="0" w:color="auto"/>
            <w:right w:val="none" w:sz="0" w:space="0" w:color="auto"/>
          </w:divBdr>
        </w:div>
        <w:div w:id="2024701027">
          <w:marLeft w:val="0"/>
          <w:marRight w:val="0"/>
          <w:marTop w:val="0"/>
          <w:marBottom w:val="0"/>
          <w:divBdr>
            <w:top w:val="none" w:sz="0" w:space="0" w:color="auto"/>
            <w:left w:val="none" w:sz="0" w:space="0" w:color="auto"/>
            <w:bottom w:val="none" w:sz="0" w:space="0" w:color="auto"/>
            <w:right w:val="none" w:sz="0" w:space="0" w:color="auto"/>
          </w:divBdr>
        </w:div>
        <w:div w:id="2024701028">
          <w:marLeft w:val="0"/>
          <w:marRight w:val="0"/>
          <w:marTop w:val="0"/>
          <w:marBottom w:val="0"/>
          <w:divBdr>
            <w:top w:val="none" w:sz="0" w:space="0" w:color="auto"/>
            <w:left w:val="none" w:sz="0" w:space="0" w:color="auto"/>
            <w:bottom w:val="none" w:sz="0" w:space="0" w:color="auto"/>
            <w:right w:val="none" w:sz="0" w:space="0" w:color="auto"/>
          </w:divBdr>
        </w:div>
        <w:div w:id="2024701029">
          <w:marLeft w:val="0"/>
          <w:marRight w:val="0"/>
          <w:marTop w:val="0"/>
          <w:marBottom w:val="0"/>
          <w:divBdr>
            <w:top w:val="none" w:sz="0" w:space="0" w:color="auto"/>
            <w:left w:val="none" w:sz="0" w:space="0" w:color="auto"/>
            <w:bottom w:val="none" w:sz="0" w:space="0" w:color="auto"/>
            <w:right w:val="none" w:sz="0" w:space="0" w:color="auto"/>
          </w:divBdr>
        </w:div>
        <w:div w:id="2024701030">
          <w:marLeft w:val="0"/>
          <w:marRight w:val="0"/>
          <w:marTop w:val="0"/>
          <w:marBottom w:val="0"/>
          <w:divBdr>
            <w:top w:val="none" w:sz="0" w:space="0" w:color="auto"/>
            <w:left w:val="none" w:sz="0" w:space="0" w:color="auto"/>
            <w:bottom w:val="none" w:sz="0" w:space="0" w:color="auto"/>
            <w:right w:val="none" w:sz="0" w:space="0" w:color="auto"/>
          </w:divBdr>
        </w:div>
        <w:div w:id="2024701031">
          <w:marLeft w:val="0"/>
          <w:marRight w:val="0"/>
          <w:marTop w:val="0"/>
          <w:marBottom w:val="0"/>
          <w:divBdr>
            <w:top w:val="none" w:sz="0" w:space="0" w:color="auto"/>
            <w:left w:val="none" w:sz="0" w:space="0" w:color="auto"/>
            <w:bottom w:val="none" w:sz="0" w:space="0" w:color="auto"/>
            <w:right w:val="none" w:sz="0" w:space="0" w:color="auto"/>
          </w:divBdr>
        </w:div>
        <w:div w:id="2024701032">
          <w:marLeft w:val="0"/>
          <w:marRight w:val="0"/>
          <w:marTop w:val="0"/>
          <w:marBottom w:val="0"/>
          <w:divBdr>
            <w:top w:val="none" w:sz="0" w:space="0" w:color="auto"/>
            <w:left w:val="none" w:sz="0" w:space="0" w:color="auto"/>
            <w:bottom w:val="none" w:sz="0" w:space="0" w:color="auto"/>
            <w:right w:val="none" w:sz="0" w:space="0" w:color="auto"/>
          </w:divBdr>
        </w:div>
        <w:div w:id="2024701033">
          <w:marLeft w:val="0"/>
          <w:marRight w:val="0"/>
          <w:marTop w:val="0"/>
          <w:marBottom w:val="0"/>
          <w:divBdr>
            <w:top w:val="none" w:sz="0" w:space="0" w:color="auto"/>
            <w:left w:val="none" w:sz="0" w:space="0" w:color="auto"/>
            <w:bottom w:val="none" w:sz="0" w:space="0" w:color="auto"/>
            <w:right w:val="none" w:sz="0" w:space="0" w:color="auto"/>
          </w:divBdr>
        </w:div>
        <w:div w:id="2024701034">
          <w:marLeft w:val="0"/>
          <w:marRight w:val="0"/>
          <w:marTop w:val="0"/>
          <w:marBottom w:val="0"/>
          <w:divBdr>
            <w:top w:val="none" w:sz="0" w:space="0" w:color="auto"/>
            <w:left w:val="none" w:sz="0" w:space="0" w:color="auto"/>
            <w:bottom w:val="none" w:sz="0" w:space="0" w:color="auto"/>
            <w:right w:val="none" w:sz="0" w:space="0" w:color="auto"/>
          </w:divBdr>
        </w:div>
        <w:div w:id="2024701035">
          <w:marLeft w:val="0"/>
          <w:marRight w:val="0"/>
          <w:marTop w:val="0"/>
          <w:marBottom w:val="0"/>
          <w:divBdr>
            <w:top w:val="none" w:sz="0" w:space="0" w:color="auto"/>
            <w:left w:val="none" w:sz="0" w:space="0" w:color="auto"/>
            <w:bottom w:val="none" w:sz="0" w:space="0" w:color="auto"/>
            <w:right w:val="none" w:sz="0" w:space="0" w:color="auto"/>
          </w:divBdr>
        </w:div>
        <w:div w:id="2024701036">
          <w:marLeft w:val="0"/>
          <w:marRight w:val="0"/>
          <w:marTop w:val="0"/>
          <w:marBottom w:val="0"/>
          <w:divBdr>
            <w:top w:val="none" w:sz="0" w:space="0" w:color="auto"/>
            <w:left w:val="none" w:sz="0" w:space="0" w:color="auto"/>
            <w:bottom w:val="none" w:sz="0" w:space="0" w:color="auto"/>
            <w:right w:val="none" w:sz="0" w:space="0" w:color="auto"/>
          </w:divBdr>
        </w:div>
        <w:div w:id="2024701037">
          <w:marLeft w:val="0"/>
          <w:marRight w:val="0"/>
          <w:marTop w:val="0"/>
          <w:marBottom w:val="0"/>
          <w:divBdr>
            <w:top w:val="none" w:sz="0" w:space="0" w:color="auto"/>
            <w:left w:val="none" w:sz="0" w:space="0" w:color="auto"/>
            <w:bottom w:val="none" w:sz="0" w:space="0" w:color="auto"/>
            <w:right w:val="none" w:sz="0" w:space="0" w:color="auto"/>
          </w:divBdr>
        </w:div>
        <w:div w:id="2024701038">
          <w:marLeft w:val="0"/>
          <w:marRight w:val="0"/>
          <w:marTop w:val="0"/>
          <w:marBottom w:val="0"/>
          <w:divBdr>
            <w:top w:val="none" w:sz="0" w:space="0" w:color="auto"/>
            <w:left w:val="none" w:sz="0" w:space="0" w:color="auto"/>
            <w:bottom w:val="none" w:sz="0" w:space="0" w:color="auto"/>
            <w:right w:val="none" w:sz="0" w:space="0" w:color="auto"/>
          </w:divBdr>
        </w:div>
        <w:div w:id="2024701039">
          <w:marLeft w:val="0"/>
          <w:marRight w:val="0"/>
          <w:marTop w:val="0"/>
          <w:marBottom w:val="0"/>
          <w:divBdr>
            <w:top w:val="none" w:sz="0" w:space="0" w:color="auto"/>
            <w:left w:val="none" w:sz="0" w:space="0" w:color="auto"/>
            <w:bottom w:val="none" w:sz="0" w:space="0" w:color="auto"/>
            <w:right w:val="none" w:sz="0" w:space="0" w:color="auto"/>
          </w:divBdr>
        </w:div>
        <w:div w:id="2024701040">
          <w:marLeft w:val="0"/>
          <w:marRight w:val="0"/>
          <w:marTop w:val="0"/>
          <w:marBottom w:val="0"/>
          <w:divBdr>
            <w:top w:val="none" w:sz="0" w:space="0" w:color="auto"/>
            <w:left w:val="none" w:sz="0" w:space="0" w:color="auto"/>
            <w:bottom w:val="none" w:sz="0" w:space="0" w:color="auto"/>
            <w:right w:val="none" w:sz="0" w:space="0" w:color="auto"/>
          </w:divBdr>
        </w:div>
        <w:div w:id="2024701041">
          <w:marLeft w:val="0"/>
          <w:marRight w:val="0"/>
          <w:marTop w:val="0"/>
          <w:marBottom w:val="0"/>
          <w:divBdr>
            <w:top w:val="none" w:sz="0" w:space="0" w:color="auto"/>
            <w:left w:val="none" w:sz="0" w:space="0" w:color="auto"/>
            <w:bottom w:val="none" w:sz="0" w:space="0" w:color="auto"/>
            <w:right w:val="none" w:sz="0" w:space="0" w:color="auto"/>
          </w:divBdr>
        </w:div>
        <w:div w:id="2024701042">
          <w:marLeft w:val="0"/>
          <w:marRight w:val="0"/>
          <w:marTop w:val="0"/>
          <w:marBottom w:val="0"/>
          <w:divBdr>
            <w:top w:val="none" w:sz="0" w:space="0" w:color="auto"/>
            <w:left w:val="none" w:sz="0" w:space="0" w:color="auto"/>
            <w:bottom w:val="none" w:sz="0" w:space="0" w:color="auto"/>
            <w:right w:val="none" w:sz="0" w:space="0" w:color="auto"/>
          </w:divBdr>
        </w:div>
        <w:div w:id="2024701043">
          <w:marLeft w:val="0"/>
          <w:marRight w:val="0"/>
          <w:marTop w:val="0"/>
          <w:marBottom w:val="0"/>
          <w:divBdr>
            <w:top w:val="none" w:sz="0" w:space="0" w:color="auto"/>
            <w:left w:val="none" w:sz="0" w:space="0" w:color="auto"/>
            <w:bottom w:val="none" w:sz="0" w:space="0" w:color="auto"/>
            <w:right w:val="none" w:sz="0" w:space="0" w:color="auto"/>
          </w:divBdr>
        </w:div>
        <w:div w:id="2024701044">
          <w:marLeft w:val="0"/>
          <w:marRight w:val="0"/>
          <w:marTop w:val="0"/>
          <w:marBottom w:val="0"/>
          <w:divBdr>
            <w:top w:val="none" w:sz="0" w:space="0" w:color="auto"/>
            <w:left w:val="none" w:sz="0" w:space="0" w:color="auto"/>
            <w:bottom w:val="none" w:sz="0" w:space="0" w:color="auto"/>
            <w:right w:val="none" w:sz="0" w:space="0" w:color="auto"/>
          </w:divBdr>
        </w:div>
        <w:div w:id="2024701045">
          <w:marLeft w:val="0"/>
          <w:marRight w:val="0"/>
          <w:marTop w:val="0"/>
          <w:marBottom w:val="0"/>
          <w:divBdr>
            <w:top w:val="none" w:sz="0" w:space="0" w:color="auto"/>
            <w:left w:val="none" w:sz="0" w:space="0" w:color="auto"/>
            <w:bottom w:val="none" w:sz="0" w:space="0" w:color="auto"/>
            <w:right w:val="none" w:sz="0" w:space="0" w:color="auto"/>
          </w:divBdr>
        </w:div>
        <w:div w:id="2024701046">
          <w:marLeft w:val="0"/>
          <w:marRight w:val="0"/>
          <w:marTop w:val="0"/>
          <w:marBottom w:val="0"/>
          <w:divBdr>
            <w:top w:val="none" w:sz="0" w:space="0" w:color="auto"/>
            <w:left w:val="none" w:sz="0" w:space="0" w:color="auto"/>
            <w:bottom w:val="none" w:sz="0" w:space="0" w:color="auto"/>
            <w:right w:val="none" w:sz="0" w:space="0" w:color="auto"/>
          </w:divBdr>
        </w:div>
        <w:div w:id="2024701047">
          <w:marLeft w:val="0"/>
          <w:marRight w:val="0"/>
          <w:marTop w:val="0"/>
          <w:marBottom w:val="0"/>
          <w:divBdr>
            <w:top w:val="none" w:sz="0" w:space="0" w:color="auto"/>
            <w:left w:val="none" w:sz="0" w:space="0" w:color="auto"/>
            <w:bottom w:val="none" w:sz="0" w:space="0" w:color="auto"/>
            <w:right w:val="none" w:sz="0" w:space="0" w:color="auto"/>
          </w:divBdr>
        </w:div>
        <w:div w:id="2024701048">
          <w:marLeft w:val="0"/>
          <w:marRight w:val="0"/>
          <w:marTop w:val="0"/>
          <w:marBottom w:val="0"/>
          <w:divBdr>
            <w:top w:val="none" w:sz="0" w:space="0" w:color="auto"/>
            <w:left w:val="none" w:sz="0" w:space="0" w:color="auto"/>
            <w:bottom w:val="none" w:sz="0" w:space="0" w:color="auto"/>
            <w:right w:val="none" w:sz="0" w:space="0" w:color="auto"/>
          </w:divBdr>
        </w:div>
        <w:div w:id="2024701049">
          <w:marLeft w:val="0"/>
          <w:marRight w:val="0"/>
          <w:marTop w:val="0"/>
          <w:marBottom w:val="0"/>
          <w:divBdr>
            <w:top w:val="none" w:sz="0" w:space="0" w:color="auto"/>
            <w:left w:val="none" w:sz="0" w:space="0" w:color="auto"/>
            <w:bottom w:val="none" w:sz="0" w:space="0" w:color="auto"/>
            <w:right w:val="none" w:sz="0" w:space="0" w:color="auto"/>
          </w:divBdr>
        </w:div>
        <w:div w:id="2024701050">
          <w:marLeft w:val="0"/>
          <w:marRight w:val="0"/>
          <w:marTop w:val="0"/>
          <w:marBottom w:val="0"/>
          <w:divBdr>
            <w:top w:val="none" w:sz="0" w:space="0" w:color="auto"/>
            <w:left w:val="none" w:sz="0" w:space="0" w:color="auto"/>
            <w:bottom w:val="none" w:sz="0" w:space="0" w:color="auto"/>
            <w:right w:val="none" w:sz="0" w:space="0" w:color="auto"/>
          </w:divBdr>
        </w:div>
        <w:div w:id="2024701051">
          <w:marLeft w:val="0"/>
          <w:marRight w:val="0"/>
          <w:marTop w:val="0"/>
          <w:marBottom w:val="0"/>
          <w:divBdr>
            <w:top w:val="none" w:sz="0" w:space="0" w:color="auto"/>
            <w:left w:val="none" w:sz="0" w:space="0" w:color="auto"/>
            <w:bottom w:val="none" w:sz="0" w:space="0" w:color="auto"/>
            <w:right w:val="none" w:sz="0" w:space="0" w:color="auto"/>
          </w:divBdr>
        </w:div>
        <w:div w:id="2024701052">
          <w:marLeft w:val="0"/>
          <w:marRight w:val="0"/>
          <w:marTop w:val="0"/>
          <w:marBottom w:val="0"/>
          <w:divBdr>
            <w:top w:val="none" w:sz="0" w:space="0" w:color="auto"/>
            <w:left w:val="none" w:sz="0" w:space="0" w:color="auto"/>
            <w:bottom w:val="none" w:sz="0" w:space="0" w:color="auto"/>
            <w:right w:val="none" w:sz="0" w:space="0" w:color="auto"/>
          </w:divBdr>
        </w:div>
        <w:div w:id="2024701053">
          <w:marLeft w:val="0"/>
          <w:marRight w:val="0"/>
          <w:marTop w:val="0"/>
          <w:marBottom w:val="0"/>
          <w:divBdr>
            <w:top w:val="none" w:sz="0" w:space="0" w:color="auto"/>
            <w:left w:val="none" w:sz="0" w:space="0" w:color="auto"/>
            <w:bottom w:val="none" w:sz="0" w:space="0" w:color="auto"/>
            <w:right w:val="none" w:sz="0" w:space="0" w:color="auto"/>
          </w:divBdr>
        </w:div>
        <w:div w:id="2024701054">
          <w:marLeft w:val="0"/>
          <w:marRight w:val="0"/>
          <w:marTop w:val="0"/>
          <w:marBottom w:val="0"/>
          <w:divBdr>
            <w:top w:val="none" w:sz="0" w:space="0" w:color="auto"/>
            <w:left w:val="none" w:sz="0" w:space="0" w:color="auto"/>
            <w:bottom w:val="none" w:sz="0" w:space="0" w:color="auto"/>
            <w:right w:val="none" w:sz="0" w:space="0" w:color="auto"/>
          </w:divBdr>
        </w:div>
        <w:div w:id="2024701055">
          <w:marLeft w:val="0"/>
          <w:marRight w:val="0"/>
          <w:marTop w:val="0"/>
          <w:marBottom w:val="0"/>
          <w:divBdr>
            <w:top w:val="none" w:sz="0" w:space="0" w:color="auto"/>
            <w:left w:val="none" w:sz="0" w:space="0" w:color="auto"/>
            <w:bottom w:val="none" w:sz="0" w:space="0" w:color="auto"/>
            <w:right w:val="none" w:sz="0" w:space="0" w:color="auto"/>
          </w:divBdr>
        </w:div>
        <w:div w:id="2024701056">
          <w:marLeft w:val="0"/>
          <w:marRight w:val="0"/>
          <w:marTop w:val="0"/>
          <w:marBottom w:val="0"/>
          <w:divBdr>
            <w:top w:val="none" w:sz="0" w:space="0" w:color="auto"/>
            <w:left w:val="none" w:sz="0" w:space="0" w:color="auto"/>
            <w:bottom w:val="none" w:sz="0" w:space="0" w:color="auto"/>
            <w:right w:val="none" w:sz="0" w:space="0" w:color="auto"/>
          </w:divBdr>
        </w:div>
        <w:div w:id="2024701057">
          <w:marLeft w:val="0"/>
          <w:marRight w:val="0"/>
          <w:marTop w:val="0"/>
          <w:marBottom w:val="0"/>
          <w:divBdr>
            <w:top w:val="none" w:sz="0" w:space="0" w:color="auto"/>
            <w:left w:val="none" w:sz="0" w:space="0" w:color="auto"/>
            <w:bottom w:val="none" w:sz="0" w:space="0" w:color="auto"/>
            <w:right w:val="none" w:sz="0" w:space="0" w:color="auto"/>
          </w:divBdr>
        </w:div>
        <w:div w:id="2024701058">
          <w:marLeft w:val="0"/>
          <w:marRight w:val="0"/>
          <w:marTop w:val="0"/>
          <w:marBottom w:val="0"/>
          <w:divBdr>
            <w:top w:val="none" w:sz="0" w:space="0" w:color="auto"/>
            <w:left w:val="none" w:sz="0" w:space="0" w:color="auto"/>
            <w:bottom w:val="none" w:sz="0" w:space="0" w:color="auto"/>
            <w:right w:val="none" w:sz="0" w:space="0" w:color="auto"/>
          </w:divBdr>
        </w:div>
        <w:div w:id="2024701059">
          <w:marLeft w:val="0"/>
          <w:marRight w:val="0"/>
          <w:marTop w:val="0"/>
          <w:marBottom w:val="0"/>
          <w:divBdr>
            <w:top w:val="none" w:sz="0" w:space="0" w:color="auto"/>
            <w:left w:val="none" w:sz="0" w:space="0" w:color="auto"/>
            <w:bottom w:val="none" w:sz="0" w:space="0" w:color="auto"/>
            <w:right w:val="none" w:sz="0" w:space="0" w:color="auto"/>
          </w:divBdr>
        </w:div>
        <w:div w:id="2024701060">
          <w:marLeft w:val="0"/>
          <w:marRight w:val="0"/>
          <w:marTop w:val="0"/>
          <w:marBottom w:val="0"/>
          <w:divBdr>
            <w:top w:val="none" w:sz="0" w:space="0" w:color="auto"/>
            <w:left w:val="none" w:sz="0" w:space="0" w:color="auto"/>
            <w:bottom w:val="none" w:sz="0" w:space="0" w:color="auto"/>
            <w:right w:val="none" w:sz="0" w:space="0" w:color="auto"/>
          </w:divBdr>
        </w:div>
        <w:div w:id="2024701061">
          <w:marLeft w:val="0"/>
          <w:marRight w:val="0"/>
          <w:marTop w:val="0"/>
          <w:marBottom w:val="0"/>
          <w:divBdr>
            <w:top w:val="none" w:sz="0" w:space="0" w:color="auto"/>
            <w:left w:val="none" w:sz="0" w:space="0" w:color="auto"/>
            <w:bottom w:val="none" w:sz="0" w:space="0" w:color="auto"/>
            <w:right w:val="none" w:sz="0" w:space="0" w:color="auto"/>
          </w:divBdr>
        </w:div>
        <w:div w:id="2024701062">
          <w:marLeft w:val="0"/>
          <w:marRight w:val="0"/>
          <w:marTop w:val="0"/>
          <w:marBottom w:val="0"/>
          <w:divBdr>
            <w:top w:val="none" w:sz="0" w:space="0" w:color="auto"/>
            <w:left w:val="none" w:sz="0" w:space="0" w:color="auto"/>
            <w:bottom w:val="none" w:sz="0" w:space="0" w:color="auto"/>
            <w:right w:val="none" w:sz="0" w:space="0" w:color="auto"/>
          </w:divBdr>
        </w:div>
        <w:div w:id="2024701064">
          <w:marLeft w:val="0"/>
          <w:marRight w:val="0"/>
          <w:marTop w:val="0"/>
          <w:marBottom w:val="0"/>
          <w:divBdr>
            <w:top w:val="none" w:sz="0" w:space="0" w:color="auto"/>
            <w:left w:val="none" w:sz="0" w:space="0" w:color="auto"/>
            <w:bottom w:val="none" w:sz="0" w:space="0" w:color="auto"/>
            <w:right w:val="none" w:sz="0" w:space="0" w:color="auto"/>
          </w:divBdr>
        </w:div>
        <w:div w:id="2024701065">
          <w:marLeft w:val="0"/>
          <w:marRight w:val="0"/>
          <w:marTop w:val="0"/>
          <w:marBottom w:val="0"/>
          <w:divBdr>
            <w:top w:val="none" w:sz="0" w:space="0" w:color="auto"/>
            <w:left w:val="none" w:sz="0" w:space="0" w:color="auto"/>
            <w:bottom w:val="none" w:sz="0" w:space="0" w:color="auto"/>
            <w:right w:val="none" w:sz="0" w:space="0" w:color="auto"/>
          </w:divBdr>
        </w:div>
        <w:div w:id="2024701066">
          <w:marLeft w:val="0"/>
          <w:marRight w:val="0"/>
          <w:marTop w:val="0"/>
          <w:marBottom w:val="0"/>
          <w:divBdr>
            <w:top w:val="none" w:sz="0" w:space="0" w:color="auto"/>
            <w:left w:val="none" w:sz="0" w:space="0" w:color="auto"/>
            <w:bottom w:val="none" w:sz="0" w:space="0" w:color="auto"/>
            <w:right w:val="none" w:sz="0" w:space="0" w:color="auto"/>
          </w:divBdr>
        </w:div>
        <w:div w:id="2024701067">
          <w:marLeft w:val="0"/>
          <w:marRight w:val="0"/>
          <w:marTop w:val="0"/>
          <w:marBottom w:val="0"/>
          <w:divBdr>
            <w:top w:val="none" w:sz="0" w:space="0" w:color="auto"/>
            <w:left w:val="none" w:sz="0" w:space="0" w:color="auto"/>
            <w:bottom w:val="none" w:sz="0" w:space="0" w:color="auto"/>
            <w:right w:val="none" w:sz="0" w:space="0" w:color="auto"/>
          </w:divBdr>
        </w:div>
        <w:div w:id="2024701068">
          <w:marLeft w:val="0"/>
          <w:marRight w:val="0"/>
          <w:marTop w:val="0"/>
          <w:marBottom w:val="0"/>
          <w:divBdr>
            <w:top w:val="none" w:sz="0" w:space="0" w:color="auto"/>
            <w:left w:val="none" w:sz="0" w:space="0" w:color="auto"/>
            <w:bottom w:val="none" w:sz="0" w:space="0" w:color="auto"/>
            <w:right w:val="none" w:sz="0" w:space="0" w:color="auto"/>
          </w:divBdr>
        </w:div>
        <w:div w:id="2024701069">
          <w:marLeft w:val="0"/>
          <w:marRight w:val="0"/>
          <w:marTop w:val="0"/>
          <w:marBottom w:val="0"/>
          <w:divBdr>
            <w:top w:val="none" w:sz="0" w:space="0" w:color="auto"/>
            <w:left w:val="none" w:sz="0" w:space="0" w:color="auto"/>
            <w:bottom w:val="none" w:sz="0" w:space="0" w:color="auto"/>
            <w:right w:val="none" w:sz="0" w:space="0" w:color="auto"/>
          </w:divBdr>
        </w:div>
        <w:div w:id="2024701070">
          <w:marLeft w:val="0"/>
          <w:marRight w:val="0"/>
          <w:marTop w:val="0"/>
          <w:marBottom w:val="0"/>
          <w:divBdr>
            <w:top w:val="none" w:sz="0" w:space="0" w:color="auto"/>
            <w:left w:val="none" w:sz="0" w:space="0" w:color="auto"/>
            <w:bottom w:val="none" w:sz="0" w:space="0" w:color="auto"/>
            <w:right w:val="none" w:sz="0" w:space="0" w:color="auto"/>
          </w:divBdr>
        </w:div>
        <w:div w:id="2024701071">
          <w:marLeft w:val="0"/>
          <w:marRight w:val="0"/>
          <w:marTop w:val="0"/>
          <w:marBottom w:val="0"/>
          <w:divBdr>
            <w:top w:val="none" w:sz="0" w:space="0" w:color="auto"/>
            <w:left w:val="none" w:sz="0" w:space="0" w:color="auto"/>
            <w:bottom w:val="none" w:sz="0" w:space="0" w:color="auto"/>
            <w:right w:val="none" w:sz="0" w:space="0" w:color="auto"/>
          </w:divBdr>
        </w:div>
        <w:div w:id="2024701072">
          <w:marLeft w:val="0"/>
          <w:marRight w:val="0"/>
          <w:marTop w:val="0"/>
          <w:marBottom w:val="0"/>
          <w:divBdr>
            <w:top w:val="none" w:sz="0" w:space="0" w:color="auto"/>
            <w:left w:val="none" w:sz="0" w:space="0" w:color="auto"/>
            <w:bottom w:val="none" w:sz="0" w:space="0" w:color="auto"/>
            <w:right w:val="none" w:sz="0" w:space="0" w:color="auto"/>
          </w:divBdr>
        </w:div>
        <w:div w:id="2024701073">
          <w:marLeft w:val="0"/>
          <w:marRight w:val="0"/>
          <w:marTop w:val="0"/>
          <w:marBottom w:val="0"/>
          <w:divBdr>
            <w:top w:val="none" w:sz="0" w:space="0" w:color="auto"/>
            <w:left w:val="none" w:sz="0" w:space="0" w:color="auto"/>
            <w:bottom w:val="none" w:sz="0" w:space="0" w:color="auto"/>
            <w:right w:val="none" w:sz="0" w:space="0" w:color="auto"/>
          </w:divBdr>
        </w:div>
        <w:div w:id="2024701074">
          <w:marLeft w:val="0"/>
          <w:marRight w:val="0"/>
          <w:marTop w:val="0"/>
          <w:marBottom w:val="0"/>
          <w:divBdr>
            <w:top w:val="none" w:sz="0" w:space="0" w:color="auto"/>
            <w:left w:val="none" w:sz="0" w:space="0" w:color="auto"/>
            <w:bottom w:val="none" w:sz="0" w:space="0" w:color="auto"/>
            <w:right w:val="none" w:sz="0" w:space="0" w:color="auto"/>
          </w:divBdr>
        </w:div>
        <w:div w:id="2024701075">
          <w:marLeft w:val="0"/>
          <w:marRight w:val="0"/>
          <w:marTop w:val="0"/>
          <w:marBottom w:val="0"/>
          <w:divBdr>
            <w:top w:val="none" w:sz="0" w:space="0" w:color="auto"/>
            <w:left w:val="none" w:sz="0" w:space="0" w:color="auto"/>
            <w:bottom w:val="none" w:sz="0" w:space="0" w:color="auto"/>
            <w:right w:val="none" w:sz="0" w:space="0" w:color="auto"/>
          </w:divBdr>
        </w:div>
        <w:div w:id="2024701076">
          <w:marLeft w:val="0"/>
          <w:marRight w:val="0"/>
          <w:marTop w:val="0"/>
          <w:marBottom w:val="0"/>
          <w:divBdr>
            <w:top w:val="none" w:sz="0" w:space="0" w:color="auto"/>
            <w:left w:val="none" w:sz="0" w:space="0" w:color="auto"/>
            <w:bottom w:val="none" w:sz="0" w:space="0" w:color="auto"/>
            <w:right w:val="none" w:sz="0" w:space="0" w:color="auto"/>
          </w:divBdr>
        </w:div>
        <w:div w:id="2024701077">
          <w:marLeft w:val="0"/>
          <w:marRight w:val="0"/>
          <w:marTop w:val="0"/>
          <w:marBottom w:val="0"/>
          <w:divBdr>
            <w:top w:val="none" w:sz="0" w:space="0" w:color="auto"/>
            <w:left w:val="none" w:sz="0" w:space="0" w:color="auto"/>
            <w:bottom w:val="none" w:sz="0" w:space="0" w:color="auto"/>
            <w:right w:val="none" w:sz="0" w:space="0" w:color="auto"/>
          </w:divBdr>
        </w:div>
        <w:div w:id="2024701078">
          <w:marLeft w:val="0"/>
          <w:marRight w:val="0"/>
          <w:marTop w:val="0"/>
          <w:marBottom w:val="0"/>
          <w:divBdr>
            <w:top w:val="none" w:sz="0" w:space="0" w:color="auto"/>
            <w:left w:val="none" w:sz="0" w:space="0" w:color="auto"/>
            <w:bottom w:val="none" w:sz="0" w:space="0" w:color="auto"/>
            <w:right w:val="none" w:sz="0" w:space="0" w:color="auto"/>
          </w:divBdr>
        </w:div>
        <w:div w:id="2024701079">
          <w:marLeft w:val="0"/>
          <w:marRight w:val="0"/>
          <w:marTop w:val="0"/>
          <w:marBottom w:val="0"/>
          <w:divBdr>
            <w:top w:val="none" w:sz="0" w:space="0" w:color="auto"/>
            <w:left w:val="none" w:sz="0" w:space="0" w:color="auto"/>
            <w:bottom w:val="none" w:sz="0" w:space="0" w:color="auto"/>
            <w:right w:val="none" w:sz="0" w:space="0" w:color="auto"/>
          </w:divBdr>
        </w:div>
        <w:div w:id="2024701080">
          <w:marLeft w:val="0"/>
          <w:marRight w:val="0"/>
          <w:marTop w:val="0"/>
          <w:marBottom w:val="0"/>
          <w:divBdr>
            <w:top w:val="none" w:sz="0" w:space="0" w:color="auto"/>
            <w:left w:val="none" w:sz="0" w:space="0" w:color="auto"/>
            <w:bottom w:val="none" w:sz="0" w:space="0" w:color="auto"/>
            <w:right w:val="none" w:sz="0" w:space="0" w:color="auto"/>
          </w:divBdr>
        </w:div>
        <w:div w:id="2024701082">
          <w:marLeft w:val="0"/>
          <w:marRight w:val="0"/>
          <w:marTop w:val="0"/>
          <w:marBottom w:val="0"/>
          <w:divBdr>
            <w:top w:val="none" w:sz="0" w:space="0" w:color="auto"/>
            <w:left w:val="none" w:sz="0" w:space="0" w:color="auto"/>
            <w:bottom w:val="none" w:sz="0" w:space="0" w:color="auto"/>
            <w:right w:val="none" w:sz="0" w:space="0" w:color="auto"/>
          </w:divBdr>
        </w:div>
        <w:div w:id="2024701083">
          <w:marLeft w:val="0"/>
          <w:marRight w:val="0"/>
          <w:marTop w:val="0"/>
          <w:marBottom w:val="0"/>
          <w:divBdr>
            <w:top w:val="none" w:sz="0" w:space="0" w:color="auto"/>
            <w:left w:val="none" w:sz="0" w:space="0" w:color="auto"/>
            <w:bottom w:val="none" w:sz="0" w:space="0" w:color="auto"/>
            <w:right w:val="none" w:sz="0" w:space="0" w:color="auto"/>
          </w:divBdr>
        </w:div>
        <w:div w:id="2024701084">
          <w:marLeft w:val="0"/>
          <w:marRight w:val="0"/>
          <w:marTop w:val="0"/>
          <w:marBottom w:val="0"/>
          <w:divBdr>
            <w:top w:val="none" w:sz="0" w:space="0" w:color="auto"/>
            <w:left w:val="none" w:sz="0" w:space="0" w:color="auto"/>
            <w:bottom w:val="none" w:sz="0" w:space="0" w:color="auto"/>
            <w:right w:val="none" w:sz="0" w:space="0" w:color="auto"/>
          </w:divBdr>
        </w:div>
        <w:div w:id="2024701085">
          <w:marLeft w:val="0"/>
          <w:marRight w:val="0"/>
          <w:marTop w:val="0"/>
          <w:marBottom w:val="0"/>
          <w:divBdr>
            <w:top w:val="none" w:sz="0" w:space="0" w:color="auto"/>
            <w:left w:val="none" w:sz="0" w:space="0" w:color="auto"/>
            <w:bottom w:val="none" w:sz="0" w:space="0" w:color="auto"/>
            <w:right w:val="none" w:sz="0" w:space="0" w:color="auto"/>
          </w:divBdr>
        </w:div>
        <w:div w:id="2024701086">
          <w:marLeft w:val="0"/>
          <w:marRight w:val="0"/>
          <w:marTop w:val="0"/>
          <w:marBottom w:val="0"/>
          <w:divBdr>
            <w:top w:val="none" w:sz="0" w:space="0" w:color="auto"/>
            <w:left w:val="none" w:sz="0" w:space="0" w:color="auto"/>
            <w:bottom w:val="none" w:sz="0" w:space="0" w:color="auto"/>
            <w:right w:val="none" w:sz="0" w:space="0" w:color="auto"/>
          </w:divBdr>
        </w:div>
        <w:div w:id="2024701087">
          <w:marLeft w:val="0"/>
          <w:marRight w:val="0"/>
          <w:marTop w:val="0"/>
          <w:marBottom w:val="0"/>
          <w:divBdr>
            <w:top w:val="none" w:sz="0" w:space="0" w:color="auto"/>
            <w:left w:val="none" w:sz="0" w:space="0" w:color="auto"/>
            <w:bottom w:val="none" w:sz="0" w:space="0" w:color="auto"/>
            <w:right w:val="none" w:sz="0" w:space="0" w:color="auto"/>
          </w:divBdr>
        </w:div>
        <w:div w:id="2024701088">
          <w:marLeft w:val="0"/>
          <w:marRight w:val="0"/>
          <w:marTop w:val="0"/>
          <w:marBottom w:val="0"/>
          <w:divBdr>
            <w:top w:val="none" w:sz="0" w:space="0" w:color="auto"/>
            <w:left w:val="none" w:sz="0" w:space="0" w:color="auto"/>
            <w:bottom w:val="none" w:sz="0" w:space="0" w:color="auto"/>
            <w:right w:val="none" w:sz="0" w:space="0" w:color="auto"/>
          </w:divBdr>
        </w:div>
        <w:div w:id="2024701089">
          <w:marLeft w:val="0"/>
          <w:marRight w:val="0"/>
          <w:marTop w:val="0"/>
          <w:marBottom w:val="0"/>
          <w:divBdr>
            <w:top w:val="none" w:sz="0" w:space="0" w:color="auto"/>
            <w:left w:val="none" w:sz="0" w:space="0" w:color="auto"/>
            <w:bottom w:val="none" w:sz="0" w:space="0" w:color="auto"/>
            <w:right w:val="none" w:sz="0" w:space="0" w:color="auto"/>
          </w:divBdr>
        </w:div>
        <w:div w:id="2024701090">
          <w:marLeft w:val="0"/>
          <w:marRight w:val="0"/>
          <w:marTop w:val="0"/>
          <w:marBottom w:val="0"/>
          <w:divBdr>
            <w:top w:val="none" w:sz="0" w:space="0" w:color="auto"/>
            <w:left w:val="none" w:sz="0" w:space="0" w:color="auto"/>
            <w:bottom w:val="none" w:sz="0" w:space="0" w:color="auto"/>
            <w:right w:val="none" w:sz="0" w:space="0" w:color="auto"/>
          </w:divBdr>
        </w:div>
        <w:div w:id="2024701091">
          <w:marLeft w:val="0"/>
          <w:marRight w:val="0"/>
          <w:marTop w:val="0"/>
          <w:marBottom w:val="0"/>
          <w:divBdr>
            <w:top w:val="none" w:sz="0" w:space="0" w:color="auto"/>
            <w:left w:val="none" w:sz="0" w:space="0" w:color="auto"/>
            <w:bottom w:val="none" w:sz="0" w:space="0" w:color="auto"/>
            <w:right w:val="none" w:sz="0" w:space="0" w:color="auto"/>
          </w:divBdr>
        </w:div>
        <w:div w:id="2024701092">
          <w:marLeft w:val="0"/>
          <w:marRight w:val="0"/>
          <w:marTop w:val="0"/>
          <w:marBottom w:val="0"/>
          <w:divBdr>
            <w:top w:val="none" w:sz="0" w:space="0" w:color="auto"/>
            <w:left w:val="none" w:sz="0" w:space="0" w:color="auto"/>
            <w:bottom w:val="none" w:sz="0" w:space="0" w:color="auto"/>
            <w:right w:val="none" w:sz="0" w:space="0" w:color="auto"/>
          </w:divBdr>
        </w:div>
        <w:div w:id="2024701093">
          <w:marLeft w:val="0"/>
          <w:marRight w:val="0"/>
          <w:marTop w:val="0"/>
          <w:marBottom w:val="0"/>
          <w:divBdr>
            <w:top w:val="none" w:sz="0" w:space="0" w:color="auto"/>
            <w:left w:val="none" w:sz="0" w:space="0" w:color="auto"/>
            <w:bottom w:val="none" w:sz="0" w:space="0" w:color="auto"/>
            <w:right w:val="none" w:sz="0" w:space="0" w:color="auto"/>
          </w:divBdr>
        </w:div>
        <w:div w:id="2024701094">
          <w:marLeft w:val="0"/>
          <w:marRight w:val="0"/>
          <w:marTop w:val="0"/>
          <w:marBottom w:val="0"/>
          <w:divBdr>
            <w:top w:val="none" w:sz="0" w:space="0" w:color="auto"/>
            <w:left w:val="none" w:sz="0" w:space="0" w:color="auto"/>
            <w:bottom w:val="none" w:sz="0" w:space="0" w:color="auto"/>
            <w:right w:val="none" w:sz="0" w:space="0" w:color="auto"/>
          </w:divBdr>
        </w:div>
        <w:div w:id="2024701095">
          <w:marLeft w:val="0"/>
          <w:marRight w:val="0"/>
          <w:marTop w:val="0"/>
          <w:marBottom w:val="0"/>
          <w:divBdr>
            <w:top w:val="none" w:sz="0" w:space="0" w:color="auto"/>
            <w:left w:val="none" w:sz="0" w:space="0" w:color="auto"/>
            <w:bottom w:val="none" w:sz="0" w:space="0" w:color="auto"/>
            <w:right w:val="none" w:sz="0" w:space="0" w:color="auto"/>
          </w:divBdr>
        </w:div>
        <w:div w:id="2024701096">
          <w:marLeft w:val="0"/>
          <w:marRight w:val="0"/>
          <w:marTop w:val="0"/>
          <w:marBottom w:val="0"/>
          <w:divBdr>
            <w:top w:val="none" w:sz="0" w:space="0" w:color="auto"/>
            <w:left w:val="none" w:sz="0" w:space="0" w:color="auto"/>
            <w:bottom w:val="none" w:sz="0" w:space="0" w:color="auto"/>
            <w:right w:val="none" w:sz="0" w:space="0" w:color="auto"/>
          </w:divBdr>
        </w:div>
        <w:div w:id="2024701097">
          <w:marLeft w:val="0"/>
          <w:marRight w:val="0"/>
          <w:marTop w:val="0"/>
          <w:marBottom w:val="0"/>
          <w:divBdr>
            <w:top w:val="none" w:sz="0" w:space="0" w:color="auto"/>
            <w:left w:val="none" w:sz="0" w:space="0" w:color="auto"/>
            <w:bottom w:val="none" w:sz="0" w:space="0" w:color="auto"/>
            <w:right w:val="none" w:sz="0" w:space="0" w:color="auto"/>
          </w:divBdr>
        </w:div>
        <w:div w:id="2024701098">
          <w:marLeft w:val="0"/>
          <w:marRight w:val="0"/>
          <w:marTop w:val="0"/>
          <w:marBottom w:val="0"/>
          <w:divBdr>
            <w:top w:val="none" w:sz="0" w:space="0" w:color="auto"/>
            <w:left w:val="none" w:sz="0" w:space="0" w:color="auto"/>
            <w:bottom w:val="none" w:sz="0" w:space="0" w:color="auto"/>
            <w:right w:val="none" w:sz="0" w:space="0" w:color="auto"/>
          </w:divBdr>
        </w:div>
        <w:div w:id="2024701099">
          <w:marLeft w:val="0"/>
          <w:marRight w:val="0"/>
          <w:marTop w:val="0"/>
          <w:marBottom w:val="0"/>
          <w:divBdr>
            <w:top w:val="none" w:sz="0" w:space="0" w:color="auto"/>
            <w:left w:val="none" w:sz="0" w:space="0" w:color="auto"/>
            <w:bottom w:val="none" w:sz="0" w:space="0" w:color="auto"/>
            <w:right w:val="none" w:sz="0" w:space="0" w:color="auto"/>
          </w:divBdr>
        </w:div>
        <w:div w:id="2024701100">
          <w:marLeft w:val="0"/>
          <w:marRight w:val="0"/>
          <w:marTop w:val="0"/>
          <w:marBottom w:val="0"/>
          <w:divBdr>
            <w:top w:val="none" w:sz="0" w:space="0" w:color="auto"/>
            <w:left w:val="none" w:sz="0" w:space="0" w:color="auto"/>
            <w:bottom w:val="none" w:sz="0" w:space="0" w:color="auto"/>
            <w:right w:val="none" w:sz="0" w:space="0" w:color="auto"/>
          </w:divBdr>
        </w:div>
        <w:div w:id="2024701101">
          <w:marLeft w:val="0"/>
          <w:marRight w:val="0"/>
          <w:marTop w:val="0"/>
          <w:marBottom w:val="0"/>
          <w:divBdr>
            <w:top w:val="none" w:sz="0" w:space="0" w:color="auto"/>
            <w:left w:val="none" w:sz="0" w:space="0" w:color="auto"/>
            <w:bottom w:val="none" w:sz="0" w:space="0" w:color="auto"/>
            <w:right w:val="none" w:sz="0" w:space="0" w:color="auto"/>
          </w:divBdr>
        </w:div>
        <w:div w:id="2024701102">
          <w:marLeft w:val="0"/>
          <w:marRight w:val="0"/>
          <w:marTop w:val="0"/>
          <w:marBottom w:val="0"/>
          <w:divBdr>
            <w:top w:val="none" w:sz="0" w:space="0" w:color="auto"/>
            <w:left w:val="none" w:sz="0" w:space="0" w:color="auto"/>
            <w:bottom w:val="none" w:sz="0" w:space="0" w:color="auto"/>
            <w:right w:val="none" w:sz="0" w:space="0" w:color="auto"/>
          </w:divBdr>
        </w:div>
        <w:div w:id="2024701103">
          <w:marLeft w:val="0"/>
          <w:marRight w:val="0"/>
          <w:marTop w:val="0"/>
          <w:marBottom w:val="0"/>
          <w:divBdr>
            <w:top w:val="none" w:sz="0" w:space="0" w:color="auto"/>
            <w:left w:val="none" w:sz="0" w:space="0" w:color="auto"/>
            <w:bottom w:val="none" w:sz="0" w:space="0" w:color="auto"/>
            <w:right w:val="none" w:sz="0" w:space="0" w:color="auto"/>
          </w:divBdr>
        </w:div>
        <w:div w:id="2024701104">
          <w:marLeft w:val="0"/>
          <w:marRight w:val="0"/>
          <w:marTop w:val="0"/>
          <w:marBottom w:val="0"/>
          <w:divBdr>
            <w:top w:val="none" w:sz="0" w:space="0" w:color="auto"/>
            <w:left w:val="none" w:sz="0" w:space="0" w:color="auto"/>
            <w:bottom w:val="none" w:sz="0" w:space="0" w:color="auto"/>
            <w:right w:val="none" w:sz="0" w:space="0" w:color="auto"/>
          </w:divBdr>
        </w:div>
        <w:div w:id="2024701105">
          <w:marLeft w:val="0"/>
          <w:marRight w:val="0"/>
          <w:marTop w:val="0"/>
          <w:marBottom w:val="0"/>
          <w:divBdr>
            <w:top w:val="none" w:sz="0" w:space="0" w:color="auto"/>
            <w:left w:val="none" w:sz="0" w:space="0" w:color="auto"/>
            <w:bottom w:val="none" w:sz="0" w:space="0" w:color="auto"/>
            <w:right w:val="none" w:sz="0" w:space="0" w:color="auto"/>
          </w:divBdr>
        </w:div>
        <w:div w:id="2024701106">
          <w:marLeft w:val="0"/>
          <w:marRight w:val="0"/>
          <w:marTop w:val="0"/>
          <w:marBottom w:val="0"/>
          <w:divBdr>
            <w:top w:val="none" w:sz="0" w:space="0" w:color="auto"/>
            <w:left w:val="none" w:sz="0" w:space="0" w:color="auto"/>
            <w:bottom w:val="none" w:sz="0" w:space="0" w:color="auto"/>
            <w:right w:val="none" w:sz="0" w:space="0" w:color="auto"/>
          </w:divBdr>
        </w:div>
        <w:div w:id="2024701107">
          <w:marLeft w:val="0"/>
          <w:marRight w:val="0"/>
          <w:marTop w:val="0"/>
          <w:marBottom w:val="0"/>
          <w:divBdr>
            <w:top w:val="none" w:sz="0" w:space="0" w:color="auto"/>
            <w:left w:val="none" w:sz="0" w:space="0" w:color="auto"/>
            <w:bottom w:val="none" w:sz="0" w:space="0" w:color="auto"/>
            <w:right w:val="none" w:sz="0" w:space="0" w:color="auto"/>
          </w:divBdr>
        </w:div>
        <w:div w:id="2024701108">
          <w:marLeft w:val="0"/>
          <w:marRight w:val="0"/>
          <w:marTop w:val="0"/>
          <w:marBottom w:val="0"/>
          <w:divBdr>
            <w:top w:val="none" w:sz="0" w:space="0" w:color="auto"/>
            <w:left w:val="none" w:sz="0" w:space="0" w:color="auto"/>
            <w:bottom w:val="none" w:sz="0" w:space="0" w:color="auto"/>
            <w:right w:val="none" w:sz="0" w:space="0" w:color="auto"/>
          </w:divBdr>
        </w:div>
        <w:div w:id="2024701109">
          <w:marLeft w:val="0"/>
          <w:marRight w:val="0"/>
          <w:marTop w:val="0"/>
          <w:marBottom w:val="0"/>
          <w:divBdr>
            <w:top w:val="none" w:sz="0" w:space="0" w:color="auto"/>
            <w:left w:val="none" w:sz="0" w:space="0" w:color="auto"/>
            <w:bottom w:val="none" w:sz="0" w:space="0" w:color="auto"/>
            <w:right w:val="none" w:sz="0" w:space="0" w:color="auto"/>
          </w:divBdr>
        </w:div>
        <w:div w:id="2024701110">
          <w:marLeft w:val="0"/>
          <w:marRight w:val="0"/>
          <w:marTop w:val="0"/>
          <w:marBottom w:val="0"/>
          <w:divBdr>
            <w:top w:val="none" w:sz="0" w:space="0" w:color="auto"/>
            <w:left w:val="none" w:sz="0" w:space="0" w:color="auto"/>
            <w:bottom w:val="none" w:sz="0" w:space="0" w:color="auto"/>
            <w:right w:val="none" w:sz="0" w:space="0" w:color="auto"/>
          </w:divBdr>
        </w:div>
        <w:div w:id="2024701111">
          <w:marLeft w:val="0"/>
          <w:marRight w:val="0"/>
          <w:marTop w:val="0"/>
          <w:marBottom w:val="0"/>
          <w:divBdr>
            <w:top w:val="none" w:sz="0" w:space="0" w:color="auto"/>
            <w:left w:val="none" w:sz="0" w:space="0" w:color="auto"/>
            <w:bottom w:val="none" w:sz="0" w:space="0" w:color="auto"/>
            <w:right w:val="none" w:sz="0" w:space="0" w:color="auto"/>
          </w:divBdr>
        </w:div>
        <w:div w:id="2024701112">
          <w:marLeft w:val="0"/>
          <w:marRight w:val="0"/>
          <w:marTop w:val="0"/>
          <w:marBottom w:val="0"/>
          <w:divBdr>
            <w:top w:val="none" w:sz="0" w:space="0" w:color="auto"/>
            <w:left w:val="none" w:sz="0" w:space="0" w:color="auto"/>
            <w:bottom w:val="none" w:sz="0" w:space="0" w:color="auto"/>
            <w:right w:val="none" w:sz="0" w:space="0" w:color="auto"/>
          </w:divBdr>
        </w:div>
        <w:div w:id="2024701113">
          <w:marLeft w:val="0"/>
          <w:marRight w:val="0"/>
          <w:marTop w:val="0"/>
          <w:marBottom w:val="0"/>
          <w:divBdr>
            <w:top w:val="none" w:sz="0" w:space="0" w:color="auto"/>
            <w:left w:val="none" w:sz="0" w:space="0" w:color="auto"/>
            <w:bottom w:val="none" w:sz="0" w:space="0" w:color="auto"/>
            <w:right w:val="none" w:sz="0" w:space="0" w:color="auto"/>
          </w:divBdr>
        </w:div>
        <w:div w:id="2024701114">
          <w:marLeft w:val="0"/>
          <w:marRight w:val="0"/>
          <w:marTop w:val="0"/>
          <w:marBottom w:val="0"/>
          <w:divBdr>
            <w:top w:val="none" w:sz="0" w:space="0" w:color="auto"/>
            <w:left w:val="none" w:sz="0" w:space="0" w:color="auto"/>
            <w:bottom w:val="none" w:sz="0" w:space="0" w:color="auto"/>
            <w:right w:val="none" w:sz="0" w:space="0" w:color="auto"/>
          </w:divBdr>
        </w:div>
        <w:div w:id="2024701115">
          <w:marLeft w:val="0"/>
          <w:marRight w:val="0"/>
          <w:marTop w:val="0"/>
          <w:marBottom w:val="0"/>
          <w:divBdr>
            <w:top w:val="none" w:sz="0" w:space="0" w:color="auto"/>
            <w:left w:val="none" w:sz="0" w:space="0" w:color="auto"/>
            <w:bottom w:val="none" w:sz="0" w:space="0" w:color="auto"/>
            <w:right w:val="none" w:sz="0" w:space="0" w:color="auto"/>
          </w:divBdr>
        </w:div>
        <w:div w:id="2024701116">
          <w:marLeft w:val="0"/>
          <w:marRight w:val="0"/>
          <w:marTop w:val="0"/>
          <w:marBottom w:val="0"/>
          <w:divBdr>
            <w:top w:val="none" w:sz="0" w:space="0" w:color="auto"/>
            <w:left w:val="none" w:sz="0" w:space="0" w:color="auto"/>
            <w:bottom w:val="none" w:sz="0" w:space="0" w:color="auto"/>
            <w:right w:val="none" w:sz="0" w:space="0" w:color="auto"/>
          </w:divBdr>
        </w:div>
        <w:div w:id="2024701117">
          <w:marLeft w:val="0"/>
          <w:marRight w:val="0"/>
          <w:marTop w:val="0"/>
          <w:marBottom w:val="0"/>
          <w:divBdr>
            <w:top w:val="none" w:sz="0" w:space="0" w:color="auto"/>
            <w:left w:val="none" w:sz="0" w:space="0" w:color="auto"/>
            <w:bottom w:val="none" w:sz="0" w:space="0" w:color="auto"/>
            <w:right w:val="none" w:sz="0" w:space="0" w:color="auto"/>
          </w:divBdr>
        </w:div>
        <w:div w:id="2024701118">
          <w:marLeft w:val="0"/>
          <w:marRight w:val="0"/>
          <w:marTop w:val="0"/>
          <w:marBottom w:val="0"/>
          <w:divBdr>
            <w:top w:val="none" w:sz="0" w:space="0" w:color="auto"/>
            <w:left w:val="none" w:sz="0" w:space="0" w:color="auto"/>
            <w:bottom w:val="none" w:sz="0" w:space="0" w:color="auto"/>
            <w:right w:val="none" w:sz="0" w:space="0" w:color="auto"/>
          </w:divBdr>
        </w:div>
        <w:div w:id="2024701119">
          <w:marLeft w:val="0"/>
          <w:marRight w:val="0"/>
          <w:marTop w:val="0"/>
          <w:marBottom w:val="0"/>
          <w:divBdr>
            <w:top w:val="none" w:sz="0" w:space="0" w:color="auto"/>
            <w:left w:val="none" w:sz="0" w:space="0" w:color="auto"/>
            <w:bottom w:val="none" w:sz="0" w:space="0" w:color="auto"/>
            <w:right w:val="none" w:sz="0" w:space="0" w:color="auto"/>
          </w:divBdr>
        </w:div>
        <w:div w:id="2024701120">
          <w:marLeft w:val="0"/>
          <w:marRight w:val="0"/>
          <w:marTop w:val="0"/>
          <w:marBottom w:val="0"/>
          <w:divBdr>
            <w:top w:val="none" w:sz="0" w:space="0" w:color="auto"/>
            <w:left w:val="none" w:sz="0" w:space="0" w:color="auto"/>
            <w:bottom w:val="none" w:sz="0" w:space="0" w:color="auto"/>
            <w:right w:val="none" w:sz="0" w:space="0" w:color="auto"/>
          </w:divBdr>
        </w:div>
        <w:div w:id="2024701121">
          <w:marLeft w:val="0"/>
          <w:marRight w:val="0"/>
          <w:marTop w:val="0"/>
          <w:marBottom w:val="0"/>
          <w:divBdr>
            <w:top w:val="none" w:sz="0" w:space="0" w:color="auto"/>
            <w:left w:val="none" w:sz="0" w:space="0" w:color="auto"/>
            <w:bottom w:val="none" w:sz="0" w:space="0" w:color="auto"/>
            <w:right w:val="none" w:sz="0" w:space="0" w:color="auto"/>
          </w:divBdr>
        </w:div>
        <w:div w:id="2024701122">
          <w:marLeft w:val="0"/>
          <w:marRight w:val="0"/>
          <w:marTop w:val="0"/>
          <w:marBottom w:val="0"/>
          <w:divBdr>
            <w:top w:val="none" w:sz="0" w:space="0" w:color="auto"/>
            <w:left w:val="none" w:sz="0" w:space="0" w:color="auto"/>
            <w:bottom w:val="none" w:sz="0" w:space="0" w:color="auto"/>
            <w:right w:val="none" w:sz="0" w:space="0" w:color="auto"/>
          </w:divBdr>
        </w:div>
        <w:div w:id="2024701123">
          <w:marLeft w:val="0"/>
          <w:marRight w:val="0"/>
          <w:marTop w:val="0"/>
          <w:marBottom w:val="0"/>
          <w:divBdr>
            <w:top w:val="none" w:sz="0" w:space="0" w:color="auto"/>
            <w:left w:val="none" w:sz="0" w:space="0" w:color="auto"/>
            <w:bottom w:val="none" w:sz="0" w:space="0" w:color="auto"/>
            <w:right w:val="none" w:sz="0" w:space="0" w:color="auto"/>
          </w:divBdr>
        </w:div>
        <w:div w:id="2024701125">
          <w:marLeft w:val="0"/>
          <w:marRight w:val="0"/>
          <w:marTop w:val="0"/>
          <w:marBottom w:val="0"/>
          <w:divBdr>
            <w:top w:val="none" w:sz="0" w:space="0" w:color="auto"/>
            <w:left w:val="none" w:sz="0" w:space="0" w:color="auto"/>
            <w:bottom w:val="none" w:sz="0" w:space="0" w:color="auto"/>
            <w:right w:val="none" w:sz="0" w:space="0" w:color="auto"/>
          </w:divBdr>
        </w:div>
        <w:div w:id="2024701126">
          <w:marLeft w:val="0"/>
          <w:marRight w:val="0"/>
          <w:marTop w:val="0"/>
          <w:marBottom w:val="0"/>
          <w:divBdr>
            <w:top w:val="none" w:sz="0" w:space="0" w:color="auto"/>
            <w:left w:val="none" w:sz="0" w:space="0" w:color="auto"/>
            <w:bottom w:val="none" w:sz="0" w:space="0" w:color="auto"/>
            <w:right w:val="none" w:sz="0" w:space="0" w:color="auto"/>
          </w:divBdr>
        </w:div>
        <w:div w:id="2024701127">
          <w:marLeft w:val="0"/>
          <w:marRight w:val="0"/>
          <w:marTop w:val="0"/>
          <w:marBottom w:val="0"/>
          <w:divBdr>
            <w:top w:val="none" w:sz="0" w:space="0" w:color="auto"/>
            <w:left w:val="none" w:sz="0" w:space="0" w:color="auto"/>
            <w:bottom w:val="none" w:sz="0" w:space="0" w:color="auto"/>
            <w:right w:val="none" w:sz="0" w:space="0" w:color="auto"/>
          </w:divBdr>
        </w:div>
        <w:div w:id="2024701129">
          <w:marLeft w:val="0"/>
          <w:marRight w:val="0"/>
          <w:marTop w:val="0"/>
          <w:marBottom w:val="0"/>
          <w:divBdr>
            <w:top w:val="none" w:sz="0" w:space="0" w:color="auto"/>
            <w:left w:val="none" w:sz="0" w:space="0" w:color="auto"/>
            <w:bottom w:val="none" w:sz="0" w:space="0" w:color="auto"/>
            <w:right w:val="none" w:sz="0" w:space="0" w:color="auto"/>
          </w:divBdr>
        </w:div>
        <w:div w:id="2024701130">
          <w:marLeft w:val="0"/>
          <w:marRight w:val="0"/>
          <w:marTop w:val="0"/>
          <w:marBottom w:val="0"/>
          <w:divBdr>
            <w:top w:val="none" w:sz="0" w:space="0" w:color="auto"/>
            <w:left w:val="none" w:sz="0" w:space="0" w:color="auto"/>
            <w:bottom w:val="none" w:sz="0" w:space="0" w:color="auto"/>
            <w:right w:val="none" w:sz="0" w:space="0" w:color="auto"/>
          </w:divBdr>
        </w:div>
        <w:div w:id="2024701131">
          <w:marLeft w:val="0"/>
          <w:marRight w:val="0"/>
          <w:marTop w:val="0"/>
          <w:marBottom w:val="0"/>
          <w:divBdr>
            <w:top w:val="none" w:sz="0" w:space="0" w:color="auto"/>
            <w:left w:val="none" w:sz="0" w:space="0" w:color="auto"/>
            <w:bottom w:val="none" w:sz="0" w:space="0" w:color="auto"/>
            <w:right w:val="none" w:sz="0" w:space="0" w:color="auto"/>
          </w:divBdr>
        </w:div>
        <w:div w:id="2024701132">
          <w:marLeft w:val="0"/>
          <w:marRight w:val="0"/>
          <w:marTop w:val="0"/>
          <w:marBottom w:val="0"/>
          <w:divBdr>
            <w:top w:val="none" w:sz="0" w:space="0" w:color="auto"/>
            <w:left w:val="none" w:sz="0" w:space="0" w:color="auto"/>
            <w:bottom w:val="none" w:sz="0" w:space="0" w:color="auto"/>
            <w:right w:val="none" w:sz="0" w:space="0" w:color="auto"/>
          </w:divBdr>
        </w:div>
        <w:div w:id="2024701133">
          <w:marLeft w:val="0"/>
          <w:marRight w:val="0"/>
          <w:marTop w:val="0"/>
          <w:marBottom w:val="0"/>
          <w:divBdr>
            <w:top w:val="none" w:sz="0" w:space="0" w:color="auto"/>
            <w:left w:val="none" w:sz="0" w:space="0" w:color="auto"/>
            <w:bottom w:val="none" w:sz="0" w:space="0" w:color="auto"/>
            <w:right w:val="none" w:sz="0" w:space="0" w:color="auto"/>
          </w:divBdr>
        </w:div>
        <w:div w:id="2024701134">
          <w:marLeft w:val="0"/>
          <w:marRight w:val="0"/>
          <w:marTop w:val="0"/>
          <w:marBottom w:val="0"/>
          <w:divBdr>
            <w:top w:val="none" w:sz="0" w:space="0" w:color="auto"/>
            <w:left w:val="none" w:sz="0" w:space="0" w:color="auto"/>
            <w:bottom w:val="none" w:sz="0" w:space="0" w:color="auto"/>
            <w:right w:val="none" w:sz="0" w:space="0" w:color="auto"/>
          </w:divBdr>
        </w:div>
        <w:div w:id="2024701135">
          <w:marLeft w:val="0"/>
          <w:marRight w:val="0"/>
          <w:marTop w:val="0"/>
          <w:marBottom w:val="0"/>
          <w:divBdr>
            <w:top w:val="none" w:sz="0" w:space="0" w:color="auto"/>
            <w:left w:val="none" w:sz="0" w:space="0" w:color="auto"/>
            <w:bottom w:val="none" w:sz="0" w:space="0" w:color="auto"/>
            <w:right w:val="none" w:sz="0" w:space="0" w:color="auto"/>
          </w:divBdr>
        </w:div>
        <w:div w:id="2024701136">
          <w:marLeft w:val="0"/>
          <w:marRight w:val="0"/>
          <w:marTop w:val="0"/>
          <w:marBottom w:val="0"/>
          <w:divBdr>
            <w:top w:val="none" w:sz="0" w:space="0" w:color="auto"/>
            <w:left w:val="none" w:sz="0" w:space="0" w:color="auto"/>
            <w:bottom w:val="none" w:sz="0" w:space="0" w:color="auto"/>
            <w:right w:val="none" w:sz="0" w:space="0" w:color="auto"/>
          </w:divBdr>
        </w:div>
        <w:div w:id="2024701137">
          <w:marLeft w:val="0"/>
          <w:marRight w:val="0"/>
          <w:marTop w:val="0"/>
          <w:marBottom w:val="0"/>
          <w:divBdr>
            <w:top w:val="none" w:sz="0" w:space="0" w:color="auto"/>
            <w:left w:val="none" w:sz="0" w:space="0" w:color="auto"/>
            <w:bottom w:val="none" w:sz="0" w:space="0" w:color="auto"/>
            <w:right w:val="none" w:sz="0" w:space="0" w:color="auto"/>
          </w:divBdr>
        </w:div>
        <w:div w:id="2024701138">
          <w:marLeft w:val="0"/>
          <w:marRight w:val="0"/>
          <w:marTop w:val="0"/>
          <w:marBottom w:val="0"/>
          <w:divBdr>
            <w:top w:val="none" w:sz="0" w:space="0" w:color="auto"/>
            <w:left w:val="none" w:sz="0" w:space="0" w:color="auto"/>
            <w:bottom w:val="none" w:sz="0" w:space="0" w:color="auto"/>
            <w:right w:val="none" w:sz="0" w:space="0" w:color="auto"/>
          </w:divBdr>
        </w:div>
        <w:div w:id="2024701139">
          <w:marLeft w:val="0"/>
          <w:marRight w:val="0"/>
          <w:marTop w:val="0"/>
          <w:marBottom w:val="0"/>
          <w:divBdr>
            <w:top w:val="none" w:sz="0" w:space="0" w:color="auto"/>
            <w:left w:val="none" w:sz="0" w:space="0" w:color="auto"/>
            <w:bottom w:val="none" w:sz="0" w:space="0" w:color="auto"/>
            <w:right w:val="none" w:sz="0" w:space="0" w:color="auto"/>
          </w:divBdr>
        </w:div>
        <w:div w:id="2024701140">
          <w:marLeft w:val="0"/>
          <w:marRight w:val="0"/>
          <w:marTop w:val="0"/>
          <w:marBottom w:val="0"/>
          <w:divBdr>
            <w:top w:val="none" w:sz="0" w:space="0" w:color="auto"/>
            <w:left w:val="none" w:sz="0" w:space="0" w:color="auto"/>
            <w:bottom w:val="none" w:sz="0" w:space="0" w:color="auto"/>
            <w:right w:val="none" w:sz="0" w:space="0" w:color="auto"/>
          </w:divBdr>
        </w:div>
        <w:div w:id="2024701141">
          <w:marLeft w:val="0"/>
          <w:marRight w:val="0"/>
          <w:marTop w:val="0"/>
          <w:marBottom w:val="0"/>
          <w:divBdr>
            <w:top w:val="none" w:sz="0" w:space="0" w:color="auto"/>
            <w:left w:val="none" w:sz="0" w:space="0" w:color="auto"/>
            <w:bottom w:val="none" w:sz="0" w:space="0" w:color="auto"/>
            <w:right w:val="none" w:sz="0" w:space="0" w:color="auto"/>
          </w:divBdr>
        </w:div>
        <w:div w:id="2024701142">
          <w:marLeft w:val="0"/>
          <w:marRight w:val="0"/>
          <w:marTop w:val="0"/>
          <w:marBottom w:val="0"/>
          <w:divBdr>
            <w:top w:val="none" w:sz="0" w:space="0" w:color="auto"/>
            <w:left w:val="none" w:sz="0" w:space="0" w:color="auto"/>
            <w:bottom w:val="none" w:sz="0" w:space="0" w:color="auto"/>
            <w:right w:val="none" w:sz="0" w:space="0" w:color="auto"/>
          </w:divBdr>
        </w:div>
        <w:div w:id="2024701143">
          <w:marLeft w:val="0"/>
          <w:marRight w:val="0"/>
          <w:marTop w:val="0"/>
          <w:marBottom w:val="0"/>
          <w:divBdr>
            <w:top w:val="none" w:sz="0" w:space="0" w:color="auto"/>
            <w:left w:val="none" w:sz="0" w:space="0" w:color="auto"/>
            <w:bottom w:val="none" w:sz="0" w:space="0" w:color="auto"/>
            <w:right w:val="none" w:sz="0" w:space="0" w:color="auto"/>
          </w:divBdr>
        </w:div>
        <w:div w:id="2024701144">
          <w:marLeft w:val="0"/>
          <w:marRight w:val="0"/>
          <w:marTop w:val="0"/>
          <w:marBottom w:val="0"/>
          <w:divBdr>
            <w:top w:val="none" w:sz="0" w:space="0" w:color="auto"/>
            <w:left w:val="none" w:sz="0" w:space="0" w:color="auto"/>
            <w:bottom w:val="none" w:sz="0" w:space="0" w:color="auto"/>
            <w:right w:val="none" w:sz="0" w:space="0" w:color="auto"/>
          </w:divBdr>
        </w:div>
        <w:div w:id="2024701145">
          <w:marLeft w:val="0"/>
          <w:marRight w:val="0"/>
          <w:marTop w:val="0"/>
          <w:marBottom w:val="0"/>
          <w:divBdr>
            <w:top w:val="none" w:sz="0" w:space="0" w:color="auto"/>
            <w:left w:val="none" w:sz="0" w:space="0" w:color="auto"/>
            <w:bottom w:val="none" w:sz="0" w:space="0" w:color="auto"/>
            <w:right w:val="none" w:sz="0" w:space="0" w:color="auto"/>
          </w:divBdr>
        </w:div>
        <w:div w:id="2024701146">
          <w:marLeft w:val="0"/>
          <w:marRight w:val="0"/>
          <w:marTop w:val="0"/>
          <w:marBottom w:val="0"/>
          <w:divBdr>
            <w:top w:val="none" w:sz="0" w:space="0" w:color="auto"/>
            <w:left w:val="none" w:sz="0" w:space="0" w:color="auto"/>
            <w:bottom w:val="none" w:sz="0" w:space="0" w:color="auto"/>
            <w:right w:val="none" w:sz="0" w:space="0" w:color="auto"/>
          </w:divBdr>
        </w:div>
        <w:div w:id="2024701147">
          <w:marLeft w:val="0"/>
          <w:marRight w:val="0"/>
          <w:marTop w:val="0"/>
          <w:marBottom w:val="0"/>
          <w:divBdr>
            <w:top w:val="none" w:sz="0" w:space="0" w:color="auto"/>
            <w:left w:val="none" w:sz="0" w:space="0" w:color="auto"/>
            <w:bottom w:val="none" w:sz="0" w:space="0" w:color="auto"/>
            <w:right w:val="none" w:sz="0" w:space="0" w:color="auto"/>
          </w:divBdr>
        </w:div>
        <w:div w:id="2024701148">
          <w:marLeft w:val="0"/>
          <w:marRight w:val="0"/>
          <w:marTop w:val="0"/>
          <w:marBottom w:val="0"/>
          <w:divBdr>
            <w:top w:val="none" w:sz="0" w:space="0" w:color="auto"/>
            <w:left w:val="none" w:sz="0" w:space="0" w:color="auto"/>
            <w:bottom w:val="none" w:sz="0" w:space="0" w:color="auto"/>
            <w:right w:val="none" w:sz="0" w:space="0" w:color="auto"/>
          </w:divBdr>
        </w:div>
        <w:div w:id="2024701149">
          <w:marLeft w:val="0"/>
          <w:marRight w:val="0"/>
          <w:marTop w:val="0"/>
          <w:marBottom w:val="0"/>
          <w:divBdr>
            <w:top w:val="none" w:sz="0" w:space="0" w:color="auto"/>
            <w:left w:val="none" w:sz="0" w:space="0" w:color="auto"/>
            <w:bottom w:val="none" w:sz="0" w:space="0" w:color="auto"/>
            <w:right w:val="none" w:sz="0" w:space="0" w:color="auto"/>
          </w:divBdr>
        </w:div>
        <w:div w:id="2024701151">
          <w:marLeft w:val="0"/>
          <w:marRight w:val="0"/>
          <w:marTop w:val="0"/>
          <w:marBottom w:val="0"/>
          <w:divBdr>
            <w:top w:val="none" w:sz="0" w:space="0" w:color="auto"/>
            <w:left w:val="none" w:sz="0" w:space="0" w:color="auto"/>
            <w:bottom w:val="none" w:sz="0" w:space="0" w:color="auto"/>
            <w:right w:val="none" w:sz="0" w:space="0" w:color="auto"/>
          </w:divBdr>
        </w:div>
        <w:div w:id="2024701152">
          <w:marLeft w:val="0"/>
          <w:marRight w:val="0"/>
          <w:marTop w:val="0"/>
          <w:marBottom w:val="0"/>
          <w:divBdr>
            <w:top w:val="none" w:sz="0" w:space="0" w:color="auto"/>
            <w:left w:val="none" w:sz="0" w:space="0" w:color="auto"/>
            <w:bottom w:val="none" w:sz="0" w:space="0" w:color="auto"/>
            <w:right w:val="none" w:sz="0" w:space="0" w:color="auto"/>
          </w:divBdr>
        </w:div>
        <w:div w:id="2024701153">
          <w:marLeft w:val="0"/>
          <w:marRight w:val="0"/>
          <w:marTop w:val="0"/>
          <w:marBottom w:val="0"/>
          <w:divBdr>
            <w:top w:val="none" w:sz="0" w:space="0" w:color="auto"/>
            <w:left w:val="none" w:sz="0" w:space="0" w:color="auto"/>
            <w:bottom w:val="none" w:sz="0" w:space="0" w:color="auto"/>
            <w:right w:val="none" w:sz="0" w:space="0" w:color="auto"/>
          </w:divBdr>
        </w:div>
        <w:div w:id="2024701154">
          <w:marLeft w:val="0"/>
          <w:marRight w:val="0"/>
          <w:marTop w:val="0"/>
          <w:marBottom w:val="0"/>
          <w:divBdr>
            <w:top w:val="none" w:sz="0" w:space="0" w:color="auto"/>
            <w:left w:val="none" w:sz="0" w:space="0" w:color="auto"/>
            <w:bottom w:val="none" w:sz="0" w:space="0" w:color="auto"/>
            <w:right w:val="none" w:sz="0" w:space="0" w:color="auto"/>
          </w:divBdr>
        </w:div>
        <w:div w:id="2024701155">
          <w:marLeft w:val="0"/>
          <w:marRight w:val="0"/>
          <w:marTop w:val="0"/>
          <w:marBottom w:val="0"/>
          <w:divBdr>
            <w:top w:val="none" w:sz="0" w:space="0" w:color="auto"/>
            <w:left w:val="none" w:sz="0" w:space="0" w:color="auto"/>
            <w:bottom w:val="none" w:sz="0" w:space="0" w:color="auto"/>
            <w:right w:val="none" w:sz="0" w:space="0" w:color="auto"/>
          </w:divBdr>
        </w:div>
        <w:div w:id="2024701156">
          <w:marLeft w:val="0"/>
          <w:marRight w:val="0"/>
          <w:marTop w:val="0"/>
          <w:marBottom w:val="0"/>
          <w:divBdr>
            <w:top w:val="none" w:sz="0" w:space="0" w:color="auto"/>
            <w:left w:val="none" w:sz="0" w:space="0" w:color="auto"/>
            <w:bottom w:val="none" w:sz="0" w:space="0" w:color="auto"/>
            <w:right w:val="none" w:sz="0" w:space="0" w:color="auto"/>
          </w:divBdr>
        </w:div>
        <w:div w:id="2024701157">
          <w:marLeft w:val="0"/>
          <w:marRight w:val="0"/>
          <w:marTop w:val="0"/>
          <w:marBottom w:val="0"/>
          <w:divBdr>
            <w:top w:val="none" w:sz="0" w:space="0" w:color="auto"/>
            <w:left w:val="none" w:sz="0" w:space="0" w:color="auto"/>
            <w:bottom w:val="none" w:sz="0" w:space="0" w:color="auto"/>
            <w:right w:val="none" w:sz="0" w:space="0" w:color="auto"/>
          </w:divBdr>
        </w:div>
        <w:div w:id="2024701158">
          <w:marLeft w:val="0"/>
          <w:marRight w:val="0"/>
          <w:marTop w:val="0"/>
          <w:marBottom w:val="0"/>
          <w:divBdr>
            <w:top w:val="none" w:sz="0" w:space="0" w:color="auto"/>
            <w:left w:val="none" w:sz="0" w:space="0" w:color="auto"/>
            <w:bottom w:val="none" w:sz="0" w:space="0" w:color="auto"/>
            <w:right w:val="none" w:sz="0" w:space="0" w:color="auto"/>
          </w:divBdr>
        </w:div>
        <w:div w:id="2024701159">
          <w:marLeft w:val="0"/>
          <w:marRight w:val="0"/>
          <w:marTop w:val="0"/>
          <w:marBottom w:val="0"/>
          <w:divBdr>
            <w:top w:val="none" w:sz="0" w:space="0" w:color="auto"/>
            <w:left w:val="none" w:sz="0" w:space="0" w:color="auto"/>
            <w:bottom w:val="none" w:sz="0" w:space="0" w:color="auto"/>
            <w:right w:val="none" w:sz="0" w:space="0" w:color="auto"/>
          </w:divBdr>
        </w:div>
        <w:div w:id="2024701160">
          <w:marLeft w:val="0"/>
          <w:marRight w:val="0"/>
          <w:marTop w:val="0"/>
          <w:marBottom w:val="0"/>
          <w:divBdr>
            <w:top w:val="none" w:sz="0" w:space="0" w:color="auto"/>
            <w:left w:val="none" w:sz="0" w:space="0" w:color="auto"/>
            <w:bottom w:val="none" w:sz="0" w:space="0" w:color="auto"/>
            <w:right w:val="none" w:sz="0" w:space="0" w:color="auto"/>
          </w:divBdr>
        </w:div>
        <w:div w:id="2024701161">
          <w:marLeft w:val="0"/>
          <w:marRight w:val="0"/>
          <w:marTop w:val="0"/>
          <w:marBottom w:val="0"/>
          <w:divBdr>
            <w:top w:val="none" w:sz="0" w:space="0" w:color="auto"/>
            <w:left w:val="none" w:sz="0" w:space="0" w:color="auto"/>
            <w:bottom w:val="none" w:sz="0" w:space="0" w:color="auto"/>
            <w:right w:val="none" w:sz="0" w:space="0" w:color="auto"/>
          </w:divBdr>
        </w:div>
        <w:div w:id="2024701162">
          <w:marLeft w:val="0"/>
          <w:marRight w:val="0"/>
          <w:marTop w:val="0"/>
          <w:marBottom w:val="0"/>
          <w:divBdr>
            <w:top w:val="none" w:sz="0" w:space="0" w:color="auto"/>
            <w:left w:val="none" w:sz="0" w:space="0" w:color="auto"/>
            <w:bottom w:val="none" w:sz="0" w:space="0" w:color="auto"/>
            <w:right w:val="none" w:sz="0" w:space="0" w:color="auto"/>
          </w:divBdr>
        </w:div>
        <w:div w:id="2024701163">
          <w:marLeft w:val="0"/>
          <w:marRight w:val="0"/>
          <w:marTop w:val="0"/>
          <w:marBottom w:val="0"/>
          <w:divBdr>
            <w:top w:val="none" w:sz="0" w:space="0" w:color="auto"/>
            <w:left w:val="none" w:sz="0" w:space="0" w:color="auto"/>
            <w:bottom w:val="none" w:sz="0" w:space="0" w:color="auto"/>
            <w:right w:val="none" w:sz="0" w:space="0" w:color="auto"/>
          </w:divBdr>
        </w:div>
        <w:div w:id="2024701164">
          <w:marLeft w:val="0"/>
          <w:marRight w:val="0"/>
          <w:marTop w:val="0"/>
          <w:marBottom w:val="0"/>
          <w:divBdr>
            <w:top w:val="none" w:sz="0" w:space="0" w:color="auto"/>
            <w:left w:val="none" w:sz="0" w:space="0" w:color="auto"/>
            <w:bottom w:val="none" w:sz="0" w:space="0" w:color="auto"/>
            <w:right w:val="none" w:sz="0" w:space="0" w:color="auto"/>
          </w:divBdr>
        </w:div>
        <w:div w:id="2024701165">
          <w:marLeft w:val="0"/>
          <w:marRight w:val="0"/>
          <w:marTop w:val="0"/>
          <w:marBottom w:val="0"/>
          <w:divBdr>
            <w:top w:val="none" w:sz="0" w:space="0" w:color="auto"/>
            <w:left w:val="none" w:sz="0" w:space="0" w:color="auto"/>
            <w:bottom w:val="none" w:sz="0" w:space="0" w:color="auto"/>
            <w:right w:val="none" w:sz="0" w:space="0" w:color="auto"/>
          </w:divBdr>
        </w:div>
        <w:div w:id="2024701166">
          <w:marLeft w:val="0"/>
          <w:marRight w:val="0"/>
          <w:marTop w:val="0"/>
          <w:marBottom w:val="0"/>
          <w:divBdr>
            <w:top w:val="none" w:sz="0" w:space="0" w:color="auto"/>
            <w:left w:val="none" w:sz="0" w:space="0" w:color="auto"/>
            <w:bottom w:val="none" w:sz="0" w:space="0" w:color="auto"/>
            <w:right w:val="none" w:sz="0" w:space="0" w:color="auto"/>
          </w:divBdr>
        </w:div>
        <w:div w:id="2024701167">
          <w:marLeft w:val="0"/>
          <w:marRight w:val="0"/>
          <w:marTop w:val="0"/>
          <w:marBottom w:val="0"/>
          <w:divBdr>
            <w:top w:val="none" w:sz="0" w:space="0" w:color="auto"/>
            <w:left w:val="none" w:sz="0" w:space="0" w:color="auto"/>
            <w:bottom w:val="none" w:sz="0" w:space="0" w:color="auto"/>
            <w:right w:val="none" w:sz="0" w:space="0" w:color="auto"/>
          </w:divBdr>
        </w:div>
        <w:div w:id="2024701168">
          <w:marLeft w:val="0"/>
          <w:marRight w:val="0"/>
          <w:marTop w:val="0"/>
          <w:marBottom w:val="0"/>
          <w:divBdr>
            <w:top w:val="none" w:sz="0" w:space="0" w:color="auto"/>
            <w:left w:val="none" w:sz="0" w:space="0" w:color="auto"/>
            <w:bottom w:val="none" w:sz="0" w:space="0" w:color="auto"/>
            <w:right w:val="none" w:sz="0" w:space="0" w:color="auto"/>
          </w:divBdr>
        </w:div>
        <w:div w:id="2024701169">
          <w:marLeft w:val="0"/>
          <w:marRight w:val="0"/>
          <w:marTop w:val="0"/>
          <w:marBottom w:val="0"/>
          <w:divBdr>
            <w:top w:val="none" w:sz="0" w:space="0" w:color="auto"/>
            <w:left w:val="none" w:sz="0" w:space="0" w:color="auto"/>
            <w:bottom w:val="none" w:sz="0" w:space="0" w:color="auto"/>
            <w:right w:val="none" w:sz="0" w:space="0" w:color="auto"/>
          </w:divBdr>
        </w:div>
        <w:div w:id="2024701170">
          <w:marLeft w:val="0"/>
          <w:marRight w:val="0"/>
          <w:marTop w:val="0"/>
          <w:marBottom w:val="0"/>
          <w:divBdr>
            <w:top w:val="none" w:sz="0" w:space="0" w:color="auto"/>
            <w:left w:val="none" w:sz="0" w:space="0" w:color="auto"/>
            <w:bottom w:val="none" w:sz="0" w:space="0" w:color="auto"/>
            <w:right w:val="none" w:sz="0" w:space="0" w:color="auto"/>
          </w:divBdr>
        </w:div>
        <w:div w:id="2024701171">
          <w:marLeft w:val="0"/>
          <w:marRight w:val="0"/>
          <w:marTop w:val="0"/>
          <w:marBottom w:val="0"/>
          <w:divBdr>
            <w:top w:val="none" w:sz="0" w:space="0" w:color="auto"/>
            <w:left w:val="none" w:sz="0" w:space="0" w:color="auto"/>
            <w:bottom w:val="none" w:sz="0" w:space="0" w:color="auto"/>
            <w:right w:val="none" w:sz="0" w:space="0" w:color="auto"/>
          </w:divBdr>
        </w:div>
        <w:div w:id="2024701172">
          <w:marLeft w:val="0"/>
          <w:marRight w:val="0"/>
          <w:marTop w:val="0"/>
          <w:marBottom w:val="0"/>
          <w:divBdr>
            <w:top w:val="none" w:sz="0" w:space="0" w:color="auto"/>
            <w:left w:val="none" w:sz="0" w:space="0" w:color="auto"/>
            <w:bottom w:val="none" w:sz="0" w:space="0" w:color="auto"/>
            <w:right w:val="none" w:sz="0" w:space="0" w:color="auto"/>
          </w:divBdr>
        </w:div>
        <w:div w:id="2024701173">
          <w:marLeft w:val="0"/>
          <w:marRight w:val="0"/>
          <w:marTop w:val="0"/>
          <w:marBottom w:val="0"/>
          <w:divBdr>
            <w:top w:val="none" w:sz="0" w:space="0" w:color="auto"/>
            <w:left w:val="none" w:sz="0" w:space="0" w:color="auto"/>
            <w:bottom w:val="none" w:sz="0" w:space="0" w:color="auto"/>
            <w:right w:val="none" w:sz="0" w:space="0" w:color="auto"/>
          </w:divBdr>
        </w:div>
        <w:div w:id="2024701174">
          <w:marLeft w:val="0"/>
          <w:marRight w:val="0"/>
          <w:marTop w:val="0"/>
          <w:marBottom w:val="0"/>
          <w:divBdr>
            <w:top w:val="none" w:sz="0" w:space="0" w:color="auto"/>
            <w:left w:val="none" w:sz="0" w:space="0" w:color="auto"/>
            <w:bottom w:val="none" w:sz="0" w:space="0" w:color="auto"/>
            <w:right w:val="none" w:sz="0" w:space="0" w:color="auto"/>
          </w:divBdr>
        </w:div>
        <w:div w:id="2024701175">
          <w:marLeft w:val="0"/>
          <w:marRight w:val="0"/>
          <w:marTop w:val="0"/>
          <w:marBottom w:val="0"/>
          <w:divBdr>
            <w:top w:val="none" w:sz="0" w:space="0" w:color="auto"/>
            <w:left w:val="none" w:sz="0" w:space="0" w:color="auto"/>
            <w:bottom w:val="none" w:sz="0" w:space="0" w:color="auto"/>
            <w:right w:val="none" w:sz="0" w:space="0" w:color="auto"/>
          </w:divBdr>
        </w:div>
        <w:div w:id="2024701176">
          <w:marLeft w:val="0"/>
          <w:marRight w:val="0"/>
          <w:marTop w:val="0"/>
          <w:marBottom w:val="0"/>
          <w:divBdr>
            <w:top w:val="none" w:sz="0" w:space="0" w:color="auto"/>
            <w:left w:val="none" w:sz="0" w:space="0" w:color="auto"/>
            <w:bottom w:val="none" w:sz="0" w:space="0" w:color="auto"/>
            <w:right w:val="none" w:sz="0" w:space="0" w:color="auto"/>
          </w:divBdr>
        </w:div>
        <w:div w:id="2024701177">
          <w:marLeft w:val="0"/>
          <w:marRight w:val="0"/>
          <w:marTop w:val="0"/>
          <w:marBottom w:val="0"/>
          <w:divBdr>
            <w:top w:val="none" w:sz="0" w:space="0" w:color="auto"/>
            <w:left w:val="none" w:sz="0" w:space="0" w:color="auto"/>
            <w:bottom w:val="none" w:sz="0" w:space="0" w:color="auto"/>
            <w:right w:val="none" w:sz="0" w:space="0" w:color="auto"/>
          </w:divBdr>
        </w:div>
        <w:div w:id="2024701178">
          <w:marLeft w:val="0"/>
          <w:marRight w:val="0"/>
          <w:marTop w:val="0"/>
          <w:marBottom w:val="0"/>
          <w:divBdr>
            <w:top w:val="none" w:sz="0" w:space="0" w:color="auto"/>
            <w:left w:val="none" w:sz="0" w:space="0" w:color="auto"/>
            <w:bottom w:val="none" w:sz="0" w:space="0" w:color="auto"/>
            <w:right w:val="none" w:sz="0" w:space="0" w:color="auto"/>
          </w:divBdr>
        </w:div>
        <w:div w:id="2024701179">
          <w:marLeft w:val="0"/>
          <w:marRight w:val="0"/>
          <w:marTop w:val="0"/>
          <w:marBottom w:val="0"/>
          <w:divBdr>
            <w:top w:val="none" w:sz="0" w:space="0" w:color="auto"/>
            <w:left w:val="none" w:sz="0" w:space="0" w:color="auto"/>
            <w:bottom w:val="none" w:sz="0" w:space="0" w:color="auto"/>
            <w:right w:val="none" w:sz="0" w:space="0" w:color="auto"/>
          </w:divBdr>
        </w:div>
        <w:div w:id="2024701180">
          <w:marLeft w:val="0"/>
          <w:marRight w:val="0"/>
          <w:marTop w:val="0"/>
          <w:marBottom w:val="0"/>
          <w:divBdr>
            <w:top w:val="none" w:sz="0" w:space="0" w:color="auto"/>
            <w:left w:val="none" w:sz="0" w:space="0" w:color="auto"/>
            <w:bottom w:val="none" w:sz="0" w:space="0" w:color="auto"/>
            <w:right w:val="none" w:sz="0" w:space="0" w:color="auto"/>
          </w:divBdr>
        </w:div>
        <w:div w:id="2024701181">
          <w:marLeft w:val="0"/>
          <w:marRight w:val="0"/>
          <w:marTop w:val="0"/>
          <w:marBottom w:val="0"/>
          <w:divBdr>
            <w:top w:val="none" w:sz="0" w:space="0" w:color="auto"/>
            <w:left w:val="none" w:sz="0" w:space="0" w:color="auto"/>
            <w:bottom w:val="none" w:sz="0" w:space="0" w:color="auto"/>
            <w:right w:val="none" w:sz="0" w:space="0" w:color="auto"/>
          </w:divBdr>
        </w:div>
        <w:div w:id="2024701182">
          <w:marLeft w:val="0"/>
          <w:marRight w:val="0"/>
          <w:marTop w:val="0"/>
          <w:marBottom w:val="0"/>
          <w:divBdr>
            <w:top w:val="none" w:sz="0" w:space="0" w:color="auto"/>
            <w:left w:val="none" w:sz="0" w:space="0" w:color="auto"/>
            <w:bottom w:val="none" w:sz="0" w:space="0" w:color="auto"/>
            <w:right w:val="none" w:sz="0" w:space="0" w:color="auto"/>
          </w:divBdr>
        </w:div>
        <w:div w:id="2024701183">
          <w:marLeft w:val="0"/>
          <w:marRight w:val="0"/>
          <w:marTop w:val="0"/>
          <w:marBottom w:val="0"/>
          <w:divBdr>
            <w:top w:val="none" w:sz="0" w:space="0" w:color="auto"/>
            <w:left w:val="none" w:sz="0" w:space="0" w:color="auto"/>
            <w:bottom w:val="none" w:sz="0" w:space="0" w:color="auto"/>
            <w:right w:val="none" w:sz="0" w:space="0" w:color="auto"/>
          </w:divBdr>
        </w:div>
        <w:div w:id="2024701184">
          <w:marLeft w:val="0"/>
          <w:marRight w:val="0"/>
          <w:marTop w:val="0"/>
          <w:marBottom w:val="0"/>
          <w:divBdr>
            <w:top w:val="none" w:sz="0" w:space="0" w:color="auto"/>
            <w:left w:val="none" w:sz="0" w:space="0" w:color="auto"/>
            <w:bottom w:val="none" w:sz="0" w:space="0" w:color="auto"/>
            <w:right w:val="none" w:sz="0" w:space="0" w:color="auto"/>
          </w:divBdr>
        </w:div>
        <w:div w:id="2024701185">
          <w:marLeft w:val="0"/>
          <w:marRight w:val="0"/>
          <w:marTop w:val="0"/>
          <w:marBottom w:val="0"/>
          <w:divBdr>
            <w:top w:val="none" w:sz="0" w:space="0" w:color="auto"/>
            <w:left w:val="none" w:sz="0" w:space="0" w:color="auto"/>
            <w:bottom w:val="none" w:sz="0" w:space="0" w:color="auto"/>
            <w:right w:val="none" w:sz="0" w:space="0" w:color="auto"/>
          </w:divBdr>
        </w:div>
        <w:div w:id="2024701186">
          <w:marLeft w:val="0"/>
          <w:marRight w:val="0"/>
          <w:marTop w:val="0"/>
          <w:marBottom w:val="0"/>
          <w:divBdr>
            <w:top w:val="none" w:sz="0" w:space="0" w:color="auto"/>
            <w:left w:val="none" w:sz="0" w:space="0" w:color="auto"/>
            <w:bottom w:val="none" w:sz="0" w:space="0" w:color="auto"/>
            <w:right w:val="none" w:sz="0" w:space="0" w:color="auto"/>
          </w:divBdr>
        </w:div>
        <w:div w:id="2024701187">
          <w:marLeft w:val="0"/>
          <w:marRight w:val="0"/>
          <w:marTop w:val="0"/>
          <w:marBottom w:val="0"/>
          <w:divBdr>
            <w:top w:val="none" w:sz="0" w:space="0" w:color="auto"/>
            <w:left w:val="none" w:sz="0" w:space="0" w:color="auto"/>
            <w:bottom w:val="none" w:sz="0" w:space="0" w:color="auto"/>
            <w:right w:val="none" w:sz="0" w:space="0" w:color="auto"/>
          </w:divBdr>
        </w:div>
        <w:div w:id="2024701188">
          <w:marLeft w:val="0"/>
          <w:marRight w:val="0"/>
          <w:marTop w:val="0"/>
          <w:marBottom w:val="0"/>
          <w:divBdr>
            <w:top w:val="none" w:sz="0" w:space="0" w:color="auto"/>
            <w:left w:val="none" w:sz="0" w:space="0" w:color="auto"/>
            <w:bottom w:val="none" w:sz="0" w:space="0" w:color="auto"/>
            <w:right w:val="none" w:sz="0" w:space="0" w:color="auto"/>
          </w:divBdr>
        </w:div>
        <w:div w:id="2024701189">
          <w:marLeft w:val="0"/>
          <w:marRight w:val="0"/>
          <w:marTop w:val="0"/>
          <w:marBottom w:val="0"/>
          <w:divBdr>
            <w:top w:val="none" w:sz="0" w:space="0" w:color="auto"/>
            <w:left w:val="none" w:sz="0" w:space="0" w:color="auto"/>
            <w:bottom w:val="none" w:sz="0" w:space="0" w:color="auto"/>
            <w:right w:val="none" w:sz="0" w:space="0" w:color="auto"/>
          </w:divBdr>
        </w:div>
        <w:div w:id="2024701190">
          <w:marLeft w:val="0"/>
          <w:marRight w:val="0"/>
          <w:marTop w:val="0"/>
          <w:marBottom w:val="0"/>
          <w:divBdr>
            <w:top w:val="none" w:sz="0" w:space="0" w:color="auto"/>
            <w:left w:val="none" w:sz="0" w:space="0" w:color="auto"/>
            <w:bottom w:val="none" w:sz="0" w:space="0" w:color="auto"/>
            <w:right w:val="none" w:sz="0" w:space="0" w:color="auto"/>
          </w:divBdr>
        </w:div>
        <w:div w:id="2024701191">
          <w:marLeft w:val="0"/>
          <w:marRight w:val="0"/>
          <w:marTop w:val="0"/>
          <w:marBottom w:val="0"/>
          <w:divBdr>
            <w:top w:val="none" w:sz="0" w:space="0" w:color="auto"/>
            <w:left w:val="none" w:sz="0" w:space="0" w:color="auto"/>
            <w:bottom w:val="none" w:sz="0" w:space="0" w:color="auto"/>
            <w:right w:val="none" w:sz="0" w:space="0" w:color="auto"/>
          </w:divBdr>
        </w:div>
        <w:div w:id="2024701192">
          <w:marLeft w:val="0"/>
          <w:marRight w:val="0"/>
          <w:marTop w:val="0"/>
          <w:marBottom w:val="0"/>
          <w:divBdr>
            <w:top w:val="none" w:sz="0" w:space="0" w:color="auto"/>
            <w:left w:val="none" w:sz="0" w:space="0" w:color="auto"/>
            <w:bottom w:val="none" w:sz="0" w:space="0" w:color="auto"/>
            <w:right w:val="none" w:sz="0" w:space="0" w:color="auto"/>
          </w:divBdr>
        </w:div>
        <w:div w:id="2024701193">
          <w:marLeft w:val="0"/>
          <w:marRight w:val="0"/>
          <w:marTop w:val="0"/>
          <w:marBottom w:val="0"/>
          <w:divBdr>
            <w:top w:val="none" w:sz="0" w:space="0" w:color="auto"/>
            <w:left w:val="none" w:sz="0" w:space="0" w:color="auto"/>
            <w:bottom w:val="none" w:sz="0" w:space="0" w:color="auto"/>
            <w:right w:val="none" w:sz="0" w:space="0" w:color="auto"/>
          </w:divBdr>
        </w:div>
        <w:div w:id="2024701194">
          <w:marLeft w:val="0"/>
          <w:marRight w:val="0"/>
          <w:marTop w:val="0"/>
          <w:marBottom w:val="0"/>
          <w:divBdr>
            <w:top w:val="none" w:sz="0" w:space="0" w:color="auto"/>
            <w:left w:val="none" w:sz="0" w:space="0" w:color="auto"/>
            <w:bottom w:val="none" w:sz="0" w:space="0" w:color="auto"/>
            <w:right w:val="none" w:sz="0" w:space="0" w:color="auto"/>
          </w:divBdr>
        </w:div>
        <w:div w:id="2024701195">
          <w:marLeft w:val="0"/>
          <w:marRight w:val="0"/>
          <w:marTop w:val="0"/>
          <w:marBottom w:val="0"/>
          <w:divBdr>
            <w:top w:val="none" w:sz="0" w:space="0" w:color="auto"/>
            <w:left w:val="none" w:sz="0" w:space="0" w:color="auto"/>
            <w:bottom w:val="none" w:sz="0" w:space="0" w:color="auto"/>
            <w:right w:val="none" w:sz="0" w:space="0" w:color="auto"/>
          </w:divBdr>
        </w:div>
        <w:div w:id="2024701196">
          <w:marLeft w:val="0"/>
          <w:marRight w:val="0"/>
          <w:marTop w:val="0"/>
          <w:marBottom w:val="0"/>
          <w:divBdr>
            <w:top w:val="none" w:sz="0" w:space="0" w:color="auto"/>
            <w:left w:val="none" w:sz="0" w:space="0" w:color="auto"/>
            <w:bottom w:val="none" w:sz="0" w:space="0" w:color="auto"/>
            <w:right w:val="none" w:sz="0" w:space="0" w:color="auto"/>
          </w:divBdr>
        </w:div>
        <w:div w:id="2024701197">
          <w:marLeft w:val="0"/>
          <w:marRight w:val="0"/>
          <w:marTop w:val="0"/>
          <w:marBottom w:val="0"/>
          <w:divBdr>
            <w:top w:val="none" w:sz="0" w:space="0" w:color="auto"/>
            <w:left w:val="none" w:sz="0" w:space="0" w:color="auto"/>
            <w:bottom w:val="none" w:sz="0" w:space="0" w:color="auto"/>
            <w:right w:val="none" w:sz="0" w:space="0" w:color="auto"/>
          </w:divBdr>
        </w:div>
        <w:div w:id="2024701198">
          <w:marLeft w:val="0"/>
          <w:marRight w:val="0"/>
          <w:marTop w:val="0"/>
          <w:marBottom w:val="0"/>
          <w:divBdr>
            <w:top w:val="none" w:sz="0" w:space="0" w:color="auto"/>
            <w:left w:val="none" w:sz="0" w:space="0" w:color="auto"/>
            <w:bottom w:val="none" w:sz="0" w:space="0" w:color="auto"/>
            <w:right w:val="none" w:sz="0" w:space="0" w:color="auto"/>
          </w:divBdr>
        </w:div>
        <w:div w:id="2024701199">
          <w:marLeft w:val="0"/>
          <w:marRight w:val="0"/>
          <w:marTop w:val="0"/>
          <w:marBottom w:val="0"/>
          <w:divBdr>
            <w:top w:val="none" w:sz="0" w:space="0" w:color="auto"/>
            <w:left w:val="none" w:sz="0" w:space="0" w:color="auto"/>
            <w:bottom w:val="none" w:sz="0" w:space="0" w:color="auto"/>
            <w:right w:val="none" w:sz="0" w:space="0" w:color="auto"/>
          </w:divBdr>
        </w:div>
        <w:div w:id="2024701200">
          <w:marLeft w:val="0"/>
          <w:marRight w:val="0"/>
          <w:marTop w:val="0"/>
          <w:marBottom w:val="0"/>
          <w:divBdr>
            <w:top w:val="none" w:sz="0" w:space="0" w:color="auto"/>
            <w:left w:val="none" w:sz="0" w:space="0" w:color="auto"/>
            <w:bottom w:val="none" w:sz="0" w:space="0" w:color="auto"/>
            <w:right w:val="none" w:sz="0" w:space="0" w:color="auto"/>
          </w:divBdr>
        </w:div>
        <w:div w:id="2024701201">
          <w:marLeft w:val="0"/>
          <w:marRight w:val="0"/>
          <w:marTop w:val="0"/>
          <w:marBottom w:val="0"/>
          <w:divBdr>
            <w:top w:val="none" w:sz="0" w:space="0" w:color="auto"/>
            <w:left w:val="none" w:sz="0" w:space="0" w:color="auto"/>
            <w:bottom w:val="none" w:sz="0" w:space="0" w:color="auto"/>
            <w:right w:val="none" w:sz="0" w:space="0" w:color="auto"/>
          </w:divBdr>
        </w:div>
        <w:div w:id="2024701202">
          <w:marLeft w:val="0"/>
          <w:marRight w:val="0"/>
          <w:marTop w:val="0"/>
          <w:marBottom w:val="0"/>
          <w:divBdr>
            <w:top w:val="none" w:sz="0" w:space="0" w:color="auto"/>
            <w:left w:val="none" w:sz="0" w:space="0" w:color="auto"/>
            <w:bottom w:val="none" w:sz="0" w:space="0" w:color="auto"/>
            <w:right w:val="none" w:sz="0" w:space="0" w:color="auto"/>
          </w:divBdr>
        </w:div>
        <w:div w:id="2024701203">
          <w:marLeft w:val="0"/>
          <w:marRight w:val="0"/>
          <w:marTop w:val="0"/>
          <w:marBottom w:val="0"/>
          <w:divBdr>
            <w:top w:val="none" w:sz="0" w:space="0" w:color="auto"/>
            <w:left w:val="none" w:sz="0" w:space="0" w:color="auto"/>
            <w:bottom w:val="none" w:sz="0" w:space="0" w:color="auto"/>
            <w:right w:val="none" w:sz="0" w:space="0" w:color="auto"/>
          </w:divBdr>
        </w:div>
        <w:div w:id="2024701204">
          <w:marLeft w:val="0"/>
          <w:marRight w:val="0"/>
          <w:marTop w:val="0"/>
          <w:marBottom w:val="0"/>
          <w:divBdr>
            <w:top w:val="none" w:sz="0" w:space="0" w:color="auto"/>
            <w:left w:val="none" w:sz="0" w:space="0" w:color="auto"/>
            <w:bottom w:val="none" w:sz="0" w:space="0" w:color="auto"/>
            <w:right w:val="none" w:sz="0" w:space="0" w:color="auto"/>
          </w:divBdr>
        </w:div>
        <w:div w:id="2024701205">
          <w:marLeft w:val="0"/>
          <w:marRight w:val="0"/>
          <w:marTop w:val="0"/>
          <w:marBottom w:val="0"/>
          <w:divBdr>
            <w:top w:val="none" w:sz="0" w:space="0" w:color="auto"/>
            <w:left w:val="none" w:sz="0" w:space="0" w:color="auto"/>
            <w:bottom w:val="none" w:sz="0" w:space="0" w:color="auto"/>
            <w:right w:val="none" w:sz="0" w:space="0" w:color="auto"/>
          </w:divBdr>
        </w:div>
        <w:div w:id="2024701206">
          <w:marLeft w:val="0"/>
          <w:marRight w:val="0"/>
          <w:marTop w:val="0"/>
          <w:marBottom w:val="0"/>
          <w:divBdr>
            <w:top w:val="none" w:sz="0" w:space="0" w:color="auto"/>
            <w:left w:val="none" w:sz="0" w:space="0" w:color="auto"/>
            <w:bottom w:val="none" w:sz="0" w:space="0" w:color="auto"/>
            <w:right w:val="none" w:sz="0" w:space="0" w:color="auto"/>
          </w:divBdr>
        </w:div>
        <w:div w:id="2024701207">
          <w:marLeft w:val="0"/>
          <w:marRight w:val="0"/>
          <w:marTop w:val="0"/>
          <w:marBottom w:val="0"/>
          <w:divBdr>
            <w:top w:val="none" w:sz="0" w:space="0" w:color="auto"/>
            <w:left w:val="none" w:sz="0" w:space="0" w:color="auto"/>
            <w:bottom w:val="none" w:sz="0" w:space="0" w:color="auto"/>
            <w:right w:val="none" w:sz="0" w:space="0" w:color="auto"/>
          </w:divBdr>
        </w:div>
        <w:div w:id="2024701208">
          <w:marLeft w:val="0"/>
          <w:marRight w:val="0"/>
          <w:marTop w:val="0"/>
          <w:marBottom w:val="0"/>
          <w:divBdr>
            <w:top w:val="none" w:sz="0" w:space="0" w:color="auto"/>
            <w:left w:val="none" w:sz="0" w:space="0" w:color="auto"/>
            <w:bottom w:val="none" w:sz="0" w:space="0" w:color="auto"/>
            <w:right w:val="none" w:sz="0" w:space="0" w:color="auto"/>
          </w:divBdr>
        </w:div>
        <w:div w:id="2024701209">
          <w:marLeft w:val="0"/>
          <w:marRight w:val="0"/>
          <w:marTop w:val="0"/>
          <w:marBottom w:val="0"/>
          <w:divBdr>
            <w:top w:val="none" w:sz="0" w:space="0" w:color="auto"/>
            <w:left w:val="none" w:sz="0" w:space="0" w:color="auto"/>
            <w:bottom w:val="none" w:sz="0" w:space="0" w:color="auto"/>
            <w:right w:val="none" w:sz="0" w:space="0" w:color="auto"/>
          </w:divBdr>
        </w:div>
        <w:div w:id="2024701210">
          <w:marLeft w:val="0"/>
          <w:marRight w:val="0"/>
          <w:marTop w:val="0"/>
          <w:marBottom w:val="0"/>
          <w:divBdr>
            <w:top w:val="none" w:sz="0" w:space="0" w:color="auto"/>
            <w:left w:val="none" w:sz="0" w:space="0" w:color="auto"/>
            <w:bottom w:val="none" w:sz="0" w:space="0" w:color="auto"/>
            <w:right w:val="none" w:sz="0" w:space="0" w:color="auto"/>
          </w:divBdr>
        </w:div>
        <w:div w:id="2024701211">
          <w:marLeft w:val="0"/>
          <w:marRight w:val="0"/>
          <w:marTop w:val="0"/>
          <w:marBottom w:val="0"/>
          <w:divBdr>
            <w:top w:val="none" w:sz="0" w:space="0" w:color="auto"/>
            <w:left w:val="none" w:sz="0" w:space="0" w:color="auto"/>
            <w:bottom w:val="none" w:sz="0" w:space="0" w:color="auto"/>
            <w:right w:val="none" w:sz="0" w:space="0" w:color="auto"/>
          </w:divBdr>
        </w:div>
        <w:div w:id="2024701212">
          <w:marLeft w:val="0"/>
          <w:marRight w:val="0"/>
          <w:marTop w:val="0"/>
          <w:marBottom w:val="0"/>
          <w:divBdr>
            <w:top w:val="none" w:sz="0" w:space="0" w:color="auto"/>
            <w:left w:val="none" w:sz="0" w:space="0" w:color="auto"/>
            <w:bottom w:val="none" w:sz="0" w:space="0" w:color="auto"/>
            <w:right w:val="none" w:sz="0" w:space="0" w:color="auto"/>
          </w:divBdr>
        </w:div>
        <w:div w:id="2024701213">
          <w:marLeft w:val="0"/>
          <w:marRight w:val="0"/>
          <w:marTop w:val="0"/>
          <w:marBottom w:val="0"/>
          <w:divBdr>
            <w:top w:val="none" w:sz="0" w:space="0" w:color="auto"/>
            <w:left w:val="none" w:sz="0" w:space="0" w:color="auto"/>
            <w:bottom w:val="none" w:sz="0" w:space="0" w:color="auto"/>
            <w:right w:val="none" w:sz="0" w:space="0" w:color="auto"/>
          </w:divBdr>
        </w:div>
        <w:div w:id="2024701214">
          <w:marLeft w:val="0"/>
          <w:marRight w:val="0"/>
          <w:marTop w:val="0"/>
          <w:marBottom w:val="0"/>
          <w:divBdr>
            <w:top w:val="none" w:sz="0" w:space="0" w:color="auto"/>
            <w:left w:val="none" w:sz="0" w:space="0" w:color="auto"/>
            <w:bottom w:val="none" w:sz="0" w:space="0" w:color="auto"/>
            <w:right w:val="none" w:sz="0" w:space="0" w:color="auto"/>
          </w:divBdr>
        </w:div>
        <w:div w:id="2024701215">
          <w:marLeft w:val="0"/>
          <w:marRight w:val="0"/>
          <w:marTop w:val="0"/>
          <w:marBottom w:val="0"/>
          <w:divBdr>
            <w:top w:val="none" w:sz="0" w:space="0" w:color="auto"/>
            <w:left w:val="none" w:sz="0" w:space="0" w:color="auto"/>
            <w:bottom w:val="none" w:sz="0" w:space="0" w:color="auto"/>
            <w:right w:val="none" w:sz="0" w:space="0" w:color="auto"/>
          </w:divBdr>
        </w:div>
        <w:div w:id="2024701216">
          <w:marLeft w:val="0"/>
          <w:marRight w:val="0"/>
          <w:marTop w:val="0"/>
          <w:marBottom w:val="0"/>
          <w:divBdr>
            <w:top w:val="none" w:sz="0" w:space="0" w:color="auto"/>
            <w:left w:val="none" w:sz="0" w:space="0" w:color="auto"/>
            <w:bottom w:val="none" w:sz="0" w:space="0" w:color="auto"/>
            <w:right w:val="none" w:sz="0" w:space="0" w:color="auto"/>
          </w:divBdr>
        </w:div>
        <w:div w:id="2024701217">
          <w:marLeft w:val="0"/>
          <w:marRight w:val="0"/>
          <w:marTop w:val="0"/>
          <w:marBottom w:val="0"/>
          <w:divBdr>
            <w:top w:val="none" w:sz="0" w:space="0" w:color="auto"/>
            <w:left w:val="none" w:sz="0" w:space="0" w:color="auto"/>
            <w:bottom w:val="none" w:sz="0" w:space="0" w:color="auto"/>
            <w:right w:val="none" w:sz="0" w:space="0" w:color="auto"/>
          </w:divBdr>
        </w:div>
        <w:div w:id="2024701218">
          <w:marLeft w:val="0"/>
          <w:marRight w:val="0"/>
          <w:marTop w:val="0"/>
          <w:marBottom w:val="0"/>
          <w:divBdr>
            <w:top w:val="none" w:sz="0" w:space="0" w:color="auto"/>
            <w:left w:val="none" w:sz="0" w:space="0" w:color="auto"/>
            <w:bottom w:val="none" w:sz="0" w:space="0" w:color="auto"/>
            <w:right w:val="none" w:sz="0" w:space="0" w:color="auto"/>
          </w:divBdr>
        </w:div>
        <w:div w:id="2024701219">
          <w:marLeft w:val="0"/>
          <w:marRight w:val="0"/>
          <w:marTop w:val="0"/>
          <w:marBottom w:val="0"/>
          <w:divBdr>
            <w:top w:val="none" w:sz="0" w:space="0" w:color="auto"/>
            <w:left w:val="none" w:sz="0" w:space="0" w:color="auto"/>
            <w:bottom w:val="none" w:sz="0" w:space="0" w:color="auto"/>
            <w:right w:val="none" w:sz="0" w:space="0" w:color="auto"/>
          </w:divBdr>
        </w:div>
        <w:div w:id="2024701220">
          <w:marLeft w:val="0"/>
          <w:marRight w:val="0"/>
          <w:marTop w:val="0"/>
          <w:marBottom w:val="0"/>
          <w:divBdr>
            <w:top w:val="none" w:sz="0" w:space="0" w:color="auto"/>
            <w:left w:val="none" w:sz="0" w:space="0" w:color="auto"/>
            <w:bottom w:val="none" w:sz="0" w:space="0" w:color="auto"/>
            <w:right w:val="none" w:sz="0" w:space="0" w:color="auto"/>
          </w:divBdr>
        </w:div>
        <w:div w:id="2024701221">
          <w:marLeft w:val="0"/>
          <w:marRight w:val="0"/>
          <w:marTop w:val="0"/>
          <w:marBottom w:val="0"/>
          <w:divBdr>
            <w:top w:val="none" w:sz="0" w:space="0" w:color="auto"/>
            <w:left w:val="none" w:sz="0" w:space="0" w:color="auto"/>
            <w:bottom w:val="none" w:sz="0" w:space="0" w:color="auto"/>
            <w:right w:val="none" w:sz="0" w:space="0" w:color="auto"/>
          </w:divBdr>
        </w:div>
        <w:div w:id="2024701222">
          <w:marLeft w:val="0"/>
          <w:marRight w:val="0"/>
          <w:marTop w:val="0"/>
          <w:marBottom w:val="0"/>
          <w:divBdr>
            <w:top w:val="none" w:sz="0" w:space="0" w:color="auto"/>
            <w:left w:val="none" w:sz="0" w:space="0" w:color="auto"/>
            <w:bottom w:val="none" w:sz="0" w:space="0" w:color="auto"/>
            <w:right w:val="none" w:sz="0" w:space="0" w:color="auto"/>
          </w:divBdr>
        </w:div>
        <w:div w:id="2024701223">
          <w:marLeft w:val="0"/>
          <w:marRight w:val="0"/>
          <w:marTop w:val="0"/>
          <w:marBottom w:val="0"/>
          <w:divBdr>
            <w:top w:val="none" w:sz="0" w:space="0" w:color="auto"/>
            <w:left w:val="none" w:sz="0" w:space="0" w:color="auto"/>
            <w:bottom w:val="none" w:sz="0" w:space="0" w:color="auto"/>
            <w:right w:val="none" w:sz="0" w:space="0" w:color="auto"/>
          </w:divBdr>
        </w:div>
        <w:div w:id="2024701225">
          <w:marLeft w:val="0"/>
          <w:marRight w:val="0"/>
          <w:marTop w:val="0"/>
          <w:marBottom w:val="0"/>
          <w:divBdr>
            <w:top w:val="none" w:sz="0" w:space="0" w:color="auto"/>
            <w:left w:val="none" w:sz="0" w:space="0" w:color="auto"/>
            <w:bottom w:val="none" w:sz="0" w:space="0" w:color="auto"/>
            <w:right w:val="none" w:sz="0" w:space="0" w:color="auto"/>
          </w:divBdr>
        </w:div>
        <w:div w:id="2024701226">
          <w:marLeft w:val="0"/>
          <w:marRight w:val="0"/>
          <w:marTop w:val="0"/>
          <w:marBottom w:val="0"/>
          <w:divBdr>
            <w:top w:val="none" w:sz="0" w:space="0" w:color="auto"/>
            <w:left w:val="none" w:sz="0" w:space="0" w:color="auto"/>
            <w:bottom w:val="none" w:sz="0" w:space="0" w:color="auto"/>
            <w:right w:val="none" w:sz="0" w:space="0" w:color="auto"/>
          </w:divBdr>
        </w:div>
        <w:div w:id="2024701227">
          <w:marLeft w:val="0"/>
          <w:marRight w:val="0"/>
          <w:marTop w:val="0"/>
          <w:marBottom w:val="0"/>
          <w:divBdr>
            <w:top w:val="none" w:sz="0" w:space="0" w:color="auto"/>
            <w:left w:val="none" w:sz="0" w:space="0" w:color="auto"/>
            <w:bottom w:val="none" w:sz="0" w:space="0" w:color="auto"/>
            <w:right w:val="none" w:sz="0" w:space="0" w:color="auto"/>
          </w:divBdr>
        </w:div>
        <w:div w:id="2024701228">
          <w:marLeft w:val="0"/>
          <w:marRight w:val="0"/>
          <w:marTop w:val="0"/>
          <w:marBottom w:val="0"/>
          <w:divBdr>
            <w:top w:val="none" w:sz="0" w:space="0" w:color="auto"/>
            <w:left w:val="none" w:sz="0" w:space="0" w:color="auto"/>
            <w:bottom w:val="none" w:sz="0" w:space="0" w:color="auto"/>
            <w:right w:val="none" w:sz="0" w:space="0" w:color="auto"/>
          </w:divBdr>
        </w:div>
        <w:div w:id="2024701229">
          <w:marLeft w:val="0"/>
          <w:marRight w:val="0"/>
          <w:marTop w:val="0"/>
          <w:marBottom w:val="0"/>
          <w:divBdr>
            <w:top w:val="none" w:sz="0" w:space="0" w:color="auto"/>
            <w:left w:val="none" w:sz="0" w:space="0" w:color="auto"/>
            <w:bottom w:val="none" w:sz="0" w:space="0" w:color="auto"/>
            <w:right w:val="none" w:sz="0" w:space="0" w:color="auto"/>
          </w:divBdr>
        </w:div>
        <w:div w:id="2024701230">
          <w:marLeft w:val="0"/>
          <w:marRight w:val="0"/>
          <w:marTop w:val="0"/>
          <w:marBottom w:val="0"/>
          <w:divBdr>
            <w:top w:val="none" w:sz="0" w:space="0" w:color="auto"/>
            <w:left w:val="none" w:sz="0" w:space="0" w:color="auto"/>
            <w:bottom w:val="none" w:sz="0" w:space="0" w:color="auto"/>
            <w:right w:val="none" w:sz="0" w:space="0" w:color="auto"/>
          </w:divBdr>
        </w:div>
        <w:div w:id="2024701231">
          <w:marLeft w:val="0"/>
          <w:marRight w:val="0"/>
          <w:marTop w:val="0"/>
          <w:marBottom w:val="0"/>
          <w:divBdr>
            <w:top w:val="none" w:sz="0" w:space="0" w:color="auto"/>
            <w:left w:val="none" w:sz="0" w:space="0" w:color="auto"/>
            <w:bottom w:val="none" w:sz="0" w:space="0" w:color="auto"/>
            <w:right w:val="none" w:sz="0" w:space="0" w:color="auto"/>
          </w:divBdr>
        </w:div>
        <w:div w:id="2024701232">
          <w:marLeft w:val="0"/>
          <w:marRight w:val="0"/>
          <w:marTop w:val="0"/>
          <w:marBottom w:val="0"/>
          <w:divBdr>
            <w:top w:val="none" w:sz="0" w:space="0" w:color="auto"/>
            <w:left w:val="none" w:sz="0" w:space="0" w:color="auto"/>
            <w:bottom w:val="none" w:sz="0" w:space="0" w:color="auto"/>
            <w:right w:val="none" w:sz="0" w:space="0" w:color="auto"/>
          </w:divBdr>
        </w:div>
        <w:div w:id="2024701233">
          <w:marLeft w:val="0"/>
          <w:marRight w:val="0"/>
          <w:marTop w:val="0"/>
          <w:marBottom w:val="0"/>
          <w:divBdr>
            <w:top w:val="none" w:sz="0" w:space="0" w:color="auto"/>
            <w:left w:val="none" w:sz="0" w:space="0" w:color="auto"/>
            <w:bottom w:val="none" w:sz="0" w:space="0" w:color="auto"/>
            <w:right w:val="none" w:sz="0" w:space="0" w:color="auto"/>
          </w:divBdr>
        </w:div>
        <w:div w:id="2024701234">
          <w:marLeft w:val="0"/>
          <w:marRight w:val="0"/>
          <w:marTop w:val="0"/>
          <w:marBottom w:val="0"/>
          <w:divBdr>
            <w:top w:val="none" w:sz="0" w:space="0" w:color="auto"/>
            <w:left w:val="none" w:sz="0" w:space="0" w:color="auto"/>
            <w:bottom w:val="none" w:sz="0" w:space="0" w:color="auto"/>
            <w:right w:val="none" w:sz="0" w:space="0" w:color="auto"/>
          </w:divBdr>
        </w:div>
        <w:div w:id="2024701235">
          <w:marLeft w:val="0"/>
          <w:marRight w:val="0"/>
          <w:marTop w:val="0"/>
          <w:marBottom w:val="0"/>
          <w:divBdr>
            <w:top w:val="none" w:sz="0" w:space="0" w:color="auto"/>
            <w:left w:val="none" w:sz="0" w:space="0" w:color="auto"/>
            <w:bottom w:val="none" w:sz="0" w:space="0" w:color="auto"/>
            <w:right w:val="none" w:sz="0" w:space="0" w:color="auto"/>
          </w:divBdr>
        </w:div>
        <w:div w:id="2024701236">
          <w:marLeft w:val="0"/>
          <w:marRight w:val="0"/>
          <w:marTop w:val="0"/>
          <w:marBottom w:val="0"/>
          <w:divBdr>
            <w:top w:val="none" w:sz="0" w:space="0" w:color="auto"/>
            <w:left w:val="none" w:sz="0" w:space="0" w:color="auto"/>
            <w:bottom w:val="none" w:sz="0" w:space="0" w:color="auto"/>
            <w:right w:val="none" w:sz="0" w:space="0" w:color="auto"/>
          </w:divBdr>
        </w:div>
        <w:div w:id="2024701237">
          <w:marLeft w:val="0"/>
          <w:marRight w:val="0"/>
          <w:marTop w:val="0"/>
          <w:marBottom w:val="0"/>
          <w:divBdr>
            <w:top w:val="none" w:sz="0" w:space="0" w:color="auto"/>
            <w:left w:val="none" w:sz="0" w:space="0" w:color="auto"/>
            <w:bottom w:val="none" w:sz="0" w:space="0" w:color="auto"/>
            <w:right w:val="none" w:sz="0" w:space="0" w:color="auto"/>
          </w:divBdr>
        </w:div>
        <w:div w:id="2024701238">
          <w:marLeft w:val="0"/>
          <w:marRight w:val="0"/>
          <w:marTop w:val="0"/>
          <w:marBottom w:val="0"/>
          <w:divBdr>
            <w:top w:val="none" w:sz="0" w:space="0" w:color="auto"/>
            <w:left w:val="none" w:sz="0" w:space="0" w:color="auto"/>
            <w:bottom w:val="none" w:sz="0" w:space="0" w:color="auto"/>
            <w:right w:val="none" w:sz="0" w:space="0" w:color="auto"/>
          </w:divBdr>
        </w:div>
        <w:div w:id="2024701239">
          <w:marLeft w:val="0"/>
          <w:marRight w:val="0"/>
          <w:marTop w:val="0"/>
          <w:marBottom w:val="0"/>
          <w:divBdr>
            <w:top w:val="none" w:sz="0" w:space="0" w:color="auto"/>
            <w:left w:val="none" w:sz="0" w:space="0" w:color="auto"/>
            <w:bottom w:val="none" w:sz="0" w:space="0" w:color="auto"/>
            <w:right w:val="none" w:sz="0" w:space="0" w:color="auto"/>
          </w:divBdr>
        </w:div>
        <w:div w:id="2024701240">
          <w:marLeft w:val="0"/>
          <w:marRight w:val="0"/>
          <w:marTop w:val="0"/>
          <w:marBottom w:val="0"/>
          <w:divBdr>
            <w:top w:val="none" w:sz="0" w:space="0" w:color="auto"/>
            <w:left w:val="none" w:sz="0" w:space="0" w:color="auto"/>
            <w:bottom w:val="none" w:sz="0" w:space="0" w:color="auto"/>
            <w:right w:val="none" w:sz="0" w:space="0" w:color="auto"/>
          </w:divBdr>
        </w:div>
        <w:div w:id="2024701241">
          <w:marLeft w:val="0"/>
          <w:marRight w:val="0"/>
          <w:marTop w:val="0"/>
          <w:marBottom w:val="0"/>
          <w:divBdr>
            <w:top w:val="none" w:sz="0" w:space="0" w:color="auto"/>
            <w:left w:val="none" w:sz="0" w:space="0" w:color="auto"/>
            <w:bottom w:val="none" w:sz="0" w:space="0" w:color="auto"/>
            <w:right w:val="none" w:sz="0" w:space="0" w:color="auto"/>
          </w:divBdr>
        </w:div>
        <w:div w:id="2024701242">
          <w:marLeft w:val="0"/>
          <w:marRight w:val="0"/>
          <w:marTop w:val="0"/>
          <w:marBottom w:val="0"/>
          <w:divBdr>
            <w:top w:val="none" w:sz="0" w:space="0" w:color="auto"/>
            <w:left w:val="none" w:sz="0" w:space="0" w:color="auto"/>
            <w:bottom w:val="none" w:sz="0" w:space="0" w:color="auto"/>
            <w:right w:val="none" w:sz="0" w:space="0" w:color="auto"/>
          </w:divBdr>
        </w:div>
        <w:div w:id="2024701243">
          <w:marLeft w:val="0"/>
          <w:marRight w:val="0"/>
          <w:marTop w:val="0"/>
          <w:marBottom w:val="0"/>
          <w:divBdr>
            <w:top w:val="none" w:sz="0" w:space="0" w:color="auto"/>
            <w:left w:val="none" w:sz="0" w:space="0" w:color="auto"/>
            <w:bottom w:val="none" w:sz="0" w:space="0" w:color="auto"/>
            <w:right w:val="none" w:sz="0" w:space="0" w:color="auto"/>
          </w:divBdr>
        </w:div>
        <w:div w:id="2024701245">
          <w:marLeft w:val="0"/>
          <w:marRight w:val="0"/>
          <w:marTop w:val="0"/>
          <w:marBottom w:val="0"/>
          <w:divBdr>
            <w:top w:val="none" w:sz="0" w:space="0" w:color="auto"/>
            <w:left w:val="none" w:sz="0" w:space="0" w:color="auto"/>
            <w:bottom w:val="none" w:sz="0" w:space="0" w:color="auto"/>
            <w:right w:val="none" w:sz="0" w:space="0" w:color="auto"/>
          </w:divBdr>
        </w:div>
        <w:div w:id="2024701246">
          <w:marLeft w:val="0"/>
          <w:marRight w:val="0"/>
          <w:marTop w:val="0"/>
          <w:marBottom w:val="0"/>
          <w:divBdr>
            <w:top w:val="none" w:sz="0" w:space="0" w:color="auto"/>
            <w:left w:val="none" w:sz="0" w:space="0" w:color="auto"/>
            <w:bottom w:val="none" w:sz="0" w:space="0" w:color="auto"/>
            <w:right w:val="none" w:sz="0" w:space="0" w:color="auto"/>
          </w:divBdr>
        </w:div>
        <w:div w:id="2024701247">
          <w:marLeft w:val="0"/>
          <w:marRight w:val="0"/>
          <w:marTop w:val="0"/>
          <w:marBottom w:val="0"/>
          <w:divBdr>
            <w:top w:val="none" w:sz="0" w:space="0" w:color="auto"/>
            <w:left w:val="none" w:sz="0" w:space="0" w:color="auto"/>
            <w:bottom w:val="none" w:sz="0" w:space="0" w:color="auto"/>
            <w:right w:val="none" w:sz="0" w:space="0" w:color="auto"/>
          </w:divBdr>
        </w:div>
        <w:div w:id="2024701248">
          <w:marLeft w:val="0"/>
          <w:marRight w:val="0"/>
          <w:marTop w:val="0"/>
          <w:marBottom w:val="0"/>
          <w:divBdr>
            <w:top w:val="none" w:sz="0" w:space="0" w:color="auto"/>
            <w:left w:val="none" w:sz="0" w:space="0" w:color="auto"/>
            <w:bottom w:val="none" w:sz="0" w:space="0" w:color="auto"/>
            <w:right w:val="none" w:sz="0" w:space="0" w:color="auto"/>
          </w:divBdr>
        </w:div>
        <w:div w:id="2024701249">
          <w:marLeft w:val="0"/>
          <w:marRight w:val="0"/>
          <w:marTop w:val="0"/>
          <w:marBottom w:val="0"/>
          <w:divBdr>
            <w:top w:val="none" w:sz="0" w:space="0" w:color="auto"/>
            <w:left w:val="none" w:sz="0" w:space="0" w:color="auto"/>
            <w:bottom w:val="none" w:sz="0" w:space="0" w:color="auto"/>
            <w:right w:val="none" w:sz="0" w:space="0" w:color="auto"/>
          </w:divBdr>
        </w:div>
        <w:div w:id="2024701250">
          <w:marLeft w:val="0"/>
          <w:marRight w:val="0"/>
          <w:marTop w:val="0"/>
          <w:marBottom w:val="0"/>
          <w:divBdr>
            <w:top w:val="none" w:sz="0" w:space="0" w:color="auto"/>
            <w:left w:val="none" w:sz="0" w:space="0" w:color="auto"/>
            <w:bottom w:val="none" w:sz="0" w:space="0" w:color="auto"/>
            <w:right w:val="none" w:sz="0" w:space="0" w:color="auto"/>
          </w:divBdr>
        </w:div>
        <w:div w:id="2024701251">
          <w:marLeft w:val="0"/>
          <w:marRight w:val="0"/>
          <w:marTop w:val="0"/>
          <w:marBottom w:val="0"/>
          <w:divBdr>
            <w:top w:val="none" w:sz="0" w:space="0" w:color="auto"/>
            <w:left w:val="none" w:sz="0" w:space="0" w:color="auto"/>
            <w:bottom w:val="none" w:sz="0" w:space="0" w:color="auto"/>
            <w:right w:val="none" w:sz="0" w:space="0" w:color="auto"/>
          </w:divBdr>
        </w:div>
        <w:div w:id="2024701252">
          <w:marLeft w:val="0"/>
          <w:marRight w:val="0"/>
          <w:marTop w:val="0"/>
          <w:marBottom w:val="0"/>
          <w:divBdr>
            <w:top w:val="none" w:sz="0" w:space="0" w:color="auto"/>
            <w:left w:val="none" w:sz="0" w:space="0" w:color="auto"/>
            <w:bottom w:val="none" w:sz="0" w:space="0" w:color="auto"/>
            <w:right w:val="none" w:sz="0" w:space="0" w:color="auto"/>
          </w:divBdr>
        </w:div>
        <w:div w:id="2024701253">
          <w:marLeft w:val="0"/>
          <w:marRight w:val="0"/>
          <w:marTop w:val="0"/>
          <w:marBottom w:val="0"/>
          <w:divBdr>
            <w:top w:val="none" w:sz="0" w:space="0" w:color="auto"/>
            <w:left w:val="none" w:sz="0" w:space="0" w:color="auto"/>
            <w:bottom w:val="none" w:sz="0" w:space="0" w:color="auto"/>
            <w:right w:val="none" w:sz="0" w:space="0" w:color="auto"/>
          </w:divBdr>
        </w:div>
        <w:div w:id="2024701254">
          <w:marLeft w:val="0"/>
          <w:marRight w:val="0"/>
          <w:marTop w:val="0"/>
          <w:marBottom w:val="0"/>
          <w:divBdr>
            <w:top w:val="none" w:sz="0" w:space="0" w:color="auto"/>
            <w:left w:val="none" w:sz="0" w:space="0" w:color="auto"/>
            <w:bottom w:val="none" w:sz="0" w:space="0" w:color="auto"/>
            <w:right w:val="none" w:sz="0" w:space="0" w:color="auto"/>
          </w:divBdr>
        </w:div>
        <w:div w:id="2024701256">
          <w:marLeft w:val="0"/>
          <w:marRight w:val="0"/>
          <w:marTop w:val="0"/>
          <w:marBottom w:val="0"/>
          <w:divBdr>
            <w:top w:val="none" w:sz="0" w:space="0" w:color="auto"/>
            <w:left w:val="none" w:sz="0" w:space="0" w:color="auto"/>
            <w:bottom w:val="none" w:sz="0" w:space="0" w:color="auto"/>
            <w:right w:val="none" w:sz="0" w:space="0" w:color="auto"/>
          </w:divBdr>
        </w:div>
        <w:div w:id="2024701257">
          <w:marLeft w:val="0"/>
          <w:marRight w:val="0"/>
          <w:marTop w:val="0"/>
          <w:marBottom w:val="0"/>
          <w:divBdr>
            <w:top w:val="none" w:sz="0" w:space="0" w:color="auto"/>
            <w:left w:val="none" w:sz="0" w:space="0" w:color="auto"/>
            <w:bottom w:val="none" w:sz="0" w:space="0" w:color="auto"/>
            <w:right w:val="none" w:sz="0" w:space="0" w:color="auto"/>
          </w:divBdr>
        </w:div>
        <w:div w:id="2024701258">
          <w:marLeft w:val="0"/>
          <w:marRight w:val="0"/>
          <w:marTop w:val="0"/>
          <w:marBottom w:val="0"/>
          <w:divBdr>
            <w:top w:val="none" w:sz="0" w:space="0" w:color="auto"/>
            <w:left w:val="none" w:sz="0" w:space="0" w:color="auto"/>
            <w:bottom w:val="none" w:sz="0" w:space="0" w:color="auto"/>
            <w:right w:val="none" w:sz="0" w:space="0" w:color="auto"/>
          </w:divBdr>
        </w:div>
        <w:div w:id="2024701259">
          <w:marLeft w:val="0"/>
          <w:marRight w:val="0"/>
          <w:marTop w:val="0"/>
          <w:marBottom w:val="0"/>
          <w:divBdr>
            <w:top w:val="none" w:sz="0" w:space="0" w:color="auto"/>
            <w:left w:val="none" w:sz="0" w:space="0" w:color="auto"/>
            <w:bottom w:val="none" w:sz="0" w:space="0" w:color="auto"/>
            <w:right w:val="none" w:sz="0" w:space="0" w:color="auto"/>
          </w:divBdr>
        </w:div>
        <w:div w:id="2024701260">
          <w:marLeft w:val="0"/>
          <w:marRight w:val="0"/>
          <w:marTop w:val="0"/>
          <w:marBottom w:val="0"/>
          <w:divBdr>
            <w:top w:val="none" w:sz="0" w:space="0" w:color="auto"/>
            <w:left w:val="none" w:sz="0" w:space="0" w:color="auto"/>
            <w:bottom w:val="none" w:sz="0" w:space="0" w:color="auto"/>
            <w:right w:val="none" w:sz="0" w:space="0" w:color="auto"/>
          </w:divBdr>
        </w:div>
        <w:div w:id="2024701261">
          <w:marLeft w:val="0"/>
          <w:marRight w:val="0"/>
          <w:marTop w:val="0"/>
          <w:marBottom w:val="0"/>
          <w:divBdr>
            <w:top w:val="none" w:sz="0" w:space="0" w:color="auto"/>
            <w:left w:val="none" w:sz="0" w:space="0" w:color="auto"/>
            <w:bottom w:val="none" w:sz="0" w:space="0" w:color="auto"/>
            <w:right w:val="none" w:sz="0" w:space="0" w:color="auto"/>
          </w:divBdr>
        </w:div>
        <w:div w:id="2024701262">
          <w:marLeft w:val="0"/>
          <w:marRight w:val="0"/>
          <w:marTop w:val="0"/>
          <w:marBottom w:val="0"/>
          <w:divBdr>
            <w:top w:val="none" w:sz="0" w:space="0" w:color="auto"/>
            <w:left w:val="none" w:sz="0" w:space="0" w:color="auto"/>
            <w:bottom w:val="none" w:sz="0" w:space="0" w:color="auto"/>
            <w:right w:val="none" w:sz="0" w:space="0" w:color="auto"/>
          </w:divBdr>
        </w:div>
        <w:div w:id="2024701263">
          <w:marLeft w:val="0"/>
          <w:marRight w:val="0"/>
          <w:marTop w:val="0"/>
          <w:marBottom w:val="0"/>
          <w:divBdr>
            <w:top w:val="none" w:sz="0" w:space="0" w:color="auto"/>
            <w:left w:val="none" w:sz="0" w:space="0" w:color="auto"/>
            <w:bottom w:val="none" w:sz="0" w:space="0" w:color="auto"/>
            <w:right w:val="none" w:sz="0" w:space="0" w:color="auto"/>
          </w:divBdr>
        </w:div>
        <w:div w:id="2024701264">
          <w:marLeft w:val="0"/>
          <w:marRight w:val="0"/>
          <w:marTop w:val="0"/>
          <w:marBottom w:val="0"/>
          <w:divBdr>
            <w:top w:val="none" w:sz="0" w:space="0" w:color="auto"/>
            <w:left w:val="none" w:sz="0" w:space="0" w:color="auto"/>
            <w:bottom w:val="none" w:sz="0" w:space="0" w:color="auto"/>
            <w:right w:val="none" w:sz="0" w:space="0" w:color="auto"/>
          </w:divBdr>
        </w:div>
        <w:div w:id="2024701265">
          <w:marLeft w:val="0"/>
          <w:marRight w:val="0"/>
          <w:marTop w:val="0"/>
          <w:marBottom w:val="0"/>
          <w:divBdr>
            <w:top w:val="none" w:sz="0" w:space="0" w:color="auto"/>
            <w:left w:val="none" w:sz="0" w:space="0" w:color="auto"/>
            <w:bottom w:val="none" w:sz="0" w:space="0" w:color="auto"/>
            <w:right w:val="none" w:sz="0" w:space="0" w:color="auto"/>
          </w:divBdr>
        </w:div>
        <w:div w:id="2024701266">
          <w:marLeft w:val="0"/>
          <w:marRight w:val="0"/>
          <w:marTop w:val="0"/>
          <w:marBottom w:val="0"/>
          <w:divBdr>
            <w:top w:val="none" w:sz="0" w:space="0" w:color="auto"/>
            <w:left w:val="none" w:sz="0" w:space="0" w:color="auto"/>
            <w:bottom w:val="none" w:sz="0" w:space="0" w:color="auto"/>
            <w:right w:val="none" w:sz="0" w:space="0" w:color="auto"/>
          </w:divBdr>
        </w:div>
        <w:div w:id="2024701267">
          <w:marLeft w:val="0"/>
          <w:marRight w:val="0"/>
          <w:marTop w:val="0"/>
          <w:marBottom w:val="0"/>
          <w:divBdr>
            <w:top w:val="none" w:sz="0" w:space="0" w:color="auto"/>
            <w:left w:val="none" w:sz="0" w:space="0" w:color="auto"/>
            <w:bottom w:val="none" w:sz="0" w:space="0" w:color="auto"/>
            <w:right w:val="none" w:sz="0" w:space="0" w:color="auto"/>
          </w:divBdr>
        </w:div>
        <w:div w:id="2024701268">
          <w:marLeft w:val="0"/>
          <w:marRight w:val="0"/>
          <w:marTop w:val="0"/>
          <w:marBottom w:val="0"/>
          <w:divBdr>
            <w:top w:val="none" w:sz="0" w:space="0" w:color="auto"/>
            <w:left w:val="none" w:sz="0" w:space="0" w:color="auto"/>
            <w:bottom w:val="none" w:sz="0" w:space="0" w:color="auto"/>
            <w:right w:val="none" w:sz="0" w:space="0" w:color="auto"/>
          </w:divBdr>
        </w:div>
        <w:div w:id="2024701269">
          <w:marLeft w:val="0"/>
          <w:marRight w:val="0"/>
          <w:marTop w:val="0"/>
          <w:marBottom w:val="0"/>
          <w:divBdr>
            <w:top w:val="none" w:sz="0" w:space="0" w:color="auto"/>
            <w:left w:val="none" w:sz="0" w:space="0" w:color="auto"/>
            <w:bottom w:val="none" w:sz="0" w:space="0" w:color="auto"/>
            <w:right w:val="none" w:sz="0" w:space="0" w:color="auto"/>
          </w:divBdr>
        </w:div>
        <w:div w:id="2024701270">
          <w:marLeft w:val="0"/>
          <w:marRight w:val="0"/>
          <w:marTop w:val="0"/>
          <w:marBottom w:val="0"/>
          <w:divBdr>
            <w:top w:val="none" w:sz="0" w:space="0" w:color="auto"/>
            <w:left w:val="none" w:sz="0" w:space="0" w:color="auto"/>
            <w:bottom w:val="none" w:sz="0" w:space="0" w:color="auto"/>
            <w:right w:val="none" w:sz="0" w:space="0" w:color="auto"/>
          </w:divBdr>
        </w:div>
        <w:div w:id="2024701271">
          <w:marLeft w:val="0"/>
          <w:marRight w:val="0"/>
          <w:marTop w:val="0"/>
          <w:marBottom w:val="0"/>
          <w:divBdr>
            <w:top w:val="none" w:sz="0" w:space="0" w:color="auto"/>
            <w:left w:val="none" w:sz="0" w:space="0" w:color="auto"/>
            <w:bottom w:val="none" w:sz="0" w:space="0" w:color="auto"/>
            <w:right w:val="none" w:sz="0" w:space="0" w:color="auto"/>
          </w:divBdr>
        </w:div>
        <w:div w:id="2024701272">
          <w:marLeft w:val="0"/>
          <w:marRight w:val="0"/>
          <w:marTop w:val="0"/>
          <w:marBottom w:val="0"/>
          <w:divBdr>
            <w:top w:val="none" w:sz="0" w:space="0" w:color="auto"/>
            <w:left w:val="none" w:sz="0" w:space="0" w:color="auto"/>
            <w:bottom w:val="none" w:sz="0" w:space="0" w:color="auto"/>
            <w:right w:val="none" w:sz="0" w:space="0" w:color="auto"/>
          </w:divBdr>
        </w:div>
        <w:div w:id="2024701273">
          <w:marLeft w:val="0"/>
          <w:marRight w:val="0"/>
          <w:marTop w:val="0"/>
          <w:marBottom w:val="0"/>
          <w:divBdr>
            <w:top w:val="none" w:sz="0" w:space="0" w:color="auto"/>
            <w:left w:val="none" w:sz="0" w:space="0" w:color="auto"/>
            <w:bottom w:val="none" w:sz="0" w:space="0" w:color="auto"/>
            <w:right w:val="none" w:sz="0" w:space="0" w:color="auto"/>
          </w:divBdr>
        </w:div>
        <w:div w:id="2024701274">
          <w:marLeft w:val="0"/>
          <w:marRight w:val="0"/>
          <w:marTop w:val="0"/>
          <w:marBottom w:val="0"/>
          <w:divBdr>
            <w:top w:val="none" w:sz="0" w:space="0" w:color="auto"/>
            <w:left w:val="none" w:sz="0" w:space="0" w:color="auto"/>
            <w:bottom w:val="none" w:sz="0" w:space="0" w:color="auto"/>
            <w:right w:val="none" w:sz="0" w:space="0" w:color="auto"/>
          </w:divBdr>
        </w:div>
        <w:div w:id="2024701275">
          <w:marLeft w:val="0"/>
          <w:marRight w:val="0"/>
          <w:marTop w:val="0"/>
          <w:marBottom w:val="0"/>
          <w:divBdr>
            <w:top w:val="none" w:sz="0" w:space="0" w:color="auto"/>
            <w:left w:val="none" w:sz="0" w:space="0" w:color="auto"/>
            <w:bottom w:val="none" w:sz="0" w:space="0" w:color="auto"/>
            <w:right w:val="none" w:sz="0" w:space="0" w:color="auto"/>
          </w:divBdr>
        </w:div>
        <w:div w:id="2024701276">
          <w:marLeft w:val="0"/>
          <w:marRight w:val="0"/>
          <w:marTop w:val="0"/>
          <w:marBottom w:val="0"/>
          <w:divBdr>
            <w:top w:val="none" w:sz="0" w:space="0" w:color="auto"/>
            <w:left w:val="none" w:sz="0" w:space="0" w:color="auto"/>
            <w:bottom w:val="none" w:sz="0" w:space="0" w:color="auto"/>
            <w:right w:val="none" w:sz="0" w:space="0" w:color="auto"/>
          </w:divBdr>
        </w:div>
        <w:div w:id="2024701277">
          <w:marLeft w:val="0"/>
          <w:marRight w:val="0"/>
          <w:marTop w:val="0"/>
          <w:marBottom w:val="0"/>
          <w:divBdr>
            <w:top w:val="none" w:sz="0" w:space="0" w:color="auto"/>
            <w:left w:val="none" w:sz="0" w:space="0" w:color="auto"/>
            <w:bottom w:val="none" w:sz="0" w:space="0" w:color="auto"/>
            <w:right w:val="none" w:sz="0" w:space="0" w:color="auto"/>
          </w:divBdr>
        </w:div>
        <w:div w:id="2024701278">
          <w:marLeft w:val="0"/>
          <w:marRight w:val="0"/>
          <w:marTop w:val="0"/>
          <w:marBottom w:val="0"/>
          <w:divBdr>
            <w:top w:val="none" w:sz="0" w:space="0" w:color="auto"/>
            <w:left w:val="none" w:sz="0" w:space="0" w:color="auto"/>
            <w:bottom w:val="none" w:sz="0" w:space="0" w:color="auto"/>
            <w:right w:val="none" w:sz="0" w:space="0" w:color="auto"/>
          </w:divBdr>
        </w:div>
        <w:div w:id="2024701279">
          <w:marLeft w:val="0"/>
          <w:marRight w:val="0"/>
          <w:marTop w:val="0"/>
          <w:marBottom w:val="0"/>
          <w:divBdr>
            <w:top w:val="none" w:sz="0" w:space="0" w:color="auto"/>
            <w:left w:val="none" w:sz="0" w:space="0" w:color="auto"/>
            <w:bottom w:val="none" w:sz="0" w:space="0" w:color="auto"/>
            <w:right w:val="none" w:sz="0" w:space="0" w:color="auto"/>
          </w:divBdr>
        </w:div>
        <w:div w:id="2024701280">
          <w:marLeft w:val="0"/>
          <w:marRight w:val="0"/>
          <w:marTop w:val="0"/>
          <w:marBottom w:val="0"/>
          <w:divBdr>
            <w:top w:val="none" w:sz="0" w:space="0" w:color="auto"/>
            <w:left w:val="none" w:sz="0" w:space="0" w:color="auto"/>
            <w:bottom w:val="none" w:sz="0" w:space="0" w:color="auto"/>
            <w:right w:val="none" w:sz="0" w:space="0" w:color="auto"/>
          </w:divBdr>
        </w:div>
        <w:div w:id="2024701281">
          <w:marLeft w:val="0"/>
          <w:marRight w:val="0"/>
          <w:marTop w:val="0"/>
          <w:marBottom w:val="0"/>
          <w:divBdr>
            <w:top w:val="none" w:sz="0" w:space="0" w:color="auto"/>
            <w:left w:val="none" w:sz="0" w:space="0" w:color="auto"/>
            <w:bottom w:val="none" w:sz="0" w:space="0" w:color="auto"/>
            <w:right w:val="none" w:sz="0" w:space="0" w:color="auto"/>
          </w:divBdr>
        </w:div>
        <w:div w:id="2024701282">
          <w:marLeft w:val="0"/>
          <w:marRight w:val="0"/>
          <w:marTop w:val="0"/>
          <w:marBottom w:val="0"/>
          <w:divBdr>
            <w:top w:val="none" w:sz="0" w:space="0" w:color="auto"/>
            <w:left w:val="none" w:sz="0" w:space="0" w:color="auto"/>
            <w:bottom w:val="none" w:sz="0" w:space="0" w:color="auto"/>
            <w:right w:val="none" w:sz="0" w:space="0" w:color="auto"/>
          </w:divBdr>
        </w:div>
        <w:div w:id="2024701283">
          <w:marLeft w:val="0"/>
          <w:marRight w:val="0"/>
          <w:marTop w:val="0"/>
          <w:marBottom w:val="0"/>
          <w:divBdr>
            <w:top w:val="none" w:sz="0" w:space="0" w:color="auto"/>
            <w:left w:val="none" w:sz="0" w:space="0" w:color="auto"/>
            <w:bottom w:val="none" w:sz="0" w:space="0" w:color="auto"/>
            <w:right w:val="none" w:sz="0" w:space="0" w:color="auto"/>
          </w:divBdr>
        </w:div>
        <w:div w:id="2024701284">
          <w:marLeft w:val="0"/>
          <w:marRight w:val="0"/>
          <w:marTop w:val="0"/>
          <w:marBottom w:val="0"/>
          <w:divBdr>
            <w:top w:val="none" w:sz="0" w:space="0" w:color="auto"/>
            <w:left w:val="none" w:sz="0" w:space="0" w:color="auto"/>
            <w:bottom w:val="none" w:sz="0" w:space="0" w:color="auto"/>
            <w:right w:val="none" w:sz="0" w:space="0" w:color="auto"/>
          </w:divBdr>
        </w:div>
        <w:div w:id="2024701285">
          <w:marLeft w:val="0"/>
          <w:marRight w:val="0"/>
          <w:marTop w:val="0"/>
          <w:marBottom w:val="0"/>
          <w:divBdr>
            <w:top w:val="none" w:sz="0" w:space="0" w:color="auto"/>
            <w:left w:val="none" w:sz="0" w:space="0" w:color="auto"/>
            <w:bottom w:val="none" w:sz="0" w:space="0" w:color="auto"/>
            <w:right w:val="none" w:sz="0" w:space="0" w:color="auto"/>
          </w:divBdr>
        </w:div>
        <w:div w:id="2024701286">
          <w:marLeft w:val="0"/>
          <w:marRight w:val="0"/>
          <w:marTop w:val="0"/>
          <w:marBottom w:val="0"/>
          <w:divBdr>
            <w:top w:val="none" w:sz="0" w:space="0" w:color="auto"/>
            <w:left w:val="none" w:sz="0" w:space="0" w:color="auto"/>
            <w:bottom w:val="none" w:sz="0" w:space="0" w:color="auto"/>
            <w:right w:val="none" w:sz="0" w:space="0" w:color="auto"/>
          </w:divBdr>
        </w:div>
        <w:div w:id="2024701287">
          <w:marLeft w:val="0"/>
          <w:marRight w:val="0"/>
          <w:marTop w:val="0"/>
          <w:marBottom w:val="0"/>
          <w:divBdr>
            <w:top w:val="none" w:sz="0" w:space="0" w:color="auto"/>
            <w:left w:val="none" w:sz="0" w:space="0" w:color="auto"/>
            <w:bottom w:val="none" w:sz="0" w:space="0" w:color="auto"/>
            <w:right w:val="none" w:sz="0" w:space="0" w:color="auto"/>
          </w:divBdr>
        </w:div>
        <w:div w:id="2024701288">
          <w:marLeft w:val="0"/>
          <w:marRight w:val="0"/>
          <w:marTop w:val="0"/>
          <w:marBottom w:val="0"/>
          <w:divBdr>
            <w:top w:val="none" w:sz="0" w:space="0" w:color="auto"/>
            <w:left w:val="none" w:sz="0" w:space="0" w:color="auto"/>
            <w:bottom w:val="none" w:sz="0" w:space="0" w:color="auto"/>
            <w:right w:val="none" w:sz="0" w:space="0" w:color="auto"/>
          </w:divBdr>
        </w:div>
        <w:div w:id="2024701289">
          <w:marLeft w:val="0"/>
          <w:marRight w:val="0"/>
          <w:marTop w:val="0"/>
          <w:marBottom w:val="0"/>
          <w:divBdr>
            <w:top w:val="none" w:sz="0" w:space="0" w:color="auto"/>
            <w:left w:val="none" w:sz="0" w:space="0" w:color="auto"/>
            <w:bottom w:val="none" w:sz="0" w:space="0" w:color="auto"/>
            <w:right w:val="none" w:sz="0" w:space="0" w:color="auto"/>
          </w:divBdr>
        </w:div>
        <w:div w:id="2024701290">
          <w:marLeft w:val="0"/>
          <w:marRight w:val="0"/>
          <w:marTop w:val="0"/>
          <w:marBottom w:val="0"/>
          <w:divBdr>
            <w:top w:val="none" w:sz="0" w:space="0" w:color="auto"/>
            <w:left w:val="none" w:sz="0" w:space="0" w:color="auto"/>
            <w:bottom w:val="none" w:sz="0" w:space="0" w:color="auto"/>
            <w:right w:val="none" w:sz="0" w:space="0" w:color="auto"/>
          </w:divBdr>
        </w:div>
        <w:div w:id="2024701291">
          <w:marLeft w:val="0"/>
          <w:marRight w:val="0"/>
          <w:marTop w:val="0"/>
          <w:marBottom w:val="0"/>
          <w:divBdr>
            <w:top w:val="none" w:sz="0" w:space="0" w:color="auto"/>
            <w:left w:val="none" w:sz="0" w:space="0" w:color="auto"/>
            <w:bottom w:val="none" w:sz="0" w:space="0" w:color="auto"/>
            <w:right w:val="none" w:sz="0" w:space="0" w:color="auto"/>
          </w:divBdr>
        </w:div>
        <w:div w:id="2024701292">
          <w:marLeft w:val="0"/>
          <w:marRight w:val="0"/>
          <w:marTop w:val="0"/>
          <w:marBottom w:val="0"/>
          <w:divBdr>
            <w:top w:val="none" w:sz="0" w:space="0" w:color="auto"/>
            <w:left w:val="none" w:sz="0" w:space="0" w:color="auto"/>
            <w:bottom w:val="none" w:sz="0" w:space="0" w:color="auto"/>
            <w:right w:val="none" w:sz="0" w:space="0" w:color="auto"/>
          </w:divBdr>
        </w:div>
        <w:div w:id="2024701293">
          <w:marLeft w:val="0"/>
          <w:marRight w:val="0"/>
          <w:marTop w:val="0"/>
          <w:marBottom w:val="0"/>
          <w:divBdr>
            <w:top w:val="none" w:sz="0" w:space="0" w:color="auto"/>
            <w:left w:val="none" w:sz="0" w:space="0" w:color="auto"/>
            <w:bottom w:val="none" w:sz="0" w:space="0" w:color="auto"/>
            <w:right w:val="none" w:sz="0" w:space="0" w:color="auto"/>
          </w:divBdr>
        </w:div>
        <w:div w:id="2024701294">
          <w:marLeft w:val="0"/>
          <w:marRight w:val="0"/>
          <w:marTop w:val="0"/>
          <w:marBottom w:val="0"/>
          <w:divBdr>
            <w:top w:val="none" w:sz="0" w:space="0" w:color="auto"/>
            <w:left w:val="none" w:sz="0" w:space="0" w:color="auto"/>
            <w:bottom w:val="none" w:sz="0" w:space="0" w:color="auto"/>
            <w:right w:val="none" w:sz="0" w:space="0" w:color="auto"/>
          </w:divBdr>
        </w:div>
        <w:div w:id="2024701295">
          <w:marLeft w:val="0"/>
          <w:marRight w:val="0"/>
          <w:marTop w:val="0"/>
          <w:marBottom w:val="0"/>
          <w:divBdr>
            <w:top w:val="none" w:sz="0" w:space="0" w:color="auto"/>
            <w:left w:val="none" w:sz="0" w:space="0" w:color="auto"/>
            <w:bottom w:val="none" w:sz="0" w:space="0" w:color="auto"/>
            <w:right w:val="none" w:sz="0" w:space="0" w:color="auto"/>
          </w:divBdr>
        </w:div>
        <w:div w:id="2024701296">
          <w:marLeft w:val="0"/>
          <w:marRight w:val="0"/>
          <w:marTop w:val="0"/>
          <w:marBottom w:val="0"/>
          <w:divBdr>
            <w:top w:val="none" w:sz="0" w:space="0" w:color="auto"/>
            <w:left w:val="none" w:sz="0" w:space="0" w:color="auto"/>
            <w:bottom w:val="none" w:sz="0" w:space="0" w:color="auto"/>
            <w:right w:val="none" w:sz="0" w:space="0" w:color="auto"/>
          </w:divBdr>
        </w:div>
        <w:div w:id="2024701297">
          <w:marLeft w:val="0"/>
          <w:marRight w:val="0"/>
          <w:marTop w:val="0"/>
          <w:marBottom w:val="0"/>
          <w:divBdr>
            <w:top w:val="none" w:sz="0" w:space="0" w:color="auto"/>
            <w:left w:val="none" w:sz="0" w:space="0" w:color="auto"/>
            <w:bottom w:val="none" w:sz="0" w:space="0" w:color="auto"/>
            <w:right w:val="none" w:sz="0" w:space="0" w:color="auto"/>
          </w:divBdr>
        </w:div>
        <w:div w:id="2024701298">
          <w:marLeft w:val="0"/>
          <w:marRight w:val="0"/>
          <w:marTop w:val="0"/>
          <w:marBottom w:val="0"/>
          <w:divBdr>
            <w:top w:val="none" w:sz="0" w:space="0" w:color="auto"/>
            <w:left w:val="none" w:sz="0" w:space="0" w:color="auto"/>
            <w:bottom w:val="none" w:sz="0" w:space="0" w:color="auto"/>
            <w:right w:val="none" w:sz="0" w:space="0" w:color="auto"/>
          </w:divBdr>
        </w:div>
        <w:div w:id="2024701300">
          <w:marLeft w:val="0"/>
          <w:marRight w:val="0"/>
          <w:marTop w:val="0"/>
          <w:marBottom w:val="0"/>
          <w:divBdr>
            <w:top w:val="none" w:sz="0" w:space="0" w:color="auto"/>
            <w:left w:val="none" w:sz="0" w:space="0" w:color="auto"/>
            <w:bottom w:val="none" w:sz="0" w:space="0" w:color="auto"/>
            <w:right w:val="none" w:sz="0" w:space="0" w:color="auto"/>
          </w:divBdr>
        </w:div>
        <w:div w:id="2024701301">
          <w:marLeft w:val="0"/>
          <w:marRight w:val="0"/>
          <w:marTop w:val="0"/>
          <w:marBottom w:val="0"/>
          <w:divBdr>
            <w:top w:val="none" w:sz="0" w:space="0" w:color="auto"/>
            <w:left w:val="none" w:sz="0" w:space="0" w:color="auto"/>
            <w:bottom w:val="none" w:sz="0" w:space="0" w:color="auto"/>
            <w:right w:val="none" w:sz="0" w:space="0" w:color="auto"/>
          </w:divBdr>
        </w:div>
        <w:div w:id="2024701302">
          <w:marLeft w:val="0"/>
          <w:marRight w:val="0"/>
          <w:marTop w:val="0"/>
          <w:marBottom w:val="0"/>
          <w:divBdr>
            <w:top w:val="none" w:sz="0" w:space="0" w:color="auto"/>
            <w:left w:val="none" w:sz="0" w:space="0" w:color="auto"/>
            <w:bottom w:val="none" w:sz="0" w:space="0" w:color="auto"/>
            <w:right w:val="none" w:sz="0" w:space="0" w:color="auto"/>
          </w:divBdr>
        </w:div>
        <w:div w:id="2024701303">
          <w:marLeft w:val="0"/>
          <w:marRight w:val="0"/>
          <w:marTop w:val="0"/>
          <w:marBottom w:val="0"/>
          <w:divBdr>
            <w:top w:val="none" w:sz="0" w:space="0" w:color="auto"/>
            <w:left w:val="none" w:sz="0" w:space="0" w:color="auto"/>
            <w:bottom w:val="none" w:sz="0" w:space="0" w:color="auto"/>
            <w:right w:val="none" w:sz="0" w:space="0" w:color="auto"/>
          </w:divBdr>
        </w:div>
        <w:div w:id="2024701304">
          <w:marLeft w:val="0"/>
          <w:marRight w:val="0"/>
          <w:marTop w:val="0"/>
          <w:marBottom w:val="0"/>
          <w:divBdr>
            <w:top w:val="none" w:sz="0" w:space="0" w:color="auto"/>
            <w:left w:val="none" w:sz="0" w:space="0" w:color="auto"/>
            <w:bottom w:val="none" w:sz="0" w:space="0" w:color="auto"/>
            <w:right w:val="none" w:sz="0" w:space="0" w:color="auto"/>
          </w:divBdr>
        </w:div>
        <w:div w:id="2024701305">
          <w:marLeft w:val="0"/>
          <w:marRight w:val="0"/>
          <w:marTop w:val="0"/>
          <w:marBottom w:val="0"/>
          <w:divBdr>
            <w:top w:val="none" w:sz="0" w:space="0" w:color="auto"/>
            <w:left w:val="none" w:sz="0" w:space="0" w:color="auto"/>
            <w:bottom w:val="none" w:sz="0" w:space="0" w:color="auto"/>
            <w:right w:val="none" w:sz="0" w:space="0" w:color="auto"/>
          </w:divBdr>
        </w:div>
        <w:div w:id="2024701306">
          <w:marLeft w:val="0"/>
          <w:marRight w:val="0"/>
          <w:marTop w:val="0"/>
          <w:marBottom w:val="0"/>
          <w:divBdr>
            <w:top w:val="none" w:sz="0" w:space="0" w:color="auto"/>
            <w:left w:val="none" w:sz="0" w:space="0" w:color="auto"/>
            <w:bottom w:val="none" w:sz="0" w:space="0" w:color="auto"/>
            <w:right w:val="none" w:sz="0" w:space="0" w:color="auto"/>
          </w:divBdr>
        </w:div>
        <w:div w:id="2024701307">
          <w:marLeft w:val="0"/>
          <w:marRight w:val="0"/>
          <w:marTop w:val="0"/>
          <w:marBottom w:val="0"/>
          <w:divBdr>
            <w:top w:val="none" w:sz="0" w:space="0" w:color="auto"/>
            <w:left w:val="none" w:sz="0" w:space="0" w:color="auto"/>
            <w:bottom w:val="none" w:sz="0" w:space="0" w:color="auto"/>
            <w:right w:val="none" w:sz="0" w:space="0" w:color="auto"/>
          </w:divBdr>
        </w:div>
        <w:div w:id="2024701308">
          <w:marLeft w:val="0"/>
          <w:marRight w:val="0"/>
          <w:marTop w:val="0"/>
          <w:marBottom w:val="0"/>
          <w:divBdr>
            <w:top w:val="none" w:sz="0" w:space="0" w:color="auto"/>
            <w:left w:val="none" w:sz="0" w:space="0" w:color="auto"/>
            <w:bottom w:val="none" w:sz="0" w:space="0" w:color="auto"/>
            <w:right w:val="none" w:sz="0" w:space="0" w:color="auto"/>
          </w:divBdr>
        </w:div>
        <w:div w:id="2024701309">
          <w:marLeft w:val="0"/>
          <w:marRight w:val="0"/>
          <w:marTop w:val="0"/>
          <w:marBottom w:val="0"/>
          <w:divBdr>
            <w:top w:val="none" w:sz="0" w:space="0" w:color="auto"/>
            <w:left w:val="none" w:sz="0" w:space="0" w:color="auto"/>
            <w:bottom w:val="none" w:sz="0" w:space="0" w:color="auto"/>
            <w:right w:val="none" w:sz="0" w:space="0" w:color="auto"/>
          </w:divBdr>
        </w:div>
        <w:div w:id="2024701310">
          <w:marLeft w:val="0"/>
          <w:marRight w:val="0"/>
          <w:marTop w:val="0"/>
          <w:marBottom w:val="0"/>
          <w:divBdr>
            <w:top w:val="none" w:sz="0" w:space="0" w:color="auto"/>
            <w:left w:val="none" w:sz="0" w:space="0" w:color="auto"/>
            <w:bottom w:val="none" w:sz="0" w:space="0" w:color="auto"/>
            <w:right w:val="none" w:sz="0" w:space="0" w:color="auto"/>
          </w:divBdr>
        </w:div>
        <w:div w:id="2024701311">
          <w:marLeft w:val="0"/>
          <w:marRight w:val="0"/>
          <w:marTop w:val="0"/>
          <w:marBottom w:val="0"/>
          <w:divBdr>
            <w:top w:val="none" w:sz="0" w:space="0" w:color="auto"/>
            <w:left w:val="none" w:sz="0" w:space="0" w:color="auto"/>
            <w:bottom w:val="none" w:sz="0" w:space="0" w:color="auto"/>
            <w:right w:val="none" w:sz="0" w:space="0" w:color="auto"/>
          </w:divBdr>
        </w:div>
        <w:div w:id="2024701312">
          <w:marLeft w:val="0"/>
          <w:marRight w:val="0"/>
          <w:marTop w:val="0"/>
          <w:marBottom w:val="0"/>
          <w:divBdr>
            <w:top w:val="none" w:sz="0" w:space="0" w:color="auto"/>
            <w:left w:val="none" w:sz="0" w:space="0" w:color="auto"/>
            <w:bottom w:val="none" w:sz="0" w:space="0" w:color="auto"/>
            <w:right w:val="none" w:sz="0" w:space="0" w:color="auto"/>
          </w:divBdr>
        </w:div>
        <w:div w:id="2024701313">
          <w:marLeft w:val="0"/>
          <w:marRight w:val="0"/>
          <w:marTop w:val="0"/>
          <w:marBottom w:val="0"/>
          <w:divBdr>
            <w:top w:val="none" w:sz="0" w:space="0" w:color="auto"/>
            <w:left w:val="none" w:sz="0" w:space="0" w:color="auto"/>
            <w:bottom w:val="none" w:sz="0" w:space="0" w:color="auto"/>
            <w:right w:val="none" w:sz="0" w:space="0" w:color="auto"/>
          </w:divBdr>
        </w:div>
        <w:div w:id="2024701314">
          <w:marLeft w:val="0"/>
          <w:marRight w:val="0"/>
          <w:marTop w:val="0"/>
          <w:marBottom w:val="0"/>
          <w:divBdr>
            <w:top w:val="none" w:sz="0" w:space="0" w:color="auto"/>
            <w:left w:val="none" w:sz="0" w:space="0" w:color="auto"/>
            <w:bottom w:val="none" w:sz="0" w:space="0" w:color="auto"/>
            <w:right w:val="none" w:sz="0" w:space="0" w:color="auto"/>
          </w:divBdr>
        </w:div>
        <w:div w:id="2024701315">
          <w:marLeft w:val="0"/>
          <w:marRight w:val="0"/>
          <w:marTop w:val="0"/>
          <w:marBottom w:val="0"/>
          <w:divBdr>
            <w:top w:val="none" w:sz="0" w:space="0" w:color="auto"/>
            <w:left w:val="none" w:sz="0" w:space="0" w:color="auto"/>
            <w:bottom w:val="none" w:sz="0" w:space="0" w:color="auto"/>
            <w:right w:val="none" w:sz="0" w:space="0" w:color="auto"/>
          </w:divBdr>
        </w:div>
        <w:div w:id="2024701316">
          <w:marLeft w:val="0"/>
          <w:marRight w:val="0"/>
          <w:marTop w:val="0"/>
          <w:marBottom w:val="0"/>
          <w:divBdr>
            <w:top w:val="none" w:sz="0" w:space="0" w:color="auto"/>
            <w:left w:val="none" w:sz="0" w:space="0" w:color="auto"/>
            <w:bottom w:val="none" w:sz="0" w:space="0" w:color="auto"/>
            <w:right w:val="none" w:sz="0" w:space="0" w:color="auto"/>
          </w:divBdr>
        </w:div>
        <w:div w:id="2024701317">
          <w:marLeft w:val="0"/>
          <w:marRight w:val="0"/>
          <w:marTop w:val="0"/>
          <w:marBottom w:val="0"/>
          <w:divBdr>
            <w:top w:val="none" w:sz="0" w:space="0" w:color="auto"/>
            <w:left w:val="none" w:sz="0" w:space="0" w:color="auto"/>
            <w:bottom w:val="none" w:sz="0" w:space="0" w:color="auto"/>
            <w:right w:val="none" w:sz="0" w:space="0" w:color="auto"/>
          </w:divBdr>
        </w:div>
        <w:div w:id="2024701318">
          <w:marLeft w:val="0"/>
          <w:marRight w:val="0"/>
          <w:marTop w:val="0"/>
          <w:marBottom w:val="0"/>
          <w:divBdr>
            <w:top w:val="none" w:sz="0" w:space="0" w:color="auto"/>
            <w:left w:val="none" w:sz="0" w:space="0" w:color="auto"/>
            <w:bottom w:val="none" w:sz="0" w:space="0" w:color="auto"/>
            <w:right w:val="none" w:sz="0" w:space="0" w:color="auto"/>
          </w:divBdr>
        </w:div>
        <w:div w:id="2024701319">
          <w:marLeft w:val="0"/>
          <w:marRight w:val="0"/>
          <w:marTop w:val="0"/>
          <w:marBottom w:val="0"/>
          <w:divBdr>
            <w:top w:val="none" w:sz="0" w:space="0" w:color="auto"/>
            <w:left w:val="none" w:sz="0" w:space="0" w:color="auto"/>
            <w:bottom w:val="none" w:sz="0" w:space="0" w:color="auto"/>
            <w:right w:val="none" w:sz="0" w:space="0" w:color="auto"/>
          </w:divBdr>
        </w:div>
        <w:div w:id="2024701320">
          <w:marLeft w:val="0"/>
          <w:marRight w:val="0"/>
          <w:marTop w:val="0"/>
          <w:marBottom w:val="0"/>
          <w:divBdr>
            <w:top w:val="none" w:sz="0" w:space="0" w:color="auto"/>
            <w:left w:val="none" w:sz="0" w:space="0" w:color="auto"/>
            <w:bottom w:val="none" w:sz="0" w:space="0" w:color="auto"/>
            <w:right w:val="none" w:sz="0" w:space="0" w:color="auto"/>
          </w:divBdr>
        </w:div>
        <w:div w:id="2024701321">
          <w:marLeft w:val="0"/>
          <w:marRight w:val="0"/>
          <w:marTop w:val="0"/>
          <w:marBottom w:val="0"/>
          <w:divBdr>
            <w:top w:val="none" w:sz="0" w:space="0" w:color="auto"/>
            <w:left w:val="none" w:sz="0" w:space="0" w:color="auto"/>
            <w:bottom w:val="none" w:sz="0" w:space="0" w:color="auto"/>
            <w:right w:val="none" w:sz="0" w:space="0" w:color="auto"/>
          </w:divBdr>
        </w:div>
        <w:div w:id="2024701322">
          <w:marLeft w:val="0"/>
          <w:marRight w:val="0"/>
          <w:marTop w:val="0"/>
          <w:marBottom w:val="0"/>
          <w:divBdr>
            <w:top w:val="none" w:sz="0" w:space="0" w:color="auto"/>
            <w:left w:val="none" w:sz="0" w:space="0" w:color="auto"/>
            <w:bottom w:val="none" w:sz="0" w:space="0" w:color="auto"/>
            <w:right w:val="none" w:sz="0" w:space="0" w:color="auto"/>
          </w:divBdr>
        </w:div>
        <w:div w:id="2024701323">
          <w:marLeft w:val="0"/>
          <w:marRight w:val="0"/>
          <w:marTop w:val="0"/>
          <w:marBottom w:val="0"/>
          <w:divBdr>
            <w:top w:val="none" w:sz="0" w:space="0" w:color="auto"/>
            <w:left w:val="none" w:sz="0" w:space="0" w:color="auto"/>
            <w:bottom w:val="none" w:sz="0" w:space="0" w:color="auto"/>
            <w:right w:val="none" w:sz="0" w:space="0" w:color="auto"/>
          </w:divBdr>
        </w:div>
        <w:div w:id="2024701324">
          <w:marLeft w:val="0"/>
          <w:marRight w:val="0"/>
          <w:marTop w:val="0"/>
          <w:marBottom w:val="0"/>
          <w:divBdr>
            <w:top w:val="none" w:sz="0" w:space="0" w:color="auto"/>
            <w:left w:val="none" w:sz="0" w:space="0" w:color="auto"/>
            <w:bottom w:val="none" w:sz="0" w:space="0" w:color="auto"/>
            <w:right w:val="none" w:sz="0" w:space="0" w:color="auto"/>
          </w:divBdr>
        </w:div>
        <w:div w:id="2024701325">
          <w:marLeft w:val="0"/>
          <w:marRight w:val="0"/>
          <w:marTop w:val="0"/>
          <w:marBottom w:val="0"/>
          <w:divBdr>
            <w:top w:val="none" w:sz="0" w:space="0" w:color="auto"/>
            <w:left w:val="none" w:sz="0" w:space="0" w:color="auto"/>
            <w:bottom w:val="none" w:sz="0" w:space="0" w:color="auto"/>
            <w:right w:val="none" w:sz="0" w:space="0" w:color="auto"/>
          </w:divBdr>
        </w:div>
        <w:div w:id="2024701326">
          <w:marLeft w:val="0"/>
          <w:marRight w:val="0"/>
          <w:marTop w:val="0"/>
          <w:marBottom w:val="0"/>
          <w:divBdr>
            <w:top w:val="none" w:sz="0" w:space="0" w:color="auto"/>
            <w:left w:val="none" w:sz="0" w:space="0" w:color="auto"/>
            <w:bottom w:val="none" w:sz="0" w:space="0" w:color="auto"/>
            <w:right w:val="none" w:sz="0" w:space="0" w:color="auto"/>
          </w:divBdr>
        </w:div>
        <w:div w:id="2024701327">
          <w:marLeft w:val="0"/>
          <w:marRight w:val="0"/>
          <w:marTop w:val="0"/>
          <w:marBottom w:val="0"/>
          <w:divBdr>
            <w:top w:val="none" w:sz="0" w:space="0" w:color="auto"/>
            <w:left w:val="none" w:sz="0" w:space="0" w:color="auto"/>
            <w:bottom w:val="none" w:sz="0" w:space="0" w:color="auto"/>
            <w:right w:val="none" w:sz="0" w:space="0" w:color="auto"/>
          </w:divBdr>
        </w:div>
        <w:div w:id="2024701328">
          <w:marLeft w:val="0"/>
          <w:marRight w:val="0"/>
          <w:marTop w:val="0"/>
          <w:marBottom w:val="0"/>
          <w:divBdr>
            <w:top w:val="none" w:sz="0" w:space="0" w:color="auto"/>
            <w:left w:val="none" w:sz="0" w:space="0" w:color="auto"/>
            <w:bottom w:val="none" w:sz="0" w:space="0" w:color="auto"/>
            <w:right w:val="none" w:sz="0" w:space="0" w:color="auto"/>
          </w:divBdr>
        </w:div>
        <w:div w:id="2024701329">
          <w:marLeft w:val="0"/>
          <w:marRight w:val="0"/>
          <w:marTop w:val="0"/>
          <w:marBottom w:val="0"/>
          <w:divBdr>
            <w:top w:val="none" w:sz="0" w:space="0" w:color="auto"/>
            <w:left w:val="none" w:sz="0" w:space="0" w:color="auto"/>
            <w:bottom w:val="none" w:sz="0" w:space="0" w:color="auto"/>
            <w:right w:val="none" w:sz="0" w:space="0" w:color="auto"/>
          </w:divBdr>
        </w:div>
        <w:div w:id="2024701330">
          <w:marLeft w:val="0"/>
          <w:marRight w:val="0"/>
          <w:marTop w:val="0"/>
          <w:marBottom w:val="0"/>
          <w:divBdr>
            <w:top w:val="none" w:sz="0" w:space="0" w:color="auto"/>
            <w:left w:val="none" w:sz="0" w:space="0" w:color="auto"/>
            <w:bottom w:val="none" w:sz="0" w:space="0" w:color="auto"/>
            <w:right w:val="none" w:sz="0" w:space="0" w:color="auto"/>
          </w:divBdr>
        </w:div>
        <w:div w:id="2024701331">
          <w:marLeft w:val="0"/>
          <w:marRight w:val="0"/>
          <w:marTop w:val="0"/>
          <w:marBottom w:val="0"/>
          <w:divBdr>
            <w:top w:val="none" w:sz="0" w:space="0" w:color="auto"/>
            <w:left w:val="none" w:sz="0" w:space="0" w:color="auto"/>
            <w:bottom w:val="none" w:sz="0" w:space="0" w:color="auto"/>
            <w:right w:val="none" w:sz="0" w:space="0" w:color="auto"/>
          </w:divBdr>
        </w:div>
        <w:div w:id="2024701332">
          <w:marLeft w:val="0"/>
          <w:marRight w:val="0"/>
          <w:marTop w:val="0"/>
          <w:marBottom w:val="0"/>
          <w:divBdr>
            <w:top w:val="none" w:sz="0" w:space="0" w:color="auto"/>
            <w:left w:val="none" w:sz="0" w:space="0" w:color="auto"/>
            <w:bottom w:val="none" w:sz="0" w:space="0" w:color="auto"/>
            <w:right w:val="none" w:sz="0" w:space="0" w:color="auto"/>
          </w:divBdr>
        </w:div>
        <w:div w:id="2024701333">
          <w:marLeft w:val="0"/>
          <w:marRight w:val="0"/>
          <w:marTop w:val="0"/>
          <w:marBottom w:val="0"/>
          <w:divBdr>
            <w:top w:val="none" w:sz="0" w:space="0" w:color="auto"/>
            <w:left w:val="none" w:sz="0" w:space="0" w:color="auto"/>
            <w:bottom w:val="none" w:sz="0" w:space="0" w:color="auto"/>
            <w:right w:val="none" w:sz="0" w:space="0" w:color="auto"/>
          </w:divBdr>
        </w:div>
        <w:div w:id="2024701334">
          <w:marLeft w:val="0"/>
          <w:marRight w:val="0"/>
          <w:marTop w:val="0"/>
          <w:marBottom w:val="0"/>
          <w:divBdr>
            <w:top w:val="none" w:sz="0" w:space="0" w:color="auto"/>
            <w:left w:val="none" w:sz="0" w:space="0" w:color="auto"/>
            <w:bottom w:val="none" w:sz="0" w:space="0" w:color="auto"/>
            <w:right w:val="none" w:sz="0" w:space="0" w:color="auto"/>
          </w:divBdr>
        </w:div>
        <w:div w:id="2024701335">
          <w:marLeft w:val="0"/>
          <w:marRight w:val="0"/>
          <w:marTop w:val="0"/>
          <w:marBottom w:val="0"/>
          <w:divBdr>
            <w:top w:val="none" w:sz="0" w:space="0" w:color="auto"/>
            <w:left w:val="none" w:sz="0" w:space="0" w:color="auto"/>
            <w:bottom w:val="none" w:sz="0" w:space="0" w:color="auto"/>
            <w:right w:val="none" w:sz="0" w:space="0" w:color="auto"/>
          </w:divBdr>
        </w:div>
        <w:div w:id="2024701336">
          <w:marLeft w:val="0"/>
          <w:marRight w:val="0"/>
          <w:marTop w:val="0"/>
          <w:marBottom w:val="0"/>
          <w:divBdr>
            <w:top w:val="none" w:sz="0" w:space="0" w:color="auto"/>
            <w:left w:val="none" w:sz="0" w:space="0" w:color="auto"/>
            <w:bottom w:val="none" w:sz="0" w:space="0" w:color="auto"/>
            <w:right w:val="none" w:sz="0" w:space="0" w:color="auto"/>
          </w:divBdr>
        </w:div>
        <w:div w:id="2024701337">
          <w:marLeft w:val="0"/>
          <w:marRight w:val="0"/>
          <w:marTop w:val="0"/>
          <w:marBottom w:val="0"/>
          <w:divBdr>
            <w:top w:val="none" w:sz="0" w:space="0" w:color="auto"/>
            <w:left w:val="none" w:sz="0" w:space="0" w:color="auto"/>
            <w:bottom w:val="none" w:sz="0" w:space="0" w:color="auto"/>
            <w:right w:val="none" w:sz="0" w:space="0" w:color="auto"/>
          </w:divBdr>
        </w:div>
        <w:div w:id="2024701338">
          <w:marLeft w:val="0"/>
          <w:marRight w:val="0"/>
          <w:marTop w:val="0"/>
          <w:marBottom w:val="0"/>
          <w:divBdr>
            <w:top w:val="none" w:sz="0" w:space="0" w:color="auto"/>
            <w:left w:val="none" w:sz="0" w:space="0" w:color="auto"/>
            <w:bottom w:val="none" w:sz="0" w:space="0" w:color="auto"/>
            <w:right w:val="none" w:sz="0" w:space="0" w:color="auto"/>
          </w:divBdr>
        </w:div>
        <w:div w:id="2024701339">
          <w:marLeft w:val="0"/>
          <w:marRight w:val="0"/>
          <w:marTop w:val="0"/>
          <w:marBottom w:val="0"/>
          <w:divBdr>
            <w:top w:val="none" w:sz="0" w:space="0" w:color="auto"/>
            <w:left w:val="none" w:sz="0" w:space="0" w:color="auto"/>
            <w:bottom w:val="none" w:sz="0" w:space="0" w:color="auto"/>
            <w:right w:val="none" w:sz="0" w:space="0" w:color="auto"/>
          </w:divBdr>
        </w:div>
        <w:div w:id="2024701340">
          <w:marLeft w:val="0"/>
          <w:marRight w:val="0"/>
          <w:marTop w:val="0"/>
          <w:marBottom w:val="0"/>
          <w:divBdr>
            <w:top w:val="none" w:sz="0" w:space="0" w:color="auto"/>
            <w:left w:val="none" w:sz="0" w:space="0" w:color="auto"/>
            <w:bottom w:val="none" w:sz="0" w:space="0" w:color="auto"/>
            <w:right w:val="none" w:sz="0" w:space="0" w:color="auto"/>
          </w:divBdr>
        </w:div>
        <w:div w:id="2024701341">
          <w:marLeft w:val="0"/>
          <w:marRight w:val="0"/>
          <w:marTop w:val="0"/>
          <w:marBottom w:val="0"/>
          <w:divBdr>
            <w:top w:val="none" w:sz="0" w:space="0" w:color="auto"/>
            <w:left w:val="none" w:sz="0" w:space="0" w:color="auto"/>
            <w:bottom w:val="none" w:sz="0" w:space="0" w:color="auto"/>
            <w:right w:val="none" w:sz="0" w:space="0" w:color="auto"/>
          </w:divBdr>
        </w:div>
        <w:div w:id="2024701342">
          <w:marLeft w:val="0"/>
          <w:marRight w:val="0"/>
          <w:marTop w:val="0"/>
          <w:marBottom w:val="0"/>
          <w:divBdr>
            <w:top w:val="none" w:sz="0" w:space="0" w:color="auto"/>
            <w:left w:val="none" w:sz="0" w:space="0" w:color="auto"/>
            <w:bottom w:val="none" w:sz="0" w:space="0" w:color="auto"/>
            <w:right w:val="none" w:sz="0" w:space="0" w:color="auto"/>
          </w:divBdr>
        </w:div>
        <w:div w:id="2024701343">
          <w:marLeft w:val="0"/>
          <w:marRight w:val="0"/>
          <w:marTop w:val="0"/>
          <w:marBottom w:val="0"/>
          <w:divBdr>
            <w:top w:val="none" w:sz="0" w:space="0" w:color="auto"/>
            <w:left w:val="none" w:sz="0" w:space="0" w:color="auto"/>
            <w:bottom w:val="none" w:sz="0" w:space="0" w:color="auto"/>
            <w:right w:val="none" w:sz="0" w:space="0" w:color="auto"/>
          </w:divBdr>
        </w:div>
        <w:div w:id="2024701345">
          <w:marLeft w:val="0"/>
          <w:marRight w:val="0"/>
          <w:marTop w:val="0"/>
          <w:marBottom w:val="0"/>
          <w:divBdr>
            <w:top w:val="none" w:sz="0" w:space="0" w:color="auto"/>
            <w:left w:val="none" w:sz="0" w:space="0" w:color="auto"/>
            <w:bottom w:val="none" w:sz="0" w:space="0" w:color="auto"/>
            <w:right w:val="none" w:sz="0" w:space="0" w:color="auto"/>
          </w:divBdr>
        </w:div>
        <w:div w:id="2024701346">
          <w:marLeft w:val="0"/>
          <w:marRight w:val="0"/>
          <w:marTop w:val="0"/>
          <w:marBottom w:val="0"/>
          <w:divBdr>
            <w:top w:val="none" w:sz="0" w:space="0" w:color="auto"/>
            <w:left w:val="none" w:sz="0" w:space="0" w:color="auto"/>
            <w:bottom w:val="none" w:sz="0" w:space="0" w:color="auto"/>
            <w:right w:val="none" w:sz="0" w:space="0" w:color="auto"/>
          </w:divBdr>
        </w:div>
        <w:div w:id="2024701347">
          <w:marLeft w:val="0"/>
          <w:marRight w:val="0"/>
          <w:marTop w:val="0"/>
          <w:marBottom w:val="0"/>
          <w:divBdr>
            <w:top w:val="none" w:sz="0" w:space="0" w:color="auto"/>
            <w:left w:val="none" w:sz="0" w:space="0" w:color="auto"/>
            <w:bottom w:val="none" w:sz="0" w:space="0" w:color="auto"/>
            <w:right w:val="none" w:sz="0" w:space="0" w:color="auto"/>
          </w:divBdr>
        </w:div>
        <w:div w:id="2024701348">
          <w:marLeft w:val="0"/>
          <w:marRight w:val="0"/>
          <w:marTop w:val="0"/>
          <w:marBottom w:val="0"/>
          <w:divBdr>
            <w:top w:val="none" w:sz="0" w:space="0" w:color="auto"/>
            <w:left w:val="none" w:sz="0" w:space="0" w:color="auto"/>
            <w:bottom w:val="none" w:sz="0" w:space="0" w:color="auto"/>
            <w:right w:val="none" w:sz="0" w:space="0" w:color="auto"/>
          </w:divBdr>
        </w:div>
        <w:div w:id="2024701350">
          <w:marLeft w:val="0"/>
          <w:marRight w:val="0"/>
          <w:marTop w:val="0"/>
          <w:marBottom w:val="0"/>
          <w:divBdr>
            <w:top w:val="none" w:sz="0" w:space="0" w:color="auto"/>
            <w:left w:val="none" w:sz="0" w:space="0" w:color="auto"/>
            <w:bottom w:val="none" w:sz="0" w:space="0" w:color="auto"/>
            <w:right w:val="none" w:sz="0" w:space="0" w:color="auto"/>
          </w:divBdr>
        </w:div>
        <w:div w:id="2024701351">
          <w:marLeft w:val="0"/>
          <w:marRight w:val="0"/>
          <w:marTop w:val="0"/>
          <w:marBottom w:val="0"/>
          <w:divBdr>
            <w:top w:val="none" w:sz="0" w:space="0" w:color="auto"/>
            <w:left w:val="none" w:sz="0" w:space="0" w:color="auto"/>
            <w:bottom w:val="none" w:sz="0" w:space="0" w:color="auto"/>
            <w:right w:val="none" w:sz="0" w:space="0" w:color="auto"/>
          </w:divBdr>
        </w:div>
        <w:div w:id="2024701352">
          <w:marLeft w:val="0"/>
          <w:marRight w:val="0"/>
          <w:marTop w:val="0"/>
          <w:marBottom w:val="0"/>
          <w:divBdr>
            <w:top w:val="none" w:sz="0" w:space="0" w:color="auto"/>
            <w:left w:val="none" w:sz="0" w:space="0" w:color="auto"/>
            <w:bottom w:val="none" w:sz="0" w:space="0" w:color="auto"/>
            <w:right w:val="none" w:sz="0" w:space="0" w:color="auto"/>
          </w:divBdr>
        </w:div>
        <w:div w:id="2024701353">
          <w:marLeft w:val="0"/>
          <w:marRight w:val="0"/>
          <w:marTop w:val="0"/>
          <w:marBottom w:val="0"/>
          <w:divBdr>
            <w:top w:val="none" w:sz="0" w:space="0" w:color="auto"/>
            <w:left w:val="none" w:sz="0" w:space="0" w:color="auto"/>
            <w:bottom w:val="none" w:sz="0" w:space="0" w:color="auto"/>
            <w:right w:val="none" w:sz="0" w:space="0" w:color="auto"/>
          </w:divBdr>
        </w:div>
        <w:div w:id="2024701355">
          <w:marLeft w:val="0"/>
          <w:marRight w:val="0"/>
          <w:marTop w:val="0"/>
          <w:marBottom w:val="0"/>
          <w:divBdr>
            <w:top w:val="none" w:sz="0" w:space="0" w:color="auto"/>
            <w:left w:val="none" w:sz="0" w:space="0" w:color="auto"/>
            <w:bottom w:val="none" w:sz="0" w:space="0" w:color="auto"/>
            <w:right w:val="none" w:sz="0" w:space="0" w:color="auto"/>
          </w:divBdr>
        </w:div>
        <w:div w:id="2024701356">
          <w:marLeft w:val="0"/>
          <w:marRight w:val="0"/>
          <w:marTop w:val="0"/>
          <w:marBottom w:val="0"/>
          <w:divBdr>
            <w:top w:val="none" w:sz="0" w:space="0" w:color="auto"/>
            <w:left w:val="none" w:sz="0" w:space="0" w:color="auto"/>
            <w:bottom w:val="none" w:sz="0" w:space="0" w:color="auto"/>
            <w:right w:val="none" w:sz="0" w:space="0" w:color="auto"/>
          </w:divBdr>
        </w:div>
        <w:div w:id="2024701358">
          <w:marLeft w:val="0"/>
          <w:marRight w:val="0"/>
          <w:marTop w:val="0"/>
          <w:marBottom w:val="0"/>
          <w:divBdr>
            <w:top w:val="none" w:sz="0" w:space="0" w:color="auto"/>
            <w:left w:val="none" w:sz="0" w:space="0" w:color="auto"/>
            <w:bottom w:val="none" w:sz="0" w:space="0" w:color="auto"/>
            <w:right w:val="none" w:sz="0" w:space="0" w:color="auto"/>
          </w:divBdr>
        </w:div>
        <w:div w:id="2024701359">
          <w:marLeft w:val="0"/>
          <w:marRight w:val="0"/>
          <w:marTop w:val="0"/>
          <w:marBottom w:val="0"/>
          <w:divBdr>
            <w:top w:val="none" w:sz="0" w:space="0" w:color="auto"/>
            <w:left w:val="none" w:sz="0" w:space="0" w:color="auto"/>
            <w:bottom w:val="none" w:sz="0" w:space="0" w:color="auto"/>
            <w:right w:val="none" w:sz="0" w:space="0" w:color="auto"/>
          </w:divBdr>
        </w:div>
        <w:div w:id="2024701360">
          <w:marLeft w:val="0"/>
          <w:marRight w:val="0"/>
          <w:marTop w:val="0"/>
          <w:marBottom w:val="0"/>
          <w:divBdr>
            <w:top w:val="none" w:sz="0" w:space="0" w:color="auto"/>
            <w:left w:val="none" w:sz="0" w:space="0" w:color="auto"/>
            <w:bottom w:val="none" w:sz="0" w:space="0" w:color="auto"/>
            <w:right w:val="none" w:sz="0" w:space="0" w:color="auto"/>
          </w:divBdr>
        </w:div>
        <w:div w:id="2024701361">
          <w:marLeft w:val="0"/>
          <w:marRight w:val="0"/>
          <w:marTop w:val="0"/>
          <w:marBottom w:val="0"/>
          <w:divBdr>
            <w:top w:val="none" w:sz="0" w:space="0" w:color="auto"/>
            <w:left w:val="none" w:sz="0" w:space="0" w:color="auto"/>
            <w:bottom w:val="none" w:sz="0" w:space="0" w:color="auto"/>
            <w:right w:val="none" w:sz="0" w:space="0" w:color="auto"/>
          </w:divBdr>
        </w:div>
        <w:div w:id="2024701362">
          <w:marLeft w:val="0"/>
          <w:marRight w:val="0"/>
          <w:marTop w:val="0"/>
          <w:marBottom w:val="0"/>
          <w:divBdr>
            <w:top w:val="none" w:sz="0" w:space="0" w:color="auto"/>
            <w:left w:val="none" w:sz="0" w:space="0" w:color="auto"/>
            <w:bottom w:val="none" w:sz="0" w:space="0" w:color="auto"/>
            <w:right w:val="none" w:sz="0" w:space="0" w:color="auto"/>
          </w:divBdr>
        </w:div>
        <w:div w:id="2024701363">
          <w:marLeft w:val="0"/>
          <w:marRight w:val="0"/>
          <w:marTop w:val="0"/>
          <w:marBottom w:val="0"/>
          <w:divBdr>
            <w:top w:val="none" w:sz="0" w:space="0" w:color="auto"/>
            <w:left w:val="none" w:sz="0" w:space="0" w:color="auto"/>
            <w:bottom w:val="none" w:sz="0" w:space="0" w:color="auto"/>
            <w:right w:val="none" w:sz="0" w:space="0" w:color="auto"/>
          </w:divBdr>
        </w:div>
        <w:div w:id="2024701364">
          <w:marLeft w:val="0"/>
          <w:marRight w:val="0"/>
          <w:marTop w:val="0"/>
          <w:marBottom w:val="0"/>
          <w:divBdr>
            <w:top w:val="none" w:sz="0" w:space="0" w:color="auto"/>
            <w:left w:val="none" w:sz="0" w:space="0" w:color="auto"/>
            <w:bottom w:val="none" w:sz="0" w:space="0" w:color="auto"/>
            <w:right w:val="none" w:sz="0" w:space="0" w:color="auto"/>
          </w:divBdr>
        </w:div>
        <w:div w:id="2024701365">
          <w:marLeft w:val="0"/>
          <w:marRight w:val="0"/>
          <w:marTop w:val="0"/>
          <w:marBottom w:val="0"/>
          <w:divBdr>
            <w:top w:val="none" w:sz="0" w:space="0" w:color="auto"/>
            <w:left w:val="none" w:sz="0" w:space="0" w:color="auto"/>
            <w:bottom w:val="none" w:sz="0" w:space="0" w:color="auto"/>
            <w:right w:val="none" w:sz="0" w:space="0" w:color="auto"/>
          </w:divBdr>
        </w:div>
        <w:div w:id="2024701366">
          <w:marLeft w:val="0"/>
          <w:marRight w:val="0"/>
          <w:marTop w:val="0"/>
          <w:marBottom w:val="0"/>
          <w:divBdr>
            <w:top w:val="none" w:sz="0" w:space="0" w:color="auto"/>
            <w:left w:val="none" w:sz="0" w:space="0" w:color="auto"/>
            <w:bottom w:val="none" w:sz="0" w:space="0" w:color="auto"/>
            <w:right w:val="none" w:sz="0" w:space="0" w:color="auto"/>
          </w:divBdr>
        </w:div>
        <w:div w:id="2024701367">
          <w:marLeft w:val="0"/>
          <w:marRight w:val="0"/>
          <w:marTop w:val="0"/>
          <w:marBottom w:val="0"/>
          <w:divBdr>
            <w:top w:val="none" w:sz="0" w:space="0" w:color="auto"/>
            <w:left w:val="none" w:sz="0" w:space="0" w:color="auto"/>
            <w:bottom w:val="none" w:sz="0" w:space="0" w:color="auto"/>
            <w:right w:val="none" w:sz="0" w:space="0" w:color="auto"/>
          </w:divBdr>
        </w:div>
        <w:div w:id="2024701368">
          <w:marLeft w:val="0"/>
          <w:marRight w:val="0"/>
          <w:marTop w:val="0"/>
          <w:marBottom w:val="0"/>
          <w:divBdr>
            <w:top w:val="none" w:sz="0" w:space="0" w:color="auto"/>
            <w:left w:val="none" w:sz="0" w:space="0" w:color="auto"/>
            <w:bottom w:val="none" w:sz="0" w:space="0" w:color="auto"/>
            <w:right w:val="none" w:sz="0" w:space="0" w:color="auto"/>
          </w:divBdr>
        </w:div>
        <w:div w:id="2024701369">
          <w:marLeft w:val="0"/>
          <w:marRight w:val="0"/>
          <w:marTop w:val="0"/>
          <w:marBottom w:val="0"/>
          <w:divBdr>
            <w:top w:val="none" w:sz="0" w:space="0" w:color="auto"/>
            <w:left w:val="none" w:sz="0" w:space="0" w:color="auto"/>
            <w:bottom w:val="none" w:sz="0" w:space="0" w:color="auto"/>
            <w:right w:val="none" w:sz="0" w:space="0" w:color="auto"/>
          </w:divBdr>
        </w:div>
        <w:div w:id="2024701371">
          <w:marLeft w:val="0"/>
          <w:marRight w:val="0"/>
          <w:marTop w:val="0"/>
          <w:marBottom w:val="0"/>
          <w:divBdr>
            <w:top w:val="none" w:sz="0" w:space="0" w:color="auto"/>
            <w:left w:val="none" w:sz="0" w:space="0" w:color="auto"/>
            <w:bottom w:val="none" w:sz="0" w:space="0" w:color="auto"/>
            <w:right w:val="none" w:sz="0" w:space="0" w:color="auto"/>
          </w:divBdr>
        </w:div>
        <w:div w:id="2024701372">
          <w:marLeft w:val="0"/>
          <w:marRight w:val="0"/>
          <w:marTop w:val="0"/>
          <w:marBottom w:val="0"/>
          <w:divBdr>
            <w:top w:val="none" w:sz="0" w:space="0" w:color="auto"/>
            <w:left w:val="none" w:sz="0" w:space="0" w:color="auto"/>
            <w:bottom w:val="none" w:sz="0" w:space="0" w:color="auto"/>
            <w:right w:val="none" w:sz="0" w:space="0" w:color="auto"/>
          </w:divBdr>
        </w:div>
        <w:div w:id="2024701373">
          <w:marLeft w:val="0"/>
          <w:marRight w:val="0"/>
          <w:marTop w:val="0"/>
          <w:marBottom w:val="0"/>
          <w:divBdr>
            <w:top w:val="none" w:sz="0" w:space="0" w:color="auto"/>
            <w:left w:val="none" w:sz="0" w:space="0" w:color="auto"/>
            <w:bottom w:val="none" w:sz="0" w:space="0" w:color="auto"/>
            <w:right w:val="none" w:sz="0" w:space="0" w:color="auto"/>
          </w:divBdr>
        </w:div>
        <w:div w:id="2024701374">
          <w:marLeft w:val="0"/>
          <w:marRight w:val="0"/>
          <w:marTop w:val="0"/>
          <w:marBottom w:val="0"/>
          <w:divBdr>
            <w:top w:val="none" w:sz="0" w:space="0" w:color="auto"/>
            <w:left w:val="none" w:sz="0" w:space="0" w:color="auto"/>
            <w:bottom w:val="none" w:sz="0" w:space="0" w:color="auto"/>
            <w:right w:val="none" w:sz="0" w:space="0" w:color="auto"/>
          </w:divBdr>
        </w:div>
        <w:div w:id="2024701375">
          <w:marLeft w:val="0"/>
          <w:marRight w:val="0"/>
          <w:marTop w:val="0"/>
          <w:marBottom w:val="0"/>
          <w:divBdr>
            <w:top w:val="none" w:sz="0" w:space="0" w:color="auto"/>
            <w:left w:val="none" w:sz="0" w:space="0" w:color="auto"/>
            <w:bottom w:val="none" w:sz="0" w:space="0" w:color="auto"/>
            <w:right w:val="none" w:sz="0" w:space="0" w:color="auto"/>
          </w:divBdr>
        </w:div>
        <w:div w:id="2024701376">
          <w:marLeft w:val="0"/>
          <w:marRight w:val="0"/>
          <w:marTop w:val="0"/>
          <w:marBottom w:val="0"/>
          <w:divBdr>
            <w:top w:val="none" w:sz="0" w:space="0" w:color="auto"/>
            <w:left w:val="none" w:sz="0" w:space="0" w:color="auto"/>
            <w:bottom w:val="none" w:sz="0" w:space="0" w:color="auto"/>
            <w:right w:val="none" w:sz="0" w:space="0" w:color="auto"/>
          </w:divBdr>
        </w:div>
        <w:div w:id="2024701377">
          <w:marLeft w:val="0"/>
          <w:marRight w:val="0"/>
          <w:marTop w:val="0"/>
          <w:marBottom w:val="0"/>
          <w:divBdr>
            <w:top w:val="none" w:sz="0" w:space="0" w:color="auto"/>
            <w:left w:val="none" w:sz="0" w:space="0" w:color="auto"/>
            <w:bottom w:val="none" w:sz="0" w:space="0" w:color="auto"/>
            <w:right w:val="none" w:sz="0" w:space="0" w:color="auto"/>
          </w:divBdr>
        </w:div>
        <w:div w:id="2024701378">
          <w:marLeft w:val="0"/>
          <w:marRight w:val="0"/>
          <w:marTop w:val="0"/>
          <w:marBottom w:val="0"/>
          <w:divBdr>
            <w:top w:val="none" w:sz="0" w:space="0" w:color="auto"/>
            <w:left w:val="none" w:sz="0" w:space="0" w:color="auto"/>
            <w:bottom w:val="none" w:sz="0" w:space="0" w:color="auto"/>
            <w:right w:val="none" w:sz="0" w:space="0" w:color="auto"/>
          </w:divBdr>
        </w:div>
        <w:div w:id="2024701379">
          <w:marLeft w:val="0"/>
          <w:marRight w:val="0"/>
          <w:marTop w:val="0"/>
          <w:marBottom w:val="0"/>
          <w:divBdr>
            <w:top w:val="none" w:sz="0" w:space="0" w:color="auto"/>
            <w:left w:val="none" w:sz="0" w:space="0" w:color="auto"/>
            <w:bottom w:val="none" w:sz="0" w:space="0" w:color="auto"/>
            <w:right w:val="none" w:sz="0" w:space="0" w:color="auto"/>
          </w:divBdr>
        </w:div>
        <w:div w:id="2024701380">
          <w:marLeft w:val="0"/>
          <w:marRight w:val="0"/>
          <w:marTop w:val="0"/>
          <w:marBottom w:val="0"/>
          <w:divBdr>
            <w:top w:val="none" w:sz="0" w:space="0" w:color="auto"/>
            <w:left w:val="none" w:sz="0" w:space="0" w:color="auto"/>
            <w:bottom w:val="none" w:sz="0" w:space="0" w:color="auto"/>
            <w:right w:val="none" w:sz="0" w:space="0" w:color="auto"/>
          </w:divBdr>
        </w:div>
        <w:div w:id="2024701381">
          <w:marLeft w:val="0"/>
          <w:marRight w:val="0"/>
          <w:marTop w:val="0"/>
          <w:marBottom w:val="0"/>
          <w:divBdr>
            <w:top w:val="none" w:sz="0" w:space="0" w:color="auto"/>
            <w:left w:val="none" w:sz="0" w:space="0" w:color="auto"/>
            <w:bottom w:val="none" w:sz="0" w:space="0" w:color="auto"/>
            <w:right w:val="none" w:sz="0" w:space="0" w:color="auto"/>
          </w:divBdr>
        </w:div>
        <w:div w:id="2024701382">
          <w:marLeft w:val="0"/>
          <w:marRight w:val="0"/>
          <w:marTop w:val="0"/>
          <w:marBottom w:val="0"/>
          <w:divBdr>
            <w:top w:val="none" w:sz="0" w:space="0" w:color="auto"/>
            <w:left w:val="none" w:sz="0" w:space="0" w:color="auto"/>
            <w:bottom w:val="none" w:sz="0" w:space="0" w:color="auto"/>
            <w:right w:val="none" w:sz="0" w:space="0" w:color="auto"/>
          </w:divBdr>
        </w:div>
        <w:div w:id="2024701383">
          <w:marLeft w:val="0"/>
          <w:marRight w:val="0"/>
          <w:marTop w:val="0"/>
          <w:marBottom w:val="0"/>
          <w:divBdr>
            <w:top w:val="none" w:sz="0" w:space="0" w:color="auto"/>
            <w:left w:val="none" w:sz="0" w:space="0" w:color="auto"/>
            <w:bottom w:val="none" w:sz="0" w:space="0" w:color="auto"/>
            <w:right w:val="none" w:sz="0" w:space="0" w:color="auto"/>
          </w:divBdr>
        </w:div>
        <w:div w:id="2024701384">
          <w:marLeft w:val="0"/>
          <w:marRight w:val="0"/>
          <w:marTop w:val="0"/>
          <w:marBottom w:val="0"/>
          <w:divBdr>
            <w:top w:val="none" w:sz="0" w:space="0" w:color="auto"/>
            <w:left w:val="none" w:sz="0" w:space="0" w:color="auto"/>
            <w:bottom w:val="none" w:sz="0" w:space="0" w:color="auto"/>
            <w:right w:val="none" w:sz="0" w:space="0" w:color="auto"/>
          </w:divBdr>
        </w:div>
        <w:div w:id="2024701385">
          <w:marLeft w:val="0"/>
          <w:marRight w:val="0"/>
          <w:marTop w:val="0"/>
          <w:marBottom w:val="0"/>
          <w:divBdr>
            <w:top w:val="none" w:sz="0" w:space="0" w:color="auto"/>
            <w:left w:val="none" w:sz="0" w:space="0" w:color="auto"/>
            <w:bottom w:val="none" w:sz="0" w:space="0" w:color="auto"/>
            <w:right w:val="none" w:sz="0" w:space="0" w:color="auto"/>
          </w:divBdr>
        </w:div>
        <w:div w:id="2024701386">
          <w:marLeft w:val="0"/>
          <w:marRight w:val="0"/>
          <w:marTop w:val="0"/>
          <w:marBottom w:val="0"/>
          <w:divBdr>
            <w:top w:val="none" w:sz="0" w:space="0" w:color="auto"/>
            <w:left w:val="none" w:sz="0" w:space="0" w:color="auto"/>
            <w:bottom w:val="none" w:sz="0" w:space="0" w:color="auto"/>
            <w:right w:val="none" w:sz="0" w:space="0" w:color="auto"/>
          </w:divBdr>
        </w:div>
        <w:div w:id="2024701387">
          <w:marLeft w:val="0"/>
          <w:marRight w:val="0"/>
          <w:marTop w:val="0"/>
          <w:marBottom w:val="0"/>
          <w:divBdr>
            <w:top w:val="none" w:sz="0" w:space="0" w:color="auto"/>
            <w:left w:val="none" w:sz="0" w:space="0" w:color="auto"/>
            <w:bottom w:val="none" w:sz="0" w:space="0" w:color="auto"/>
            <w:right w:val="none" w:sz="0" w:space="0" w:color="auto"/>
          </w:divBdr>
        </w:div>
        <w:div w:id="2024701388">
          <w:marLeft w:val="0"/>
          <w:marRight w:val="0"/>
          <w:marTop w:val="0"/>
          <w:marBottom w:val="0"/>
          <w:divBdr>
            <w:top w:val="none" w:sz="0" w:space="0" w:color="auto"/>
            <w:left w:val="none" w:sz="0" w:space="0" w:color="auto"/>
            <w:bottom w:val="none" w:sz="0" w:space="0" w:color="auto"/>
            <w:right w:val="none" w:sz="0" w:space="0" w:color="auto"/>
          </w:divBdr>
        </w:div>
        <w:div w:id="2024701389">
          <w:marLeft w:val="0"/>
          <w:marRight w:val="0"/>
          <w:marTop w:val="0"/>
          <w:marBottom w:val="0"/>
          <w:divBdr>
            <w:top w:val="none" w:sz="0" w:space="0" w:color="auto"/>
            <w:left w:val="none" w:sz="0" w:space="0" w:color="auto"/>
            <w:bottom w:val="none" w:sz="0" w:space="0" w:color="auto"/>
            <w:right w:val="none" w:sz="0" w:space="0" w:color="auto"/>
          </w:divBdr>
        </w:div>
        <w:div w:id="2024701390">
          <w:marLeft w:val="0"/>
          <w:marRight w:val="0"/>
          <w:marTop w:val="0"/>
          <w:marBottom w:val="0"/>
          <w:divBdr>
            <w:top w:val="none" w:sz="0" w:space="0" w:color="auto"/>
            <w:left w:val="none" w:sz="0" w:space="0" w:color="auto"/>
            <w:bottom w:val="none" w:sz="0" w:space="0" w:color="auto"/>
            <w:right w:val="none" w:sz="0" w:space="0" w:color="auto"/>
          </w:divBdr>
        </w:div>
        <w:div w:id="2024701391">
          <w:marLeft w:val="0"/>
          <w:marRight w:val="0"/>
          <w:marTop w:val="0"/>
          <w:marBottom w:val="0"/>
          <w:divBdr>
            <w:top w:val="none" w:sz="0" w:space="0" w:color="auto"/>
            <w:left w:val="none" w:sz="0" w:space="0" w:color="auto"/>
            <w:bottom w:val="none" w:sz="0" w:space="0" w:color="auto"/>
            <w:right w:val="none" w:sz="0" w:space="0" w:color="auto"/>
          </w:divBdr>
        </w:div>
        <w:div w:id="2024701392">
          <w:marLeft w:val="0"/>
          <w:marRight w:val="0"/>
          <w:marTop w:val="0"/>
          <w:marBottom w:val="0"/>
          <w:divBdr>
            <w:top w:val="none" w:sz="0" w:space="0" w:color="auto"/>
            <w:left w:val="none" w:sz="0" w:space="0" w:color="auto"/>
            <w:bottom w:val="none" w:sz="0" w:space="0" w:color="auto"/>
            <w:right w:val="none" w:sz="0" w:space="0" w:color="auto"/>
          </w:divBdr>
        </w:div>
        <w:div w:id="2024701394">
          <w:marLeft w:val="0"/>
          <w:marRight w:val="0"/>
          <w:marTop w:val="0"/>
          <w:marBottom w:val="0"/>
          <w:divBdr>
            <w:top w:val="none" w:sz="0" w:space="0" w:color="auto"/>
            <w:left w:val="none" w:sz="0" w:space="0" w:color="auto"/>
            <w:bottom w:val="none" w:sz="0" w:space="0" w:color="auto"/>
            <w:right w:val="none" w:sz="0" w:space="0" w:color="auto"/>
          </w:divBdr>
        </w:div>
        <w:div w:id="2024701395">
          <w:marLeft w:val="0"/>
          <w:marRight w:val="0"/>
          <w:marTop w:val="0"/>
          <w:marBottom w:val="0"/>
          <w:divBdr>
            <w:top w:val="none" w:sz="0" w:space="0" w:color="auto"/>
            <w:left w:val="none" w:sz="0" w:space="0" w:color="auto"/>
            <w:bottom w:val="none" w:sz="0" w:space="0" w:color="auto"/>
            <w:right w:val="none" w:sz="0" w:space="0" w:color="auto"/>
          </w:divBdr>
        </w:div>
        <w:div w:id="2024701396">
          <w:marLeft w:val="0"/>
          <w:marRight w:val="0"/>
          <w:marTop w:val="0"/>
          <w:marBottom w:val="0"/>
          <w:divBdr>
            <w:top w:val="none" w:sz="0" w:space="0" w:color="auto"/>
            <w:left w:val="none" w:sz="0" w:space="0" w:color="auto"/>
            <w:bottom w:val="none" w:sz="0" w:space="0" w:color="auto"/>
            <w:right w:val="none" w:sz="0" w:space="0" w:color="auto"/>
          </w:divBdr>
        </w:div>
        <w:div w:id="2024701397">
          <w:marLeft w:val="0"/>
          <w:marRight w:val="0"/>
          <w:marTop w:val="0"/>
          <w:marBottom w:val="0"/>
          <w:divBdr>
            <w:top w:val="none" w:sz="0" w:space="0" w:color="auto"/>
            <w:left w:val="none" w:sz="0" w:space="0" w:color="auto"/>
            <w:bottom w:val="none" w:sz="0" w:space="0" w:color="auto"/>
            <w:right w:val="none" w:sz="0" w:space="0" w:color="auto"/>
          </w:divBdr>
        </w:div>
        <w:div w:id="2024701398">
          <w:marLeft w:val="0"/>
          <w:marRight w:val="0"/>
          <w:marTop w:val="0"/>
          <w:marBottom w:val="0"/>
          <w:divBdr>
            <w:top w:val="none" w:sz="0" w:space="0" w:color="auto"/>
            <w:left w:val="none" w:sz="0" w:space="0" w:color="auto"/>
            <w:bottom w:val="none" w:sz="0" w:space="0" w:color="auto"/>
            <w:right w:val="none" w:sz="0" w:space="0" w:color="auto"/>
          </w:divBdr>
        </w:div>
        <w:div w:id="2024701399">
          <w:marLeft w:val="0"/>
          <w:marRight w:val="0"/>
          <w:marTop w:val="0"/>
          <w:marBottom w:val="0"/>
          <w:divBdr>
            <w:top w:val="none" w:sz="0" w:space="0" w:color="auto"/>
            <w:left w:val="none" w:sz="0" w:space="0" w:color="auto"/>
            <w:bottom w:val="none" w:sz="0" w:space="0" w:color="auto"/>
            <w:right w:val="none" w:sz="0" w:space="0" w:color="auto"/>
          </w:divBdr>
        </w:div>
        <w:div w:id="2024701400">
          <w:marLeft w:val="0"/>
          <w:marRight w:val="0"/>
          <w:marTop w:val="0"/>
          <w:marBottom w:val="0"/>
          <w:divBdr>
            <w:top w:val="none" w:sz="0" w:space="0" w:color="auto"/>
            <w:left w:val="none" w:sz="0" w:space="0" w:color="auto"/>
            <w:bottom w:val="none" w:sz="0" w:space="0" w:color="auto"/>
            <w:right w:val="none" w:sz="0" w:space="0" w:color="auto"/>
          </w:divBdr>
        </w:div>
        <w:div w:id="2024701401">
          <w:marLeft w:val="0"/>
          <w:marRight w:val="0"/>
          <w:marTop w:val="0"/>
          <w:marBottom w:val="0"/>
          <w:divBdr>
            <w:top w:val="none" w:sz="0" w:space="0" w:color="auto"/>
            <w:left w:val="none" w:sz="0" w:space="0" w:color="auto"/>
            <w:bottom w:val="none" w:sz="0" w:space="0" w:color="auto"/>
            <w:right w:val="none" w:sz="0" w:space="0" w:color="auto"/>
          </w:divBdr>
        </w:div>
        <w:div w:id="2024701402">
          <w:marLeft w:val="0"/>
          <w:marRight w:val="0"/>
          <w:marTop w:val="0"/>
          <w:marBottom w:val="0"/>
          <w:divBdr>
            <w:top w:val="none" w:sz="0" w:space="0" w:color="auto"/>
            <w:left w:val="none" w:sz="0" w:space="0" w:color="auto"/>
            <w:bottom w:val="none" w:sz="0" w:space="0" w:color="auto"/>
            <w:right w:val="none" w:sz="0" w:space="0" w:color="auto"/>
          </w:divBdr>
        </w:div>
        <w:div w:id="2024701403">
          <w:marLeft w:val="0"/>
          <w:marRight w:val="0"/>
          <w:marTop w:val="0"/>
          <w:marBottom w:val="0"/>
          <w:divBdr>
            <w:top w:val="none" w:sz="0" w:space="0" w:color="auto"/>
            <w:left w:val="none" w:sz="0" w:space="0" w:color="auto"/>
            <w:bottom w:val="none" w:sz="0" w:space="0" w:color="auto"/>
            <w:right w:val="none" w:sz="0" w:space="0" w:color="auto"/>
          </w:divBdr>
        </w:div>
        <w:div w:id="2024701404">
          <w:marLeft w:val="0"/>
          <w:marRight w:val="0"/>
          <w:marTop w:val="0"/>
          <w:marBottom w:val="0"/>
          <w:divBdr>
            <w:top w:val="none" w:sz="0" w:space="0" w:color="auto"/>
            <w:left w:val="none" w:sz="0" w:space="0" w:color="auto"/>
            <w:bottom w:val="none" w:sz="0" w:space="0" w:color="auto"/>
            <w:right w:val="none" w:sz="0" w:space="0" w:color="auto"/>
          </w:divBdr>
        </w:div>
        <w:div w:id="2024701405">
          <w:marLeft w:val="0"/>
          <w:marRight w:val="0"/>
          <w:marTop w:val="0"/>
          <w:marBottom w:val="0"/>
          <w:divBdr>
            <w:top w:val="none" w:sz="0" w:space="0" w:color="auto"/>
            <w:left w:val="none" w:sz="0" w:space="0" w:color="auto"/>
            <w:bottom w:val="none" w:sz="0" w:space="0" w:color="auto"/>
            <w:right w:val="none" w:sz="0" w:space="0" w:color="auto"/>
          </w:divBdr>
        </w:div>
        <w:div w:id="2024701406">
          <w:marLeft w:val="0"/>
          <w:marRight w:val="0"/>
          <w:marTop w:val="0"/>
          <w:marBottom w:val="0"/>
          <w:divBdr>
            <w:top w:val="none" w:sz="0" w:space="0" w:color="auto"/>
            <w:left w:val="none" w:sz="0" w:space="0" w:color="auto"/>
            <w:bottom w:val="none" w:sz="0" w:space="0" w:color="auto"/>
            <w:right w:val="none" w:sz="0" w:space="0" w:color="auto"/>
          </w:divBdr>
        </w:div>
        <w:div w:id="2024701407">
          <w:marLeft w:val="0"/>
          <w:marRight w:val="0"/>
          <w:marTop w:val="0"/>
          <w:marBottom w:val="0"/>
          <w:divBdr>
            <w:top w:val="none" w:sz="0" w:space="0" w:color="auto"/>
            <w:left w:val="none" w:sz="0" w:space="0" w:color="auto"/>
            <w:bottom w:val="none" w:sz="0" w:space="0" w:color="auto"/>
            <w:right w:val="none" w:sz="0" w:space="0" w:color="auto"/>
          </w:divBdr>
        </w:div>
        <w:div w:id="2024701408">
          <w:marLeft w:val="0"/>
          <w:marRight w:val="0"/>
          <w:marTop w:val="0"/>
          <w:marBottom w:val="0"/>
          <w:divBdr>
            <w:top w:val="none" w:sz="0" w:space="0" w:color="auto"/>
            <w:left w:val="none" w:sz="0" w:space="0" w:color="auto"/>
            <w:bottom w:val="none" w:sz="0" w:space="0" w:color="auto"/>
            <w:right w:val="none" w:sz="0" w:space="0" w:color="auto"/>
          </w:divBdr>
        </w:div>
        <w:div w:id="2024701409">
          <w:marLeft w:val="0"/>
          <w:marRight w:val="0"/>
          <w:marTop w:val="0"/>
          <w:marBottom w:val="0"/>
          <w:divBdr>
            <w:top w:val="none" w:sz="0" w:space="0" w:color="auto"/>
            <w:left w:val="none" w:sz="0" w:space="0" w:color="auto"/>
            <w:bottom w:val="none" w:sz="0" w:space="0" w:color="auto"/>
            <w:right w:val="none" w:sz="0" w:space="0" w:color="auto"/>
          </w:divBdr>
        </w:div>
        <w:div w:id="2024701410">
          <w:marLeft w:val="0"/>
          <w:marRight w:val="0"/>
          <w:marTop w:val="0"/>
          <w:marBottom w:val="0"/>
          <w:divBdr>
            <w:top w:val="none" w:sz="0" w:space="0" w:color="auto"/>
            <w:left w:val="none" w:sz="0" w:space="0" w:color="auto"/>
            <w:bottom w:val="none" w:sz="0" w:space="0" w:color="auto"/>
            <w:right w:val="none" w:sz="0" w:space="0" w:color="auto"/>
          </w:divBdr>
        </w:div>
        <w:div w:id="2024701411">
          <w:marLeft w:val="0"/>
          <w:marRight w:val="0"/>
          <w:marTop w:val="0"/>
          <w:marBottom w:val="0"/>
          <w:divBdr>
            <w:top w:val="none" w:sz="0" w:space="0" w:color="auto"/>
            <w:left w:val="none" w:sz="0" w:space="0" w:color="auto"/>
            <w:bottom w:val="none" w:sz="0" w:space="0" w:color="auto"/>
            <w:right w:val="none" w:sz="0" w:space="0" w:color="auto"/>
          </w:divBdr>
        </w:div>
        <w:div w:id="2024701412">
          <w:marLeft w:val="0"/>
          <w:marRight w:val="0"/>
          <w:marTop w:val="0"/>
          <w:marBottom w:val="0"/>
          <w:divBdr>
            <w:top w:val="none" w:sz="0" w:space="0" w:color="auto"/>
            <w:left w:val="none" w:sz="0" w:space="0" w:color="auto"/>
            <w:bottom w:val="none" w:sz="0" w:space="0" w:color="auto"/>
            <w:right w:val="none" w:sz="0" w:space="0" w:color="auto"/>
          </w:divBdr>
        </w:div>
        <w:div w:id="2024701413">
          <w:marLeft w:val="0"/>
          <w:marRight w:val="0"/>
          <w:marTop w:val="0"/>
          <w:marBottom w:val="0"/>
          <w:divBdr>
            <w:top w:val="none" w:sz="0" w:space="0" w:color="auto"/>
            <w:left w:val="none" w:sz="0" w:space="0" w:color="auto"/>
            <w:bottom w:val="none" w:sz="0" w:space="0" w:color="auto"/>
            <w:right w:val="none" w:sz="0" w:space="0" w:color="auto"/>
          </w:divBdr>
        </w:div>
        <w:div w:id="2024701414">
          <w:marLeft w:val="0"/>
          <w:marRight w:val="0"/>
          <w:marTop w:val="0"/>
          <w:marBottom w:val="0"/>
          <w:divBdr>
            <w:top w:val="none" w:sz="0" w:space="0" w:color="auto"/>
            <w:left w:val="none" w:sz="0" w:space="0" w:color="auto"/>
            <w:bottom w:val="none" w:sz="0" w:space="0" w:color="auto"/>
            <w:right w:val="none" w:sz="0" w:space="0" w:color="auto"/>
          </w:divBdr>
        </w:div>
        <w:div w:id="2024701416">
          <w:marLeft w:val="0"/>
          <w:marRight w:val="0"/>
          <w:marTop w:val="0"/>
          <w:marBottom w:val="0"/>
          <w:divBdr>
            <w:top w:val="none" w:sz="0" w:space="0" w:color="auto"/>
            <w:left w:val="none" w:sz="0" w:space="0" w:color="auto"/>
            <w:bottom w:val="none" w:sz="0" w:space="0" w:color="auto"/>
            <w:right w:val="none" w:sz="0" w:space="0" w:color="auto"/>
          </w:divBdr>
        </w:div>
        <w:div w:id="2024701417">
          <w:marLeft w:val="0"/>
          <w:marRight w:val="0"/>
          <w:marTop w:val="0"/>
          <w:marBottom w:val="0"/>
          <w:divBdr>
            <w:top w:val="none" w:sz="0" w:space="0" w:color="auto"/>
            <w:left w:val="none" w:sz="0" w:space="0" w:color="auto"/>
            <w:bottom w:val="none" w:sz="0" w:space="0" w:color="auto"/>
            <w:right w:val="none" w:sz="0" w:space="0" w:color="auto"/>
          </w:divBdr>
        </w:div>
        <w:div w:id="2024701420">
          <w:marLeft w:val="0"/>
          <w:marRight w:val="0"/>
          <w:marTop w:val="0"/>
          <w:marBottom w:val="0"/>
          <w:divBdr>
            <w:top w:val="none" w:sz="0" w:space="0" w:color="auto"/>
            <w:left w:val="none" w:sz="0" w:space="0" w:color="auto"/>
            <w:bottom w:val="none" w:sz="0" w:space="0" w:color="auto"/>
            <w:right w:val="none" w:sz="0" w:space="0" w:color="auto"/>
          </w:divBdr>
        </w:div>
        <w:div w:id="2024701421">
          <w:marLeft w:val="0"/>
          <w:marRight w:val="0"/>
          <w:marTop w:val="0"/>
          <w:marBottom w:val="0"/>
          <w:divBdr>
            <w:top w:val="none" w:sz="0" w:space="0" w:color="auto"/>
            <w:left w:val="none" w:sz="0" w:space="0" w:color="auto"/>
            <w:bottom w:val="none" w:sz="0" w:space="0" w:color="auto"/>
            <w:right w:val="none" w:sz="0" w:space="0" w:color="auto"/>
          </w:divBdr>
        </w:div>
        <w:div w:id="2024701422">
          <w:marLeft w:val="0"/>
          <w:marRight w:val="0"/>
          <w:marTop w:val="0"/>
          <w:marBottom w:val="0"/>
          <w:divBdr>
            <w:top w:val="none" w:sz="0" w:space="0" w:color="auto"/>
            <w:left w:val="none" w:sz="0" w:space="0" w:color="auto"/>
            <w:bottom w:val="none" w:sz="0" w:space="0" w:color="auto"/>
            <w:right w:val="none" w:sz="0" w:space="0" w:color="auto"/>
          </w:divBdr>
        </w:div>
        <w:div w:id="2024701423">
          <w:marLeft w:val="0"/>
          <w:marRight w:val="0"/>
          <w:marTop w:val="0"/>
          <w:marBottom w:val="0"/>
          <w:divBdr>
            <w:top w:val="none" w:sz="0" w:space="0" w:color="auto"/>
            <w:left w:val="none" w:sz="0" w:space="0" w:color="auto"/>
            <w:bottom w:val="none" w:sz="0" w:space="0" w:color="auto"/>
            <w:right w:val="none" w:sz="0" w:space="0" w:color="auto"/>
          </w:divBdr>
        </w:div>
        <w:div w:id="2024701424">
          <w:marLeft w:val="0"/>
          <w:marRight w:val="0"/>
          <w:marTop w:val="0"/>
          <w:marBottom w:val="0"/>
          <w:divBdr>
            <w:top w:val="none" w:sz="0" w:space="0" w:color="auto"/>
            <w:left w:val="none" w:sz="0" w:space="0" w:color="auto"/>
            <w:bottom w:val="none" w:sz="0" w:space="0" w:color="auto"/>
            <w:right w:val="none" w:sz="0" w:space="0" w:color="auto"/>
          </w:divBdr>
        </w:div>
        <w:div w:id="2024701425">
          <w:marLeft w:val="0"/>
          <w:marRight w:val="0"/>
          <w:marTop w:val="0"/>
          <w:marBottom w:val="0"/>
          <w:divBdr>
            <w:top w:val="none" w:sz="0" w:space="0" w:color="auto"/>
            <w:left w:val="none" w:sz="0" w:space="0" w:color="auto"/>
            <w:bottom w:val="none" w:sz="0" w:space="0" w:color="auto"/>
            <w:right w:val="none" w:sz="0" w:space="0" w:color="auto"/>
          </w:divBdr>
        </w:div>
        <w:div w:id="2024701426">
          <w:marLeft w:val="0"/>
          <w:marRight w:val="0"/>
          <w:marTop w:val="0"/>
          <w:marBottom w:val="0"/>
          <w:divBdr>
            <w:top w:val="none" w:sz="0" w:space="0" w:color="auto"/>
            <w:left w:val="none" w:sz="0" w:space="0" w:color="auto"/>
            <w:bottom w:val="none" w:sz="0" w:space="0" w:color="auto"/>
            <w:right w:val="none" w:sz="0" w:space="0" w:color="auto"/>
          </w:divBdr>
        </w:div>
        <w:div w:id="2024701427">
          <w:marLeft w:val="0"/>
          <w:marRight w:val="0"/>
          <w:marTop w:val="0"/>
          <w:marBottom w:val="0"/>
          <w:divBdr>
            <w:top w:val="none" w:sz="0" w:space="0" w:color="auto"/>
            <w:left w:val="none" w:sz="0" w:space="0" w:color="auto"/>
            <w:bottom w:val="none" w:sz="0" w:space="0" w:color="auto"/>
            <w:right w:val="none" w:sz="0" w:space="0" w:color="auto"/>
          </w:divBdr>
        </w:div>
        <w:div w:id="2024701428">
          <w:marLeft w:val="0"/>
          <w:marRight w:val="0"/>
          <w:marTop w:val="0"/>
          <w:marBottom w:val="0"/>
          <w:divBdr>
            <w:top w:val="none" w:sz="0" w:space="0" w:color="auto"/>
            <w:left w:val="none" w:sz="0" w:space="0" w:color="auto"/>
            <w:bottom w:val="none" w:sz="0" w:space="0" w:color="auto"/>
            <w:right w:val="none" w:sz="0" w:space="0" w:color="auto"/>
          </w:divBdr>
        </w:div>
        <w:div w:id="2024701429">
          <w:marLeft w:val="0"/>
          <w:marRight w:val="0"/>
          <w:marTop w:val="0"/>
          <w:marBottom w:val="0"/>
          <w:divBdr>
            <w:top w:val="none" w:sz="0" w:space="0" w:color="auto"/>
            <w:left w:val="none" w:sz="0" w:space="0" w:color="auto"/>
            <w:bottom w:val="none" w:sz="0" w:space="0" w:color="auto"/>
            <w:right w:val="none" w:sz="0" w:space="0" w:color="auto"/>
          </w:divBdr>
        </w:div>
        <w:div w:id="2024701430">
          <w:marLeft w:val="0"/>
          <w:marRight w:val="0"/>
          <w:marTop w:val="0"/>
          <w:marBottom w:val="0"/>
          <w:divBdr>
            <w:top w:val="none" w:sz="0" w:space="0" w:color="auto"/>
            <w:left w:val="none" w:sz="0" w:space="0" w:color="auto"/>
            <w:bottom w:val="none" w:sz="0" w:space="0" w:color="auto"/>
            <w:right w:val="none" w:sz="0" w:space="0" w:color="auto"/>
          </w:divBdr>
        </w:div>
        <w:div w:id="2024701431">
          <w:marLeft w:val="0"/>
          <w:marRight w:val="0"/>
          <w:marTop w:val="0"/>
          <w:marBottom w:val="0"/>
          <w:divBdr>
            <w:top w:val="none" w:sz="0" w:space="0" w:color="auto"/>
            <w:left w:val="none" w:sz="0" w:space="0" w:color="auto"/>
            <w:bottom w:val="none" w:sz="0" w:space="0" w:color="auto"/>
            <w:right w:val="none" w:sz="0" w:space="0" w:color="auto"/>
          </w:divBdr>
        </w:div>
        <w:div w:id="2024701432">
          <w:marLeft w:val="0"/>
          <w:marRight w:val="0"/>
          <w:marTop w:val="0"/>
          <w:marBottom w:val="0"/>
          <w:divBdr>
            <w:top w:val="none" w:sz="0" w:space="0" w:color="auto"/>
            <w:left w:val="none" w:sz="0" w:space="0" w:color="auto"/>
            <w:bottom w:val="none" w:sz="0" w:space="0" w:color="auto"/>
            <w:right w:val="none" w:sz="0" w:space="0" w:color="auto"/>
          </w:divBdr>
        </w:div>
        <w:div w:id="2024701433">
          <w:marLeft w:val="0"/>
          <w:marRight w:val="0"/>
          <w:marTop w:val="0"/>
          <w:marBottom w:val="0"/>
          <w:divBdr>
            <w:top w:val="none" w:sz="0" w:space="0" w:color="auto"/>
            <w:left w:val="none" w:sz="0" w:space="0" w:color="auto"/>
            <w:bottom w:val="none" w:sz="0" w:space="0" w:color="auto"/>
            <w:right w:val="none" w:sz="0" w:space="0" w:color="auto"/>
          </w:divBdr>
        </w:div>
        <w:div w:id="2024701434">
          <w:marLeft w:val="0"/>
          <w:marRight w:val="0"/>
          <w:marTop w:val="0"/>
          <w:marBottom w:val="0"/>
          <w:divBdr>
            <w:top w:val="none" w:sz="0" w:space="0" w:color="auto"/>
            <w:left w:val="none" w:sz="0" w:space="0" w:color="auto"/>
            <w:bottom w:val="none" w:sz="0" w:space="0" w:color="auto"/>
            <w:right w:val="none" w:sz="0" w:space="0" w:color="auto"/>
          </w:divBdr>
        </w:div>
        <w:div w:id="2024701435">
          <w:marLeft w:val="0"/>
          <w:marRight w:val="0"/>
          <w:marTop w:val="0"/>
          <w:marBottom w:val="0"/>
          <w:divBdr>
            <w:top w:val="none" w:sz="0" w:space="0" w:color="auto"/>
            <w:left w:val="none" w:sz="0" w:space="0" w:color="auto"/>
            <w:bottom w:val="none" w:sz="0" w:space="0" w:color="auto"/>
            <w:right w:val="none" w:sz="0" w:space="0" w:color="auto"/>
          </w:divBdr>
        </w:div>
        <w:div w:id="2024701436">
          <w:marLeft w:val="0"/>
          <w:marRight w:val="0"/>
          <w:marTop w:val="0"/>
          <w:marBottom w:val="0"/>
          <w:divBdr>
            <w:top w:val="none" w:sz="0" w:space="0" w:color="auto"/>
            <w:left w:val="none" w:sz="0" w:space="0" w:color="auto"/>
            <w:bottom w:val="none" w:sz="0" w:space="0" w:color="auto"/>
            <w:right w:val="none" w:sz="0" w:space="0" w:color="auto"/>
          </w:divBdr>
        </w:div>
        <w:div w:id="2024701437">
          <w:marLeft w:val="0"/>
          <w:marRight w:val="0"/>
          <w:marTop w:val="0"/>
          <w:marBottom w:val="0"/>
          <w:divBdr>
            <w:top w:val="none" w:sz="0" w:space="0" w:color="auto"/>
            <w:left w:val="none" w:sz="0" w:space="0" w:color="auto"/>
            <w:bottom w:val="none" w:sz="0" w:space="0" w:color="auto"/>
            <w:right w:val="none" w:sz="0" w:space="0" w:color="auto"/>
          </w:divBdr>
        </w:div>
        <w:div w:id="2024701438">
          <w:marLeft w:val="0"/>
          <w:marRight w:val="0"/>
          <w:marTop w:val="0"/>
          <w:marBottom w:val="0"/>
          <w:divBdr>
            <w:top w:val="none" w:sz="0" w:space="0" w:color="auto"/>
            <w:left w:val="none" w:sz="0" w:space="0" w:color="auto"/>
            <w:bottom w:val="none" w:sz="0" w:space="0" w:color="auto"/>
            <w:right w:val="none" w:sz="0" w:space="0" w:color="auto"/>
          </w:divBdr>
        </w:div>
        <w:div w:id="2024701439">
          <w:marLeft w:val="0"/>
          <w:marRight w:val="0"/>
          <w:marTop w:val="0"/>
          <w:marBottom w:val="0"/>
          <w:divBdr>
            <w:top w:val="none" w:sz="0" w:space="0" w:color="auto"/>
            <w:left w:val="none" w:sz="0" w:space="0" w:color="auto"/>
            <w:bottom w:val="none" w:sz="0" w:space="0" w:color="auto"/>
            <w:right w:val="none" w:sz="0" w:space="0" w:color="auto"/>
          </w:divBdr>
        </w:div>
        <w:div w:id="2024701440">
          <w:marLeft w:val="0"/>
          <w:marRight w:val="0"/>
          <w:marTop w:val="0"/>
          <w:marBottom w:val="0"/>
          <w:divBdr>
            <w:top w:val="none" w:sz="0" w:space="0" w:color="auto"/>
            <w:left w:val="none" w:sz="0" w:space="0" w:color="auto"/>
            <w:bottom w:val="none" w:sz="0" w:space="0" w:color="auto"/>
            <w:right w:val="none" w:sz="0" w:space="0" w:color="auto"/>
          </w:divBdr>
        </w:div>
        <w:div w:id="2024701441">
          <w:marLeft w:val="0"/>
          <w:marRight w:val="0"/>
          <w:marTop w:val="0"/>
          <w:marBottom w:val="0"/>
          <w:divBdr>
            <w:top w:val="none" w:sz="0" w:space="0" w:color="auto"/>
            <w:left w:val="none" w:sz="0" w:space="0" w:color="auto"/>
            <w:bottom w:val="none" w:sz="0" w:space="0" w:color="auto"/>
            <w:right w:val="none" w:sz="0" w:space="0" w:color="auto"/>
          </w:divBdr>
        </w:div>
        <w:div w:id="2024701442">
          <w:marLeft w:val="0"/>
          <w:marRight w:val="0"/>
          <w:marTop w:val="0"/>
          <w:marBottom w:val="0"/>
          <w:divBdr>
            <w:top w:val="none" w:sz="0" w:space="0" w:color="auto"/>
            <w:left w:val="none" w:sz="0" w:space="0" w:color="auto"/>
            <w:bottom w:val="none" w:sz="0" w:space="0" w:color="auto"/>
            <w:right w:val="none" w:sz="0" w:space="0" w:color="auto"/>
          </w:divBdr>
        </w:div>
        <w:div w:id="2024701443">
          <w:marLeft w:val="0"/>
          <w:marRight w:val="0"/>
          <w:marTop w:val="0"/>
          <w:marBottom w:val="0"/>
          <w:divBdr>
            <w:top w:val="none" w:sz="0" w:space="0" w:color="auto"/>
            <w:left w:val="none" w:sz="0" w:space="0" w:color="auto"/>
            <w:bottom w:val="none" w:sz="0" w:space="0" w:color="auto"/>
            <w:right w:val="none" w:sz="0" w:space="0" w:color="auto"/>
          </w:divBdr>
        </w:div>
        <w:div w:id="2024701444">
          <w:marLeft w:val="0"/>
          <w:marRight w:val="0"/>
          <w:marTop w:val="0"/>
          <w:marBottom w:val="0"/>
          <w:divBdr>
            <w:top w:val="none" w:sz="0" w:space="0" w:color="auto"/>
            <w:left w:val="none" w:sz="0" w:space="0" w:color="auto"/>
            <w:bottom w:val="none" w:sz="0" w:space="0" w:color="auto"/>
            <w:right w:val="none" w:sz="0" w:space="0" w:color="auto"/>
          </w:divBdr>
        </w:div>
        <w:div w:id="2024701445">
          <w:marLeft w:val="0"/>
          <w:marRight w:val="0"/>
          <w:marTop w:val="0"/>
          <w:marBottom w:val="0"/>
          <w:divBdr>
            <w:top w:val="none" w:sz="0" w:space="0" w:color="auto"/>
            <w:left w:val="none" w:sz="0" w:space="0" w:color="auto"/>
            <w:bottom w:val="none" w:sz="0" w:space="0" w:color="auto"/>
            <w:right w:val="none" w:sz="0" w:space="0" w:color="auto"/>
          </w:divBdr>
        </w:div>
        <w:div w:id="2024701446">
          <w:marLeft w:val="0"/>
          <w:marRight w:val="0"/>
          <w:marTop w:val="0"/>
          <w:marBottom w:val="0"/>
          <w:divBdr>
            <w:top w:val="none" w:sz="0" w:space="0" w:color="auto"/>
            <w:left w:val="none" w:sz="0" w:space="0" w:color="auto"/>
            <w:bottom w:val="none" w:sz="0" w:space="0" w:color="auto"/>
            <w:right w:val="none" w:sz="0" w:space="0" w:color="auto"/>
          </w:divBdr>
        </w:div>
        <w:div w:id="2024701447">
          <w:marLeft w:val="0"/>
          <w:marRight w:val="0"/>
          <w:marTop w:val="0"/>
          <w:marBottom w:val="0"/>
          <w:divBdr>
            <w:top w:val="none" w:sz="0" w:space="0" w:color="auto"/>
            <w:left w:val="none" w:sz="0" w:space="0" w:color="auto"/>
            <w:bottom w:val="none" w:sz="0" w:space="0" w:color="auto"/>
            <w:right w:val="none" w:sz="0" w:space="0" w:color="auto"/>
          </w:divBdr>
        </w:div>
        <w:div w:id="2024701448">
          <w:marLeft w:val="0"/>
          <w:marRight w:val="0"/>
          <w:marTop w:val="0"/>
          <w:marBottom w:val="0"/>
          <w:divBdr>
            <w:top w:val="none" w:sz="0" w:space="0" w:color="auto"/>
            <w:left w:val="none" w:sz="0" w:space="0" w:color="auto"/>
            <w:bottom w:val="none" w:sz="0" w:space="0" w:color="auto"/>
            <w:right w:val="none" w:sz="0" w:space="0" w:color="auto"/>
          </w:divBdr>
        </w:div>
        <w:div w:id="2024701449">
          <w:marLeft w:val="0"/>
          <w:marRight w:val="0"/>
          <w:marTop w:val="0"/>
          <w:marBottom w:val="0"/>
          <w:divBdr>
            <w:top w:val="none" w:sz="0" w:space="0" w:color="auto"/>
            <w:left w:val="none" w:sz="0" w:space="0" w:color="auto"/>
            <w:bottom w:val="none" w:sz="0" w:space="0" w:color="auto"/>
            <w:right w:val="none" w:sz="0" w:space="0" w:color="auto"/>
          </w:divBdr>
        </w:div>
        <w:div w:id="2024701450">
          <w:marLeft w:val="0"/>
          <w:marRight w:val="0"/>
          <w:marTop w:val="0"/>
          <w:marBottom w:val="0"/>
          <w:divBdr>
            <w:top w:val="none" w:sz="0" w:space="0" w:color="auto"/>
            <w:left w:val="none" w:sz="0" w:space="0" w:color="auto"/>
            <w:bottom w:val="none" w:sz="0" w:space="0" w:color="auto"/>
            <w:right w:val="none" w:sz="0" w:space="0" w:color="auto"/>
          </w:divBdr>
        </w:div>
        <w:div w:id="2024701451">
          <w:marLeft w:val="0"/>
          <w:marRight w:val="0"/>
          <w:marTop w:val="0"/>
          <w:marBottom w:val="0"/>
          <w:divBdr>
            <w:top w:val="none" w:sz="0" w:space="0" w:color="auto"/>
            <w:left w:val="none" w:sz="0" w:space="0" w:color="auto"/>
            <w:bottom w:val="none" w:sz="0" w:space="0" w:color="auto"/>
            <w:right w:val="none" w:sz="0" w:space="0" w:color="auto"/>
          </w:divBdr>
        </w:div>
        <w:div w:id="2024701452">
          <w:marLeft w:val="0"/>
          <w:marRight w:val="0"/>
          <w:marTop w:val="0"/>
          <w:marBottom w:val="0"/>
          <w:divBdr>
            <w:top w:val="none" w:sz="0" w:space="0" w:color="auto"/>
            <w:left w:val="none" w:sz="0" w:space="0" w:color="auto"/>
            <w:bottom w:val="none" w:sz="0" w:space="0" w:color="auto"/>
            <w:right w:val="none" w:sz="0" w:space="0" w:color="auto"/>
          </w:divBdr>
        </w:div>
        <w:div w:id="2024701453">
          <w:marLeft w:val="0"/>
          <w:marRight w:val="0"/>
          <w:marTop w:val="0"/>
          <w:marBottom w:val="0"/>
          <w:divBdr>
            <w:top w:val="none" w:sz="0" w:space="0" w:color="auto"/>
            <w:left w:val="none" w:sz="0" w:space="0" w:color="auto"/>
            <w:bottom w:val="none" w:sz="0" w:space="0" w:color="auto"/>
            <w:right w:val="none" w:sz="0" w:space="0" w:color="auto"/>
          </w:divBdr>
        </w:div>
        <w:div w:id="2024701454">
          <w:marLeft w:val="0"/>
          <w:marRight w:val="0"/>
          <w:marTop w:val="0"/>
          <w:marBottom w:val="0"/>
          <w:divBdr>
            <w:top w:val="none" w:sz="0" w:space="0" w:color="auto"/>
            <w:left w:val="none" w:sz="0" w:space="0" w:color="auto"/>
            <w:bottom w:val="none" w:sz="0" w:space="0" w:color="auto"/>
            <w:right w:val="none" w:sz="0" w:space="0" w:color="auto"/>
          </w:divBdr>
        </w:div>
        <w:div w:id="2024701455">
          <w:marLeft w:val="0"/>
          <w:marRight w:val="0"/>
          <w:marTop w:val="0"/>
          <w:marBottom w:val="0"/>
          <w:divBdr>
            <w:top w:val="none" w:sz="0" w:space="0" w:color="auto"/>
            <w:left w:val="none" w:sz="0" w:space="0" w:color="auto"/>
            <w:bottom w:val="none" w:sz="0" w:space="0" w:color="auto"/>
            <w:right w:val="none" w:sz="0" w:space="0" w:color="auto"/>
          </w:divBdr>
        </w:div>
        <w:div w:id="2024701456">
          <w:marLeft w:val="0"/>
          <w:marRight w:val="0"/>
          <w:marTop w:val="0"/>
          <w:marBottom w:val="0"/>
          <w:divBdr>
            <w:top w:val="none" w:sz="0" w:space="0" w:color="auto"/>
            <w:left w:val="none" w:sz="0" w:space="0" w:color="auto"/>
            <w:bottom w:val="none" w:sz="0" w:space="0" w:color="auto"/>
            <w:right w:val="none" w:sz="0" w:space="0" w:color="auto"/>
          </w:divBdr>
        </w:div>
        <w:div w:id="2024701457">
          <w:marLeft w:val="0"/>
          <w:marRight w:val="0"/>
          <w:marTop w:val="0"/>
          <w:marBottom w:val="0"/>
          <w:divBdr>
            <w:top w:val="none" w:sz="0" w:space="0" w:color="auto"/>
            <w:left w:val="none" w:sz="0" w:space="0" w:color="auto"/>
            <w:bottom w:val="none" w:sz="0" w:space="0" w:color="auto"/>
            <w:right w:val="none" w:sz="0" w:space="0" w:color="auto"/>
          </w:divBdr>
        </w:div>
        <w:div w:id="2024701458">
          <w:marLeft w:val="0"/>
          <w:marRight w:val="0"/>
          <w:marTop w:val="0"/>
          <w:marBottom w:val="0"/>
          <w:divBdr>
            <w:top w:val="none" w:sz="0" w:space="0" w:color="auto"/>
            <w:left w:val="none" w:sz="0" w:space="0" w:color="auto"/>
            <w:bottom w:val="none" w:sz="0" w:space="0" w:color="auto"/>
            <w:right w:val="none" w:sz="0" w:space="0" w:color="auto"/>
          </w:divBdr>
        </w:div>
        <w:div w:id="2024701459">
          <w:marLeft w:val="0"/>
          <w:marRight w:val="0"/>
          <w:marTop w:val="0"/>
          <w:marBottom w:val="0"/>
          <w:divBdr>
            <w:top w:val="none" w:sz="0" w:space="0" w:color="auto"/>
            <w:left w:val="none" w:sz="0" w:space="0" w:color="auto"/>
            <w:bottom w:val="none" w:sz="0" w:space="0" w:color="auto"/>
            <w:right w:val="none" w:sz="0" w:space="0" w:color="auto"/>
          </w:divBdr>
        </w:div>
        <w:div w:id="2024701460">
          <w:marLeft w:val="0"/>
          <w:marRight w:val="0"/>
          <w:marTop w:val="0"/>
          <w:marBottom w:val="0"/>
          <w:divBdr>
            <w:top w:val="none" w:sz="0" w:space="0" w:color="auto"/>
            <w:left w:val="none" w:sz="0" w:space="0" w:color="auto"/>
            <w:bottom w:val="none" w:sz="0" w:space="0" w:color="auto"/>
            <w:right w:val="none" w:sz="0" w:space="0" w:color="auto"/>
          </w:divBdr>
        </w:div>
        <w:div w:id="2024701461">
          <w:marLeft w:val="0"/>
          <w:marRight w:val="0"/>
          <w:marTop w:val="0"/>
          <w:marBottom w:val="0"/>
          <w:divBdr>
            <w:top w:val="none" w:sz="0" w:space="0" w:color="auto"/>
            <w:left w:val="none" w:sz="0" w:space="0" w:color="auto"/>
            <w:bottom w:val="none" w:sz="0" w:space="0" w:color="auto"/>
            <w:right w:val="none" w:sz="0" w:space="0" w:color="auto"/>
          </w:divBdr>
        </w:div>
        <w:div w:id="2024701462">
          <w:marLeft w:val="0"/>
          <w:marRight w:val="0"/>
          <w:marTop w:val="0"/>
          <w:marBottom w:val="0"/>
          <w:divBdr>
            <w:top w:val="none" w:sz="0" w:space="0" w:color="auto"/>
            <w:left w:val="none" w:sz="0" w:space="0" w:color="auto"/>
            <w:bottom w:val="none" w:sz="0" w:space="0" w:color="auto"/>
            <w:right w:val="none" w:sz="0" w:space="0" w:color="auto"/>
          </w:divBdr>
        </w:div>
        <w:div w:id="2024701463">
          <w:marLeft w:val="0"/>
          <w:marRight w:val="0"/>
          <w:marTop w:val="0"/>
          <w:marBottom w:val="0"/>
          <w:divBdr>
            <w:top w:val="none" w:sz="0" w:space="0" w:color="auto"/>
            <w:left w:val="none" w:sz="0" w:space="0" w:color="auto"/>
            <w:bottom w:val="none" w:sz="0" w:space="0" w:color="auto"/>
            <w:right w:val="none" w:sz="0" w:space="0" w:color="auto"/>
          </w:divBdr>
        </w:div>
        <w:div w:id="2024701464">
          <w:marLeft w:val="0"/>
          <w:marRight w:val="0"/>
          <w:marTop w:val="0"/>
          <w:marBottom w:val="0"/>
          <w:divBdr>
            <w:top w:val="none" w:sz="0" w:space="0" w:color="auto"/>
            <w:left w:val="none" w:sz="0" w:space="0" w:color="auto"/>
            <w:bottom w:val="none" w:sz="0" w:space="0" w:color="auto"/>
            <w:right w:val="none" w:sz="0" w:space="0" w:color="auto"/>
          </w:divBdr>
        </w:div>
        <w:div w:id="2024701465">
          <w:marLeft w:val="0"/>
          <w:marRight w:val="0"/>
          <w:marTop w:val="0"/>
          <w:marBottom w:val="0"/>
          <w:divBdr>
            <w:top w:val="none" w:sz="0" w:space="0" w:color="auto"/>
            <w:left w:val="none" w:sz="0" w:space="0" w:color="auto"/>
            <w:bottom w:val="none" w:sz="0" w:space="0" w:color="auto"/>
            <w:right w:val="none" w:sz="0" w:space="0" w:color="auto"/>
          </w:divBdr>
        </w:div>
        <w:div w:id="2024701466">
          <w:marLeft w:val="0"/>
          <w:marRight w:val="0"/>
          <w:marTop w:val="0"/>
          <w:marBottom w:val="0"/>
          <w:divBdr>
            <w:top w:val="none" w:sz="0" w:space="0" w:color="auto"/>
            <w:left w:val="none" w:sz="0" w:space="0" w:color="auto"/>
            <w:bottom w:val="none" w:sz="0" w:space="0" w:color="auto"/>
            <w:right w:val="none" w:sz="0" w:space="0" w:color="auto"/>
          </w:divBdr>
        </w:div>
        <w:div w:id="2024701467">
          <w:marLeft w:val="0"/>
          <w:marRight w:val="0"/>
          <w:marTop w:val="0"/>
          <w:marBottom w:val="0"/>
          <w:divBdr>
            <w:top w:val="none" w:sz="0" w:space="0" w:color="auto"/>
            <w:left w:val="none" w:sz="0" w:space="0" w:color="auto"/>
            <w:bottom w:val="none" w:sz="0" w:space="0" w:color="auto"/>
            <w:right w:val="none" w:sz="0" w:space="0" w:color="auto"/>
          </w:divBdr>
        </w:div>
        <w:div w:id="2024701468">
          <w:marLeft w:val="0"/>
          <w:marRight w:val="0"/>
          <w:marTop w:val="0"/>
          <w:marBottom w:val="0"/>
          <w:divBdr>
            <w:top w:val="none" w:sz="0" w:space="0" w:color="auto"/>
            <w:left w:val="none" w:sz="0" w:space="0" w:color="auto"/>
            <w:bottom w:val="none" w:sz="0" w:space="0" w:color="auto"/>
            <w:right w:val="none" w:sz="0" w:space="0" w:color="auto"/>
          </w:divBdr>
        </w:div>
        <w:div w:id="2024701469">
          <w:marLeft w:val="0"/>
          <w:marRight w:val="0"/>
          <w:marTop w:val="0"/>
          <w:marBottom w:val="0"/>
          <w:divBdr>
            <w:top w:val="none" w:sz="0" w:space="0" w:color="auto"/>
            <w:left w:val="none" w:sz="0" w:space="0" w:color="auto"/>
            <w:bottom w:val="none" w:sz="0" w:space="0" w:color="auto"/>
            <w:right w:val="none" w:sz="0" w:space="0" w:color="auto"/>
          </w:divBdr>
        </w:div>
        <w:div w:id="2024701470">
          <w:marLeft w:val="0"/>
          <w:marRight w:val="0"/>
          <w:marTop w:val="0"/>
          <w:marBottom w:val="0"/>
          <w:divBdr>
            <w:top w:val="none" w:sz="0" w:space="0" w:color="auto"/>
            <w:left w:val="none" w:sz="0" w:space="0" w:color="auto"/>
            <w:bottom w:val="none" w:sz="0" w:space="0" w:color="auto"/>
            <w:right w:val="none" w:sz="0" w:space="0" w:color="auto"/>
          </w:divBdr>
        </w:div>
        <w:div w:id="2024701471">
          <w:marLeft w:val="0"/>
          <w:marRight w:val="0"/>
          <w:marTop w:val="0"/>
          <w:marBottom w:val="0"/>
          <w:divBdr>
            <w:top w:val="none" w:sz="0" w:space="0" w:color="auto"/>
            <w:left w:val="none" w:sz="0" w:space="0" w:color="auto"/>
            <w:bottom w:val="none" w:sz="0" w:space="0" w:color="auto"/>
            <w:right w:val="none" w:sz="0" w:space="0" w:color="auto"/>
          </w:divBdr>
        </w:div>
        <w:div w:id="2024701472">
          <w:marLeft w:val="0"/>
          <w:marRight w:val="0"/>
          <w:marTop w:val="0"/>
          <w:marBottom w:val="0"/>
          <w:divBdr>
            <w:top w:val="none" w:sz="0" w:space="0" w:color="auto"/>
            <w:left w:val="none" w:sz="0" w:space="0" w:color="auto"/>
            <w:bottom w:val="none" w:sz="0" w:space="0" w:color="auto"/>
            <w:right w:val="none" w:sz="0" w:space="0" w:color="auto"/>
          </w:divBdr>
        </w:div>
        <w:div w:id="2024701473">
          <w:marLeft w:val="0"/>
          <w:marRight w:val="0"/>
          <w:marTop w:val="0"/>
          <w:marBottom w:val="0"/>
          <w:divBdr>
            <w:top w:val="none" w:sz="0" w:space="0" w:color="auto"/>
            <w:left w:val="none" w:sz="0" w:space="0" w:color="auto"/>
            <w:bottom w:val="none" w:sz="0" w:space="0" w:color="auto"/>
            <w:right w:val="none" w:sz="0" w:space="0" w:color="auto"/>
          </w:divBdr>
        </w:div>
        <w:div w:id="2024701474">
          <w:marLeft w:val="0"/>
          <w:marRight w:val="0"/>
          <w:marTop w:val="0"/>
          <w:marBottom w:val="0"/>
          <w:divBdr>
            <w:top w:val="none" w:sz="0" w:space="0" w:color="auto"/>
            <w:left w:val="none" w:sz="0" w:space="0" w:color="auto"/>
            <w:bottom w:val="none" w:sz="0" w:space="0" w:color="auto"/>
            <w:right w:val="none" w:sz="0" w:space="0" w:color="auto"/>
          </w:divBdr>
        </w:div>
        <w:div w:id="2024701475">
          <w:marLeft w:val="0"/>
          <w:marRight w:val="0"/>
          <w:marTop w:val="0"/>
          <w:marBottom w:val="0"/>
          <w:divBdr>
            <w:top w:val="none" w:sz="0" w:space="0" w:color="auto"/>
            <w:left w:val="none" w:sz="0" w:space="0" w:color="auto"/>
            <w:bottom w:val="none" w:sz="0" w:space="0" w:color="auto"/>
            <w:right w:val="none" w:sz="0" w:space="0" w:color="auto"/>
          </w:divBdr>
        </w:div>
        <w:div w:id="2024701476">
          <w:marLeft w:val="0"/>
          <w:marRight w:val="0"/>
          <w:marTop w:val="0"/>
          <w:marBottom w:val="0"/>
          <w:divBdr>
            <w:top w:val="none" w:sz="0" w:space="0" w:color="auto"/>
            <w:left w:val="none" w:sz="0" w:space="0" w:color="auto"/>
            <w:bottom w:val="none" w:sz="0" w:space="0" w:color="auto"/>
            <w:right w:val="none" w:sz="0" w:space="0" w:color="auto"/>
          </w:divBdr>
        </w:div>
        <w:div w:id="2024701477">
          <w:marLeft w:val="0"/>
          <w:marRight w:val="0"/>
          <w:marTop w:val="0"/>
          <w:marBottom w:val="0"/>
          <w:divBdr>
            <w:top w:val="none" w:sz="0" w:space="0" w:color="auto"/>
            <w:left w:val="none" w:sz="0" w:space="0" w:color="auto"/>
            <w:bottom w:val="none" w:sz="0" w:space="0" w:color="auto"/>
            <w:right w:val="none" w:sz="0" w:space="0" w:color="auto"/>
          </w:divBdr>
        </w:div>
        <w:div w:id="2024701478">
          <w:marLeft w:val="0"/>
          <w:marRight w:val="0"/>
          <w:marTop w:val="0"/>
          <w:marBottom w:val="0"/>
          <w:divBdr>
            <w:top w:val="none" w:sz="0" w:space="0" w:color="auto"/>
            <w:left w:val="none" w:sz="0" w:space="0" w:color="auto"/>
            <w:bottom w:val="none" w:sz="0" w:space="0" w:color="auto"/>
            <w:right w:val="none" w:sz="0" w:space="0" w:color="auto"/>
          </w:divBdr>
        </w:div>
        <w:div w:id="2024701479">
          <w:marLeft w:val="0"/>
          <w:marRight w:val="0"/>
          <w:marTop w:val="0"/>
          <w:marBottom w:val="0"/>
          <w:divBdr>
            <w:top w:val="none" w:sz="0" w:space="0" w:color="auto"/>
            <w:left w:val="none" w:sz="0" w:space="0" w:color="auto"/>
            <w:bottom w:val="none" w:sz="0" w:space="0" w:color="auto"/>
            <w:right w:val="none" w:sz="0" w:space="0" w:color="auto"/>
          </w:divBdr>
        </w:div>
        <w:div w:id="2024701480">
          <w:marLeft w:val="0"/>
          <w:marRight w:val="0"/>
          <w:marTop w:val="0"/>
          <w:marBottom w:val="0"/>
          <w:divBdr>
            <w:top w:val="none" w:sz="0" w:space="0" w:color="auto"/>
            <w:left w:val="none" w:sz="0" w:space="0" w:color="auto"/>
            <w:bottom w:val="none" w:sz="0" w:space="0" w:color="auto"/>
            <w:right w:val="none" w:sz="0" w:space="0" w:color="auto"/>
          </w:divBdr>
        </w:div>
        <w:div w:id="2024701481">
          <w:marLeft w:val="0"/>
          <w:marRight w:val="0"/>
          <w:marTop w:val="0"/>
          <w:marBottom w:val="0"/>
          <w:divBdr>
            <w:top w:val="none" w:sz="0" w:space="0" w:color="auto"/>
            <w:left w:val="none" w:sz="0" w:space="0" w:color="auto"/>
            <w:bottom w:val="none" w:sz="0" w:space="0" w:color="auto"/>
            <w:right w:val="none" w:sz="0" w:space="0" w:color="auto"/>
          </w:divBdr>
        </w:div>
        <w:div w:id="2024701483">
          <w:marLeft w:val="0"/>
          <w:marRight w:val="0"/>
          <w:marTop w:val="0"/>
          <w:marBottom w:val="0"/>
          <w:divBdr>
            <w:top w:val="none" w:sz="0" w:space="0" w:color="auto"/>
            <w:left w:val="none" w:sz="0" w:space="0" w:color="auto"/>
            <w:bottom w:val="none" w:sz="0" w:space="0" w:color="auto"/>
            <w:right w:val="none" w:sz="0" w:space="0" w:color="auto"/>
          </w:divBdr>
        </w:div>
        <w:div w:id="2024701484">
          <w:marLeft w:val="0"/>
          <w:marRight w:val="0"/>
          <w:marTop w:val="0"/>
          <w:marBottom w:val="0"/>
          <w:divBdr>
            <w:top w:val="none" w:sz="0" w:space="0" w:color="auto"/>
            <w:left w:val="none" w:sz="0" w:space="0" w:color="auto"/>
            <w:bottom w:val="none" w:sz="0" w:space="0" w:color="auto"/>
            <w:right w:val="none" w:sz="0" w:space="0" w:color="auto"/>
          </w:divBdr>
        </w:div>
        <w:div w:id="2024701485">
          <w:marLeft w:val="0"/>
          <w:marRight w:val="0"/>
          <w:marTop w:val="0"/>
          <w:marBottom w:val="0"/>
          <w:divBdr>
            <w:top w:val="none" w:sz="0" w:space="0" w:color="auto"/>
            <w:left w:val="none" w:sz="0" w:space="0" w:color="auto"/>
            <w:bottom w:val="none" w:sz="0" w:space="0" w:color="auto"/>
            <w:right w:val="none" w:sz="0" w:space="0" w:color="auto"/>
          </w:divBdr>
        </w:div>
        <w:div w:id="2024701486">
          <w:marLeft w:val="0"/>
          <w:marRight w:val="0"/>
          <w:marTop w:val="0"/>
          <w:marBottom w:val="0"/>
          <w:divBdr>
            <w:top w:val="none" w:sz="0" w:space="0" w:color="auto"/>
            <w:left w:val="none" w:sz="0" w:space="0" w:color="auto"/>
            <w:bottom w:val="none" w:sz="0" w:space="0" w:color="auto"/>
            <w:right w:val="none" w:sz="0" w:space="0" w:color="auto"/>
          </w:divBdr>
        </w:div>
        <w:div w:id="2024701487">
          <w:marLeft w:val="0"/>
          <w:marRight w:val="0"/>
          <w:marTop w:val="0"/>
          <w:marBottom w:val="0"/>
          <w:divBdr>
            <w:top w:val="none" w:sz="0" w:space="0" w:color="auto"/>
            <w:left w:val="none" w:sz="0" w:space="0" w:color="auto"/>
            <w:bottom w:val="none" w:sz="0" w:space="0" w:color="auto"/>
            <w:right w:val="none" w:sz="0" w:space="0" w:color="auto"/>
          </w:divBdr>
        </w:div>
        <w:div w:id="2024701488">
          <w:marLeft w:val="0"/>
          <w:marRight w:val="0"/>
          <w:marTop w:val="0"/>
          <w:marBottom w:val="0"/>
          <w:divBdr>
            <w:top w:val="none" w:sz="0" w:space="0" w:color="auto"/>
            <w:left w:val="none" w:sz="0" w:space="0" w:color="auto"/>
            <w:bottom w:val="none" w:sz="0" w:space="0" w:color="auto"/>
            <w:right w:val="none" w:sz="0" w:space="0" w:color="auto"/>
          </w:divBdr>
        </w:div>
        <w:div w:id="2024701489">
          <w:marLeft w:val="0"/>
          <w:marRight w:val="0"/>
          <w:marTop w:val="0"/>
          <w:marBottom w:val="0"/>
          <w:divBdr>
            <w:top w:val="none" w:sz="0" w:space="0" w:color="auto"/>
            <w:left w:val="none" w:sz="0" w:space="0" w:color="auto"/>
            <w:bottom w:val="none" w:sz="0" w:space="0" w:color="auto"/>
            <w:right w:val="none" w:sz="0" w:space="0" w:color="auto"/>
          </w:divBdr>
        </w:div>
        <w:div w:id="2024701490">
          <w:marLeft w:val="0"/>
          <w:marRight w:val="0"/>
          <w:marTop w:val="0"/>
          <w:marBottom w:val="0"/>
          <w:divBdr>
            <w:top w:val="none" w:sz="0" w:space="0" w:color="auto"/>
            <w:left w:val="none" w:sz="0" w:space="0" w:color="auto"/>
            <w:bottom w:val="none" w:sz="0" w:space="0" w:color="auto"/>
            <w:right w:val="none" w:sz="0" w:space="0" w:color="auto"/>
          </w:divBdr>
        </w:div>
        <w:div w:id="2024701491">
          <w:marLeft w:val="0"/>
          <w:marRight w:val="0"/>
          <w:marTop w:val="0"/>
          <w:marBottom w:val="0"/>
          <w:divBdr>
            <w:top w:val="none" w:sz="0" w:space="0" w:color="auto"/>
            <w:left w:val="none" w:sz="0" w:space="0" w:color="auto"/>
            <w:bottom w:val="none" w:sz="0" w:space="0" w:color="auto"/>
            <w:right w:val="none" w:sz="0" w:space="0" w:color="auto"/>
          </w:divBdr>
        </w:div>
        <w:div w:id="2024701492">
          <w:marLeft w:val="0"/>
          <w:marRight w:val="0"/>
          <w:marTop w:val="0"/>
          <w:marBottom w:val="0"/>
          <w:divBdr>
            <w:top w:val="none" w:sz="0" w:space="0" w:color="auto"/>
            <w:left w:val="none" w:sz="0" w:space="0" w:color="auto"/>
            <w:bottom w:val="none" w:sz="0" w:space="0" w:color="auto"/>
            <w:right w:val="none" w:sz="0" w:space="0" w:color="auto"/>
          </w:divBdr>
        </w:div>
        <w:div w:id="2024701493">
          <w:marLeft w:val="0"/>
          <w:marRight w:val="0"/>
          <w:marTop w:val="0"/>
          <w:marBottom w:val="0"/>
          <w:divBdr>
            <w:top w:val="none" w:sz="0" w:space="0" w:color="auto"/>
            <w:left w:val="none" w:sz="0" w:space="0" w:color="auto"/>
            <w:bottom w:val="none" w:sz="0" w:space="0" w:color="auto"/>
            <w:right w:val="none" w:sz="0" w:space="0" w:color="auto"/>
          </w:divBdr>
        </w:div>
        <w:div w:id="2024701494">
          <w:marLeft w:val="0"/>
          <w:marRight w:val="0"/>
          <w:marTop w:val="0"/>
          <w:marBottom w:val="0"/>
          <w:divBdr>
            <w:top w:val="none" w:sz="0" w:space="0" w:color="auto"/>
            <w:left w:val="none" w:sz="0" w:space="0" w:color="auto"/>
            <w:bottom w:val="none" w:sz="0" w:space="0" w:color="auto"/>
            <w:right w:val="none" w:sz="0" w:space="0" w:color="auto"/>
          </w:divBdr>
        </w:div>
        <w:div w:id="2024701495">
          <w:marLeft w:val="0"/>
          <w:marRight w:val="0"/>
          <w:marTop w:val="0"/>
          <w:marBottom w:val="0"/>
          <w:divBdr>
            <w:top w:val="none" w:sz="0" w:space="0" w:color="auto"/>
            <w:left w:val="none" w:sz="0" w:space="0" w:color="auto"/>
            <w:bottom w:val="none" w:sz="0" w:space="0" w:color="auto"/>
            <w:right w:val="none" w:sz="0" w:space="0" w:color="auto"/>
          </w:divBdr>
        </w:div>
        <w:div w:id="2024701496">
          <w:marLeft w:val="0"/>
          <w:marRight w:val="0"/>
          <w:marTop w:val="0"/>
          <w:marBottom w:val="0"/>
          <w:divBdr>
            <w:top w:val="none" w:sz="0" w:space="0" w:color="auto"/>
            <w:left w:val="none" w:sz="0" w:space="0" w:color="auto"/>
            <w:bottom w:val="none" w:sz="0" w:space="0" w:color="auto"/>
            <w:right w:val="none" w:sz="0" w:space="0" w:color="auto"/>
          </w:divBdr>
        </w:div>
        <w:div w:id="2024701497">
          <w:marLeft w:val="0"/>
          <w:marRight w:val="0"/>
          <w:marTop w:val="0"/>
          <w:marBottom w:val="0"/>
          <w:divBdr>
            <w:top w:val="none" w:sz="0" w:space="0" w:color="auto"/>
            <w:left w:val="none" w:sz="0" w:space="0" w:color="auto"/>
            <w:bottom w:val="none" w:sz="0" w:space="0" w:color="auto"/>
            <w:right w:val="none" w:sz="0" w:space="0" w:color="auto"/>
          </w:divBdr>
        </w:div>
        <w:div w:id="2024701498">
          <w:marLeft w:val="0"/>
          <w:marRight w:val="0"/>
          <w:marTop w:val="0"/>
          <w:marBottom w:val="0"/>
          <w:divBdr>
            <w:top w:val="none" w:sz="0" w:space="0" w:color="auto"/>
            <w:left w:val="none" w:sz="0" w:space="0" w:color="auto"/>
            <w:bottom w:val="none" w:sz="0" w:space="0" w:color="auto"/>
            <w:right w:val="none" w:sz="0" w:space="0" w:color="auto"/>
          </w:divBdr>
        </w:div>
        <w:div w:id="2024701499">
          <w:marLeft w:val="0"/>
          <w:marRight w:val="0"/>
          <w:marTop w:val="0"/>
          <w:marBottom w:val="0"/>
          <w:divBdr>
            <w:top w:val="none" w:sz="0" w:space="0" w:color="auto"/>
            <w:left w:val="none" w:sz="0" w:space="0" w:color="auto"/>
            <w:bottom w:val="none" w:sz="0" w:space="0" w:color="auto"/>
            <w:right w:val="none" w:sz="0" w:space="0" w:color="auto"/>
          </w:divBdr>
        </w:div>
        <w:div w:id="2024701500">
          <w:marLeft w:val="0"/>
          <w:marRight w:val="0"/>
          <w:marTop w:val="0"/>
          <w:marBottom w:val="0"/>
          <w:divBdr>
            <w:top w:val="none" w:sz="0" w:space="0" w:color="auto"/>
            <w:left w:val="none" w:sz="0" w:space="0" w:color="auto"/>
            <w:bottom w:val="none" w:sz="0" w:space="0" w:color="auto"/>
            <w:right w:val="none" w:sz="0" w:space="0" w:color="auto"/>
          </w:divBdr>
        </w:div>
        <w:div w:id="2024701501">
          <w:marLeft w:val="0"/>
          <w:marRight w:val="0"/>
          <w:marTop w:val="0"/>
          <w:marBottom w:val="0"/>
          <w:divBdr>
            <w:top w:val="none" w:sz="0" w:space="0" w:color="auto"/>
            <w:left w:val="none" w:sz="0" w:space="0" w:color="auto"/>
            <w:bottom w:val="none" w:sz="0" w:space="0" w:color="auto"/>
            <w:right w:val="none" w:sz="0" w:space="0" w:color="auto"/>
          </w:divBdr>
        </w:div>
        <w:div w:id="2024701502">
          <w:marLeft w:val="0"/>
          <w:marRight w:val="0"/>
          <w:marTop w:val="0"/>
          <w:marBottom w:val="0"/>
          <w:divBdr>
            <w:top w:val="none" w:sz="0" w:space="0" w:color="auto"/>
            <w:left w:val="none" w:sz="0" w:space="0" w:color="auto"/>
            <w:bottom w:val="none" w:sz="0" w:space="0" w:color="auto"/>
            <w:right w:val="none" w:sz="0" w:space="0" w:color="auto"/>
          </w:divBdr>
        </w:div>
        <w:div w:id="2024701503">
          <w:marLeft w:val="0"/>
          <w:marRight w:val="0"/>
          <w:marTop w:val="0"/>
          <w:marBottom w:val="0"/>
          <w:divBdr>
            <w:top w:val="none" w:sz="0" w:space="0" w:color="auto"/>
            <w:left w:val="none" w:sz="0" w:space="0" w:color="auto"/>
            <w:bottom w:val="none" w:sz="0" w:space="0" w:color="auto"/>
            <w:right w:val="none" w:sz="0" w:space="0" w:color="auto"/>
          </w:divBdr>
        </w:div>
        <w:div w:id="2024701505">
          <w:marLeft w:val="0"/>
          <w:marRight w:val="0"/>
          <w:marTop w:val="0"/>
          <w:marBottom w:val="0"/>
          <w:divBdr>
            <w:top w:val="none" w:sz="0" w:space="0" w:color="auto"/>
            <w:left w:val="none" w:sz="0" w:space="0" w:color="auto"/>
            <w:bottom w:val="none" w:sz="0" w:space="0" w:color="auto"/>
            <w:right w:val="none" w:sz="0" w:space="0" w:color="auto"/>
          </w:divBdr>
        </w:div>
        <w:div w:id="2024701506">
          <w:marLeft w:val="0"/>
          <w:marRight w:val="0"/>
          <w:marTop w:val="0"/>
          <w:marBottom w:val="0"/>
          <w:divBdr>
            <w:top w:val="none" w:sz="0" w:space="0" w:color="auto"/>
            <w:left w:val="none" w:sz="0" w:space="0" w:color="auto"/>
            <w:bottom w:val="none" w:sz="0" w:space="0" w:color="auto"/>
            <w:right w:val="none" w:sz="0" w:space="0" w:color="auto"/>
          </w:divBdr>
        </w:div>
        <w:div w:id="2024701507">
          <w:marLeft w:val="0"/>
          <w:marRight w:val="0"/>
          <w:marTop w:val="0"/>
          <w:marBottom w:val="0"/>
          <w:divBdr>
            <w:top w:val="none" w:sz="0" w:space="0" w:color="auto"/>
            <w:left w:val="none" w:sz="0" w:space="0" w:color="auto"/>
            <w:bottom w:val="none" w:sz="0" w:space="0" w:color="auto"/>
            <w:right w:val="none" w:sz="0" w:space="0" w:color="auto"/>
          </w:divBdr>
        </w:div>
        <w:div w:id="2024701508">
          <w:marLeft w:val="0"/>
          <w:marRight w:val="0"/>
          <w:marTop w:val="0"/>
          <w:marBottom w:val="0"/>
          <w:divBdr>
            <w:top w:val="none" w:sz="0" w:space="0" w:color="auto"/>
            <w:left w:val="none" w:sz="0" w:space="0" w:color="auto"/>
            <w:bottom w:val="none" w:sz="0" w:space="0" w:color="auto"/>
            <w:right w:val="none" w:sz="0" w:space="0" w:color="auto"/>
          </w:divBdr>
        </w:div>
        <w:div w:id="2024701509">
          <w:marLeft w:val="0"/>
          <w:marRight w:val="0"/>
          <w:marTop w:val="0"/>
          <w:marBottom w:val="0"/>
          <w:divBdr>
            <w:top w:val="none" w:sz="0" w:space="0" w:color="auto"/>
            <w:left w:val="none" w:sz="0" w:space="0" w:color="auto"/>
            <w:bottom w:val="none" w:sz="0" w:space="0" w:color="auto"/>
            <w:right w:val="none" w:sz="0" w:space="0" w:color="auto"/>
          </w:divBdr>
        </w:div>
        <w:div w:id="2024701510">
          <w:marLeft w:val="0"/>
          <w:marRight w:val="0"/>
          <w:marTop w:val="0"/>
          <w:marBottom w:val="0"/>
          <w:divBdr>
            <w:top w:val="none" w:sz="0" w:space="0" w:color="auto"/>
            <w:left w:val="none" w:sz="0" w:space="0" w:color="auto"/>
            <w:bottom w:val="none" w:sz="0" w:space="0" w:color="auto"/>
            <w:right w:val="none" w:sz="0" w:space="0" w:color="auto"/>
          </w:divBdr>
        </w:div>
        <w:div w:id="2024701511">
          <w:marLeft w:val="0"/>
          <w:marRight w:val="0"/>
          <w:marTop w:val="0"/>
          <w:marBottom w:val="0"/>
          <w:divBdr>
            <w:top w:val="none" w:sz="0" w:space="0" w:color="auto"/>
            <w:left w:val="none" w:sz="0" w:space="0" w:color="auto"/>
            <w:bottom w:val="none" w:sz="0" w:space="0" w:color="auto"/>
            <w:right w:val="none" w:sz="0" w:space="0" w:color="auto"/>
          </w:divBdr>
        </w:div>
        <w:div w:id="2024701512">
          <w:marLeft w:val="0"/>
          <w:marRight w:val="0"/>
          <w:marTop w:val="0"/>
          <w:marBottom w:val="0"/>
          <w:divBdr>
            <w:top w:val="none" w:sz="0" w:space="0" w:color="auto"/>
            <w:left w:val="none" w:sz="0" w:space="0" w:color="auto"/>
            <w:bottom w:val="none" w:sz="0" w:space="0" w:color="auto"/>
            <w:right w:val="none" w:sz="0" w:space="0" w:color="auto"/>
          </w:divBdr>
        </w:div>
        <w:div w:id="2024701513">
          <w:marLeft w:val="0"/>
          <w:marRight w:val="0"/>
          <w:marTop w:val="0"/>
          <w:marBottom w:val="0"/>
          <w:divBdr>
            <w:top w:val="none" w:sz="0" w:space="0" w:color="auto"/>
            <w:left w:val="none" w:sz="0" w:space="0" w:color="auto"/>
            <w:bottom w:val="none" w:sz="0" w:space="0" w:color="auto"/>
            <w:right w:val="none" w:sz="0" w:space="0" w:color="auto"/>
          </w:divBdr>
        </w:div>
        <w:div w:id="2024701514">
          <w:marLeft w:val="0"/>
          <w:marRight w:val="0"/>
          <w:marTop w:val="0"/>
          <w:marBottom w:val="0"/>
          <w:divBdr>
            <w:top w:val="none" w:sz="0" w:space="0" w:color="auto"/>
            <w:left w:val="none" w:sz="0" w:space="0" w:color="auto"/>
            <w:bottom w:val="none" w:sz="0" w:space="0" w:color="auto"/>
            <w:right w:val="none" w:sz="0" w:space="0" w:color="auto"/>
          </w:divBdr>
        </w:div>
        <w:div w:id="2024701515">
          <w:marLeft w:val="0"/>
          <w:marRight w:val="0"/>
          <w:marTop w:val="0"/>
          <w:marBottom w:val="0"/>
          <w:divBdr>
            <w:top w:val="none" w:sz="0" w:space="0" w:color="auto"/>
            <w:left w:val="none" w:sz="0" w:space="0" w:color="auto"/>
            <w:bottom w:val="none" w:sz="0" w:space="0" w:color="auto"/>
            <w:right w:val="none" w:sz="0" w:space="0" w:color="auto"/>
          </w:divBdr>
        </w:div>
        <w:div w:id="2024701516">
          <w:marLeft w:val="0"/>
          <w:marRight w:val="0"/>
          <w:marTop w:val="0"/>
          <w:marBottom w:val="0"/>
          <w:divBdr>
            <w:top w:val="none" w:sz="0" w:space="0" w:color="auto"/>
            <w:left w:val="none" w:sz="0" w:space="0" w:color="auto"/>
            <w:bottom w:val="none" w:sz="0" w:space="0" w:color="auto"/>
            <w:right w:val="none" w:sz="0" w:space="0" w:color="auto"/>
          </w:divBdr>
        </w:div>
        <w:div w:id="2024701517">
          <w:marLeft w:val="0"/>
          <w:marRight w:val="0"/>
          <w:marTop w:val="0"/>
          <w:marBottom w:val="0"/>
          <w:divBdr>
            <w:top w:val="none" w:sz="0" w:space="0" w:color="auto"/>
            <w:left w:val="none" w:sz="0" w:space="0" w:color="auto"/>
            <w:bottom w:val="none" w:sz="0" w:space="0" w:color="auto"/>
            <w:right w:val="none" w:sz="0" w:space="0" w:color="auto"/>
          </w:divBdr>
        </w:div>
        <w:div w:id="2024701518">
          <w:marLeft w:val="0"/>
          <w:marRight w:val="0"/>
          <w:marTop w:val="0"/>
          <w:marBottom w:val="0"/>
          <w:divBdr>
            <w:top w:val="none" w:sz="0" w:space="0" w:color="auto"/>
            <w:left w:val="none" w:sz="0" w:space="0" w:color="auto"/>
            <w:bottom w:val="none" w:sz="0" w:space="0" w:color="auto"/>
            <w:right w:val="none" w:sz="0" w:space="0" w:color="auto"/>
          </w:divBdr>
        </w:div>
        <w:div w:id="2024701519">
          <w:marLeft w:val="0"/>
          <w:marRight w:val="0"/>
          <w:marTop w:val="0"/>
          <w:marBottom w:val="0"/>
          <w:divBdr>
            <w:top w:val="none" w:sz="0" w:space="0" w:color="auto"/>
            <w:left w:val="none" w:sz="0" w:space="0" w:color="auto"/>
            <w:bottom w:val="none" w:sz="0" w:space="0" w:color="auto"/>
            <w:right w:val="none" w:sz="0" w:space="0" w:color="auto"/>
          </w:divBdr>
        </w:div>
        <w:div w:id="2024701520">
          <w:marLeft w:val="0"/>
          <w:marRight w:val="0"/>
          <w:marTop w:val="0"/>
          <w:marBottom w:val="0"/>
          <w:divBdr>
            <w:top w:val="none" w:sz="0" w:space="0" w:color="auto"/>
            <w:left w:val="none" w:sz="0" w:space="0" w:color="auto"/>
            <w:bottom w:val="none" w:sz="0" w:space="0" w:color="auto"/>
            <w:right w:val="none" w:sz="0" w:space="0" w:color="auto"/>
          </w:divBdr>
        </w:div>
        <w:div w:id="2024701521">
          <w:marLeft w:val="0"/>
          <w:marRight w:val="0"/>
          <w:marTop w:val="0"/>
          <w:marBottom w:val="0"/>
          <w:divBdr>
            <w:top w:val="none" w:sz="0" w:space="0" w:color="auto"/>
            <w:left w:val="none" w:sz="0" w:space="0" w:color="auto"/>
            <w:bottom w:val="none" w:sz="0" w:space="0" w:color="auto"/>
            <w:right w:val="none" w:sz="0" w:space="0" w:color="auto"/>
          </w:divBdr>
        </w:div>
        <w:div w:id="2024701522">
          <w:marLeft w:val="0"/>
          <w:marRight w:val="0"/>
          <w:marTop w:val="0"/>
          <w:marBottom w:val="0"/>
          <w:divBdr>
            <w:top w:val="none" w:sz="0" w:space="0" w:color="auto"/>
            <w:left w:val="none" w:sz="0" w:space="0" w:color="auto"/>
            <w:bottom w:val="none" w:sz="0" w:space="0" w:color="auto"/>
            <w:right w:val="none" w:sz="0" w:space="0" w:color="auto"/>
          </w:divBdr>
        </w:div>
        <w:div w:id="2024701523">
          <w:marLeft w:val="0"/>
          <w:marRight w:val="0"/>
          <w:marTop w:val="0"/>
          <w:marBottom w:val="0"/>
          <w:divBdr>
            <w:top w:val="none" w:sz="0" w:space="0" w:color="auto"/>
            <w:left w:val="none" w:sz="0" w:space="0" w:color="auto"/>
            <w:bottom w:val="none" w:sz="0" w:space="0" w:color="auto"/>
            <w:right w:val="none" w:sz="0" w:space="0" w:color="auto"/>
          </w:divBdr>
        </w:div>
        <w:div w:id="2024701524">
          <w:marLeft w:val="0"/>
          <w:marRight w:val="0"/>
          <w:marTop w:val="0"/>
          <w:marBottom w:val="0"/>
          <w:divBdr>
            <w:top w:val="none" w:sz="0" w:space="0" w:color="auto"/>
            <w:left w:val="none" w:sz="0" w:space="0" w:color="auto"/>
            <w:bottom w:val="none" w:sz="0" w:space="0" w:color="auto"/>
            <w:right w:val="none" w:sz="0" w:space="0" w:color="auto"/>
          </w:divBdr>
        </w:div>
        <w:div w:id="2024701525">
          <w:marLeft w:val="0"/>
          <w:marRight w:val="0"/>
          <w:marTop w:val="0"/>
          <w:marBottom w:val="0"/>
          <w:divBdr>
            <w:top w:val="none" w:sz="0" w:space="0" w:color="auto"/>
            <w:left w:val="none" w:sz="0" w:space="0" w:color="auto"/>
            <w:bottom w:val="none" w:sz="0" w:space="0" w:color="auto"/>
            <w:right w:val="none" w:sz="0" w:space="0" w:color="auto"/>
          </w:divBdr>
        </w:div>
        <w:div w:id="2024701526">
          <w:marLeft w:val="0"/>
          <w:marRight w:val="0"/>
          <w:marTop w:val="0"/>
          <w:marBottom w:val="0"/>
          <w:divBdr>
            <w:top w:val="none" w:sz="0" w:space="0" w:color="auto"/>
            <w:left w:val="none" w:sz="0" w:space="0" w:color="auto"/>
            <w:bottom w:val="none" w:sz="0" w:space="0" w:color="auto"/>
            <w:right w:val="none" w:sz="0" w:space="0" w:color="auto"/>
          </w:divBdr>
        </w:div>
        <w:div w:id="2024701527">
          <w:marLeft w:val="0"/>
          <w:marRight w:val="0"/>
          <w:marTop w:val="0"/>
          <w:marBottom w:val="0"/>
          <w:divBdr>
            <w:top w:val="none" w:sz="0" w:space="0" w:color="auto"/>
            <w:left w:val="none" w:sz="0" w:space="0" w:color="auto"/>
            <w:bottom w:val="none" w:sz="0" w:space="0" w:color="auto"/>
            <w:right w:val="none" w:sz="0" w:space="0" w:color="auto"/>
          </w:divBdr>
        </w:div>
        <w:div w:id="2024701528">
          <w:marLeft w:val="0"/>
          <w:marRight w:val="0"/>
          <w:marTop w:val="0"/>
          <w:marBottom w:val="0"/>
          <w:divBdr>
            <w:top w:val="none" w:sz="0" w:space="0" w:color="auto"/>
            <w:left w:val="none" w:sz="0" w:space="0" w:color="auto"/>
            <w:bottom w:val="none" w:sz="0" w:space="0" w:color="auto"/>
            <w:right w:val="none" w:sz="0" w:space="0" w:color="auto"/>
          </w:divBdr>
        </w:div>
        <w:div w:id="2024701529">
          <w:marLeft w:val="0"/>
          <w:marRight w:val="0"/>
          <w:marTop w:val="0"/>
          <w:marBottom w:val="0"/>
          <w:divBdr>
            <w:top w:val="none" w:sz="0" w:space="0" w:color="auto"/>
            <w:left w:val="none" w:sz="0" w:space="0" w:color="auto"/>
            <w:bottom w:val="none" w:sz="0" w:space="0" w:color="auto"/>
            <w:right w:val="none" w:sz="0" w:space="0" w:color="auto"/>
          </w:divBdr>
        </w:div>
        <w:div w:id="2024701530">
          <w:marLeft w:val="0"/>
          <w:marRight w:val="0"/>
          <w:marTop w:val="0"/>
          <w:marBottom w:val="0"/>
          <w:divBdr>
            <w:top w:val="none" w:sz="0" w:space="0" w:color="auto"/>
            <w:left w:val="none" w:sz="0" w:space="0" w:color="auto"/>
            <w:bottom w:val="none" w:sz="0" w:space="0" w:color="auto"/>
            <w:right w:val="none" w:sz="0" w:space="0" w:color="auto"/>
          </w:divBdr>
        </w:div>
        <w:div w:id="2024701531">
          <w:marLeft w:val="0"/>
          <w:marRight w:val="0"/>
          <w:marTop w:val="0"/>
          <w:marBottom w:val="0"/>
          <w:divBdr>
            <w:top w:val="none" w:sz="0" w:space="0" w:color="auto"/>
            <w:left w:val="none" w:sz="0" w:space="0" w:color="auto"/>
            <w:bottom w:val="none" w:sz="0" w:space="0" w:color="auto"/>
            <w:right w:val="none" w:sz="0" w:space="0" w:color="auto"/>
          </w:divBdr>
        </w:div>
        <w:div w:id="2024701532">
          <w:marLeft w:val="0"/>
          <w:marRight w:val="0"/>
          <w:marTop w:val="0"/>
          <w:marBottom w:val="0"/>
          <w:divBdr>
            <w:top w:val="none" w:sz="0" w:space="0" w:color="auto"/>
            <w:left w:val="none" w:sz="0" w:space="0" w:color="auto"/>
            <w:bottom w:val="none" w:sz="0" w:space="0" w:color="auto"/>
            <w:right w:val="none" w:sz="0" w:space="0" w:color="auto"/>
          </w:divBdr>
        </w:div>
        <w:div w:id="2024701533">
          <w:marLeft w:val="0"/>
          <w:marRight w:val="0"/>
          <w:marTop w:val="0"/>
          <w:marBottom w:val="0"/>
          <w:divBdr>
            <w:top w:val="none" w:sz="0" w:space="0" w:color="auto"/>
            <w:left w:val="none" w:sz="0" w:space="0" w:color="auto"/>
            <w:bottom w:val="none" w:sz="0" w:space="0" w:color="auto"/>
            <w:right w:val="none" w:sz="0" w:space="0" w:color="auto"/>
          </w:divBdr>
        </w:div>
        <w:div w:id="2024701534">
          <w:marLeft w:val="0"/>
          <w:marRight w:val="0"/>
          <w:marTop w:val="0"/>
          <w:marBottom w:val="0"/>
          <w:divBdr>
            <w:top w:val="none" w:sz="0" w:space="0" w:color="auto"/>
            <w:left w:val="none" w:sz="0" w:space="0" w:color="auto"/>
            <w:bottom w:val="none" w:sz="0" w:space="0" w:color="auto"/>
            <w:right w:val="none" w:sz="0" w:space="0" w:color="auto"/>
          </w:divBdr>
        </w:div>
        <w:div w:id="2024701535">
          <w:marLeft w:val="0"/>
          <w:marRight w:val="0"/>
          <w:marTop w:val="0"/>
          <w:marBottom w:val="0"/>
          <w:divBdr>
            <w:top w:val="none" w:sz="0" w:space="0" w:color="auto"/>
            <w:left w:val="none" w:sz="0" w:space="0" w:color="auto"/>
            <w:bottom w:val="none" w:sz="0" w:space="0" w:color="auto"/>
            <w:right w:val="none" w:sz="0" w:space="0" w:color="auto"/>
          </w:divBdr>
        </w:div>
        <w:div w:id="2024701536">
          <w:marLeft w:val="0"/>
          <w:marRight w:val="0"/>
          <w:marTop w:val="0"/>
          <w:marBottom w:val="0"/>
          <w:divBdr>
            <w:top w:val="none" w:sz="0" w:space="0" w:color="auto"/>
            <w:left w:val="none" w:sz="0" w:space="0" w:color="auto"/>
            <w:bottom w:val="none" w:sz="0" w:space="0" w:color="auto"/>
            <w:right w:val="none" w:sz="0" w:space="0" w:color="auto"/>
          </w:divBdr>
        </w:div>
        <w:div w:id="2024701537">
          <w:marLeft w:val="0"/>
          <w:marRight w:val="0"/>
          <w:marTop w:val="0"/>
          <w:marBottom w:val="0"/>
          <w:divBdr>
            <w:top w:val="none" w:sz="0" w:space="0" w:color="auto"/>
            <w:left w:val="none" w:sz="0" w:space="0" w:color="auto"/>
            <w:bottom w:val="none" w:sz="0" w:space="0" w:color="auto"/>
            <w:right w:val="none" w:sz="0" w:space="0" w:color="auto"/>
          </w:divBdr>
        </w:div>
        <w:div w:id="2024701538">
          <w:marLeft w:val="0"/>
          <w:marRight w:val="0"/>
          <w:marTop w:val="0"/>
          <w:marBottom w:val="0"/>
          <w:divBdr>
            <w:top w:val="none" w:sz="0" w:space="0" w:color="auto"/>
            <w:left w:val="none" w:sz="0" w:space="0" w:color="auto"/>
            <w:bottom w:val="none" w:sz="0" w:space="0" w:color="auto"/>
            <w:right w:val="none" w:sz="0" w:space="0" w:color="auto"/>
          </w:divBdr>
        </w:div>
        <w:div w:id="2024701539">
          <w:marLeft w:val="0"/>
          <w:marRight w:val="0"/>
          <w:marTop w:val="0"/>
          <w:marBottom w:val="0"/>
          <w:divBdr>
            <w:top w:val="none" w:sz="0" w:space="0" w:color="auto"/>
            <w:left w:val="none" w:sz="0" w:space="0" w:color="auto"/>
            <w:bottom w:val="none" w:sz="0" w:space="0" w:color="auto"/>
            <w:right w:val="none" w:sz="0" w:space="0" w:color="auto"/>
          </w:divBdr>
        </w:div>
        <w:div w:id="2024701540">
          <w:marLeft w:val="0"/>
          <w:marRight w:val="0"/>
          <w:marTop w:val="0"/>
          <w:marBottom w:val="0"/>
          <w:divBdr>
            <w:top w:val="none" w:sz="0" w:space="0" w:color="auto"/>
            <w:left w:val="none" w:sz="0" w:space="0" w:color="auto"/>
            <w:bottom w:val="none" w:sz="0" w:space="0" w:color="auto"/>
            <w:right w:val="none" w:sz="0" w:space="0" w:color="auto"/>
          </w:divBdr>
        </w:div>
        <w:div w:id="2024701541">
          <w:marLeft w:val="0"/>
          <w:marRight w:val="0"/>
          <w:marTop w:val="0"/>
          <w:marBottom w:val="0"/>
          <w:divBdr>
            <w:top w:val="none" w:sz="0" w:space="0" w:color="auto"/>
            <w:left w:val="none" w:sz="0" w:space="0" w:color="auto"/>
            <w:bottom w:val="none" w:sz="0" w:space="0" w:color="auto"/>
            <w:right w:val="none" w:sz="0" w:space="0" w:color="auto"/>
          </w:divBdr>
        </w:div>
        <w:div w:id="2024701542">
          <w:marLeft w:val="0"/>
          <w:marRight w:val="0"/>
          <w:marTop w:val="0"/>
          <w:marBottom w:val="0"/>
          <w:divBdr>
            <w:top w:val="none" w:sz="0" w:space="0" w:color="auto"/>
            <w:left w:val="none" w:sz="0" w:space="0" w:color="auto"/>
            <w:bottom w:val="none" w:sz="0" w:space="0" w:color="auto"/>
            <w:right w:val="none" w:sz="0" w:space="0" w:color="auto"/>
          </w:divBdr>
        </w:div>
        <w:div w:id="2024701543">
          <w:marLeft w:val="0"/>
          <w:marRight w:val="0"/>
          <w:marTop w:val="0"/>
          <w:marBottom w:val="0"/>
          <w:divBdr>
            <w:top w:val="none" w:sz="0" w:space="0" w:color="auto"/>
            <w:left w:val="none" w:sz="0" w:space="0" w:color="auto"/>
            <w:bottom w:val="none" w:sz="0" w:space="0" w:color="auto"/>
            <w:right w:val="none" w:sz="0" w:space="0" w:color="auto"/>
          </w:divBdr>
        </w:div>
        <w:div w:id="2024701544">
          <w:marLeft w:val="0"/>
          <w:marRight w:val="0"/>
          <w:marTop w:val="0"/>
          <w:marBottom w:val="0"/>
          <w:divBdr>
            <w:top w:val="none" w:sz="0" w:space="0" w:color="auto"/>
            <w:left w:val="none" w:sz="0" w:space="0" w:color="auto"/>
            <w:bottom w:val="none" w:sz="0" w:space="0" w:color="auto"/>
            <w:right w:val="none" w:sz="0" w:space="0" w:color="auto"/>
          </w:divBdr>
        </w:div>
        <w:div w:id="2024701545">
          <w:marLeft w:val="0"/>
          <w:marRight w:val="0"/>
          <w:marTop w:val="0"/>
          <w:marBottom w:val="0"/>
          <w:divBdr>
            <w:top w:val="none" w:sz="0" w:space="0" w:color="auto"/>
            <w:left w:val="none" w:sz="0" w:space="0" w:color="auto"/>
            <w:bottom w:val="none" w:sz="0" w:space="0" w:color="auto"/>
            <w:right w:val="none" w:sz="0" w:space="0" w:color="auto"/>
          </w:divBdr>
        </w:div>
        <w:div w:id="2024701546">
          <w:marLeft w:val="0"/>
          <w:marRight w:val="0"/>
          <w:marTop w:val="0"/>
          <w:marBottom w:val="0"/>
          <w:divBdr>
            <w:top w:val="none" w:sz="0" w:space="0" w:color="auto"/>
            <w:left w:val="none" w:sz="0" w:space="0" w:color="auto"/>
            <w:bottom w:val="none" w:sz="0" w:space="0" w:color="auto"/>
            <w:right w:val="none" w:sz="0" w:space="0" w:color="auto"/>
          </w:divBdr>
        </w:div>
        <w:div w:id="2024701547">
          <w:marLeft w:val="0"/>
          <w:marRight w:val="0"/>
          <w:marTop w:val="0"/>
          <w:marBottom w:val="0"/>
          <w:divBdr>
            <w:top w:val="none" w:sz="0" w:space="0" w:color="auto"/>
            <w:left w:val="none" w:sz="0" w:space="0" w:color="auto"/>
            <w:bottom w:val="none" w:sz="0" w:space="0" w:color="auto"/>
            <w:right w:val="none" w:sz="0" w:space="0" w:color="auto"/>
          </w:divBdr>
        </w:div>
        <w:div w:id="2024701548">
          <w:marLeft w:val="0"/>
          <w:marRight w:val="0"/>
          <w:marTop w:val="0"/>
          <w:marBottom w:val="0"/>
          <w:divBdr>
            <w:top w:val="none" w:sz="0" w:space="0" w:color="auto"/>
            <w:left w:val="none" w:sz="0" w:space="0" w:color="auto"/>
            <w:bottom w:val="none" w:sz="0" w:space="0" w:color="auto"/>
            <w:right w:val="none" w:sz="0" w:space="0" w:color="auto"/>
          </w:divBdr>
        </w:div>
        <w:div w:id="2024701549">
          <w:marLeft w:val="0"/>
          <w:marRight w:val="0"/>
          <w:marTop w:val="0"/>
          <w:marBottom w:val="0"/>
          <w:divBdr>
            <w:top w:val="none" w:sz="0" w:space="0" w:color="auto"/>
            <w:left w:val="none" w:sz="0" w:space="0" w:color="auto"/>
            <w:bottom w:val="none" w:sz="0" w:space="0" w:color="auto"/>
            <w:right w:val="none" w:sz="0" w:space="0" w:color="auto"/>
          </w:divBdr>
        </w:div>
        <w:div w:id="2024701550">
          <w:marLeft w:val="0"/>
          <w:marRight w:val="0"/>
          <w:marTop w:val="0"/>
          <w:marBottom w:val="0"/>
          <w:divBdr>
            <w:top w:val="none" w:sz="0" w:space="0" w:color="auto"/>
            <w:left w:val="none" w:sz="0" w:space="0" w:color="auto"/>
            <w:bottom w:val="none" w:sz="0" w:space="0" w:color="auto"/>
            <w:right w:val="none" w:sz="0" w:space="0" w:color="auto"/>
          </w:divBdr>
        </w:div>
        <w:div w:id="2024701551">
          <w:marLeft w:val="0"/>
          <w:marRight w:val="0"/>
          <w:marTop w:val="0"/>
          <w:marBottom w:val="0"/>
          <w:divBdr>
            <w:top w:val="none" w:sz="0" w:space="0" w:color="auto"/>
            <w:left w:val="none" w:sz="0" w:space="0" w:color="auto"/>
            <w:bottom w:val="none" w:sz="0" w:space="0" w:color="auto"/>
            <w:right w:val="none" w:sz="0" w:space="0" w:color="auto"/>
          </w:divBdr>
        </w:div>
        <w:div w:id="2024701552">
          <w:marLeft w:val="0"/>
          <w:marRight w:val="0"/>
          <w:marTop w:val="0"/>
          <w:marBottom w:val="0"/>
          <w:divBdr>
            <w:top w:val="none" w:sz="0" w:space="0" w:color="auto"/>
            <w:left w:val="none" w:sz="0" w:space="0" w:color="auto"/>
            <w:bottom w:val="none" w:sz="0" w:space="0" w:color="auto"/>
            <w:right w:val="none" w:sz="0" w:space="0" w:color="auto"/>
          </w:divBdr>
        </w:div>
        <w:div w:id="2024701553">
          <w:marLeft w:val="0"/>
          <w:marRight w:val="0"/>
          <w:marTop w:val="0"/>
          <w:marBottom w:val="0"/>
          <w:divBdr>
            <w:top w:val="none" w:sz="0" w:space="0" w:color="auto"/>
            <w:left w:val="none" w:sz="0" w:space="0" w:color="auto"/>
            <w:bottom w:val="none" w:sz="0" w:space="0" w:color="auto"/>
            <w:right w:val="none" w:sz="0" w:space="0" w:color="auto"/>
          </w:divBdr>
        </w:div>
        <w:div w:id="2024701554">
          <w:marLeft w:val="0"/>
          <w:marRight w:val="0"/>
          <w:marTop w:val="0"/>
          <w:marBottom w:val="0"/>
          <w:divBdr>
            <w:top w:val="none" w:sz="0" w:space="0" w:color="auto"/>
            <w:left w:val="none" w:sz="0" w:space="0" w:color="auto"/>
            <w:bottom w:val="none" w:sz="0" w:space="0" w:color="auto"/>
            <w:right w:val="none" w:sz="0" w:space="0" w:color="auto"/>
          </w:divBdr>
        </w:div>
        <w:div w:id="2024701555">
          <w:marLeft w:val="0"/>
          <w:marRight w:val="0"/>
          <w:marTop w:val="0"/>
          <w:marBottom w:val="0"/>
          <w:divBdr>
            <w:top w:val="none" w:sz="0" w:space="0" w:color="auto"/>
            <w:left w:val="none" w:sz="0" w:space="0" w:color="auto"/>
            <w:bottom w:val="none" w:sz="0" w:space="0" w:color="auto"/>
            <w:right w:val="none" w:sz="0" w:space="0" w:color="auto"/>
          </w:divBdr>
        </w:div>
        <w:div w:id="2024701556">
          <w:marLeft w:val="0"/>
          <w:marRight w:val="0"/>
          <w:marTop w:val="0"/>
          <w:marBottom w:val="0"/>
          <w:divBdr>
            <w:top w:val="none" w:sz="0" w:space="0" w:color="auto"/>
            <w:left w:val="none" w:sz="0" w:space="0" w:color="auto"/>
            <w:bottom w:val="none" w:sz="0" w:space="0" w:color="auto"/>
            <w:right w:val="none" w:sz="0" w:space="0" w:color="auto"/>
          </w:divBdr>
        </w:div>
        <w:div w:id="2024701557">
          <w:marLeft w:val="0"/>
          <w:marRight w:val="0"/>
          <w:marTop w:val="0"/>
          <w:marBottom w:val="0"/>
          <w:divBdr>
            <w:top w:val="none" w:sz="0" w:space="0" w:color="auto"/>
            <w:left w:val="none" w:sz="0" w:space="0" w:color="auto"/>
            <w:bottom w:val="none" w:sz="0" w:space="0" w:color="auto"/>
            <w:right w:val="none" w:sz="0" w:space="0" w:color="auto"/>
          </w:divBdr>
        </w:div>
        <w:div w:id="2024701558">
          <w:marLeft w:val="0"/>
          <w:marRight w:val="0"/>
          <w:marTop w:val="0"/>
          <w:marBottom w:val="0"/>
          <w:divBdr>
            <w:top w:val="none" w:sz="0" w:space="0" w:color="auto"/>
            <w:left w:val="none" w:sz="0" w:space="0" w:color="auto"/>
            <w:bottom w:val="none" w:sz="0" w:space="0" w:color="auto"/>
            <w:right w:val="none" w:sz="0" w:space="0" w:color="auto"/>
          </w:divBdr>
        </w:div>
        <w:div w:id="2024701559">
          <w:marLeft w:val="0"/>
          <w:marRight w:val="0"/>
          <w:marTop w:val="0"/>
          <w:marBottom w:val="0"/>
          <w:divBdr>
            <w:top w:val="none" w:sz="0" w:space="0" w:color="auto"/>
            <w:left w:val="none" w:sz="0" w:space="0" w:color="auto"/>
            <w:bottom w:val="none" w:sz="0" w:space="0" w:color="auto"/>
            <w:right w:val="none" w:sz="0" w:space="0" w:color="auto"/>
          </w:divBdr>
        </w:div>
        <w:div w:id="2024701560">
          <w:marLeft w:val="0"/>
          <w:marRight w:val="0"/>
          <w:marTop w:val="0"/>
          <w:marBottom w:val="0"/>
          <w:divBdr>
            <w:top w:val="none" w:sz="0" w:space="0" w:color="auto"/>
            <w:left w:val="none" w:sz="0" w:space="0" w:color="auto"/>
            <w:bottom w:val="none" w:sz="0" w:space="0" w:color="auto"/>
            <w:right w:val="none" w:sz="0" w:space="0" w:color="auto"/>
          </w:divBdr>
        </w:div>
        <w:div w:id="2024701561">
          <w:marLeft w:val="0"/>
          <w:marRight w:val="0"/>
          <w:marTop w:val="0"/>
          <w:marBottom w:val="0"/>
          <w:divBdr>
            <w:top w:val="none" w:sz="0" w:space="0" w:color="auto"/>
            <w:left w:val="none" w:sz="0" w:space="0" w:color="auto"/>
            <w:bottom w:val="none" w:sz="0" w:space="0" w:color="auto"/>
            <w:right w:val="none" w:sz="0" w:space="0" w:color="auto"/>
          </w:divBdr>
        </w:div>
        <w:div w:id="2024701562">
          <w:marLeft w:val="0"/>
          <w:marRight w:val="0"/>
          <w:marTop w:val="0"/>
          <w:marBottom w:val="0"/>
          <w:divBdr>
            <w:top w:val="none" w:sz="0" w:space="0" w:color="auto"/>
            <w:left w:val="none" w:sz="0" w:space="0" w:color="auto"/>
            <w:bottom w:val="none" w:sz="0" w:space="0" w:color="auto"/>
            <w:right w:val="none" w:sz="0" w:space="0" w:color="auto"/>
          </w:divBdr>
        </w:div>
        <w:div w:id="2024701563">
          <w:marLeft w:val="0"/>
          <w:marRight w:val="0"/>
          <w:marTop w:val="0"/>
          <w:marBottom w:val="0"/>
          <w:divBdr>
            <w:top w:val="none" w:sz="0" w:space="0" w:color="auto"/>
            <w:left w:val="none" w:sz="0" w:space="0" w:color="auto"/>
            <w:bottom w:val="none" w:sz="0" w:space="0" w:color="auto"/>
            <w:right w:val="none" w:sz="0" w:space="0" w:color="auto"/>
          </w:divBdr>
        </w:div>
        <w:div w:id="2024701564">
          <w:marLeft w:val="0"/>
          <w:marRight w:val="0"/>
          <w:marTop w:val="0"/>
          <w:marBottom w:val="0"/>
          <w:divBdr>
            <w:top w:val="none" w:sz="0" w:space="0" w:color="auto"/>
            <w:left w:val="none" w:sz="0" w:space="0" w:color="auto"/>
            <w:bottom w:val="none" w:sz="0" w:space="0" w:color="auto"/>
            <w:right w:val="none" w:sz="0" w:space="0" w:color="auto"/>
          </w:divBdr>
        </w:div>
        <w:div w:id="2024701565">
          <w:marLeft w:val="0"/>
          <w:marRight w:val="0"/>
          <w:marTop w:val="0"/>
          <w:marBottom w:val="0"/>
          <w:divBdr>
            <w:top w:val="none" w:sz="0" w:space="0" w:color="auto"/>
            <w:left w:val="none" w:sz="0" w:space="0" w:color="auto"/>
            <w:bottom w:val="none" w:sz="0" w:space="0" w:color="auto"/>
            <w:right w:val="none" w:sz="0" w:space="0" w:color="auto"/>
          </w:divBdr>
        </w:div>
        <w:div w:id="2024701566">
          <w:marLeft w:val="0"/>
          <w:marRight w:val="0"/>
          <w:marTop w:val="0"/>
          <w:marBottom w:val="0"/>
          <w:divBdr>
            <w:top w:val="none" w:sz="0" w:space="0" w:color="auto"/>
            <w:left w:val="none" w:sz="0" w:space="0" w:color="auto"/>
            <w:bottom w:val="none" w:sz="0" w:space="0" w:color="auto"/>
            <w:right w:val="none" w:sz="0" w:space="0" w:color="auto"/>
          </w:divBdr>
        </w:div>
        <w:div w:id="2024701567">
          <w:marLeft w:val="0"/>
          <w:marRight w:val="0"/>
          <w:marTop w:val="0"/>
          <w:marBottom w:val="0"/>
          <w:divBdr>
            <w:top w:val="none" w:sz="0" w:space="0" w:color="auto"/>
            <w:left w:val="none" w:sz="0" w:space="0" w:color="auto"/>
            <w:bottom w:val="none" w:sz="0" w:space="0" w:color="auto"/>
            <w:right w:val="none" w:sz="0" w:space="0" w:color="auto"/>
          </w:divBdr>
        </w:div>
        <w:div w:id="2024701568">
          <w:marLeft w:val="0"/>
          <w:marRight w:val="0"/>
          <w:marTop w:val="0"/>
          <w:marBottom w:val="0"/>
          <w:divBdr>
            <w:top w:val="none" w:sz="0" w:space="0" w:color="auto"/>
            <w:left w:val="none" w:sz="0" w:space="0" w:color="auto"/>
            <w:bottom w:val="none" w:sz="0" w:space="0" w:color="auto"/>
            <w:right w:val="none" w:sz="0" w:space="0" w:color="auto"/>
          </w:divBdr>
        </w:div>
        <w:div w:id="2024701569">
          <w:marLeft w:val="0"/>
          <w:marRight w:val="0"/>
          <w:marTop w:val="0"/>
          <w:marBottom w:val="0"/>
          <w:divBdr>
            <w:top w:val="none" w:sz="0" w:space="0" w:color="auto"/>
            <w:left w:val="none" w:sz="0" w:space="0" w:color="auto"/>
            <w:bottom w:val="none" w:sz="0" w:space="0" w:color="auto"/>
            <w:right w:val="none" w:sz="0" w:space="0" w:color="auto"/>
          </w:divBdr>
        </w:div>
        <w:div w:id="2024701570">
          <w:marLeft w:val="0"/>
          <w:marRight w:val="0"/>
          <w:marTop w:val="0"/>
          <w:marBottom w:val="0"/>
          <w:divBdr>
            <w:top w:val="none" w:sz="0" w:space="0" w:color="auto"/>
            <w:left w:val="none" w:sz="0" w:space="0" w:color="auto"/>
            <w:bottom w:val="none" w:sz="0" w:space="0" w:color="auto"/>
            <w:right w:val="none" w:sz="0" w:space="0" w:color="auto"/>
          </w:divBdr>
        </w:div>
        <w:div w:id="2024701571">
          <w:marLeft w:val="0"/>
          <w:marRight w:val="0"/>
          <w:marTop w:val="0"/>
          <w:marBottom w:val="0"/>
          <w:divBdr>
            <w:top w:val="none" w:sz="0" w:space="0" w:color="auto"/>
            <w:left w:val="none" w:sz="0" w:space="0" w:color="auto"/>
            <w:bottom w:val="none" w:sz="0" w:space="0" w:color="auto"/>
            <w:right w:val="none" w:sz="0" w:space="0" w:color="auto"/>
          </w:divBdr>
        </w:div>
        <w:div w:id="2024701572">
          <w:marLeft w:val="0"/>
          <w:marRight w:val="0"/>
          <w:marTop w:val="0"/>
          <w:marBottom w:val="0"/>
          <w:divBdr>
            <w:top w:val="none" w:sz="0" w:space="0" w:color="auto"/>
            <w:left w:val="none" w:sz="0" w:space="0" w:color="auto"/>
            <w:bottom w:val="none" w:sz="0" w:space="0" w:color="auto"/>
            <w:right w:val="none" w:sz="0" w:space="0" w:color="auto"/>
          </w:divBdr>
        </w:div>
        <w:div w:id="2024701573">
          <w:marLeft w:val="0"/>
          <w:marRight w:val="0"/>
          <w:marTop w:val="0"/>
          <w:marBottom w:val="0"/>
          <w:divBdr>
            <w:top w:val="none" w:sz="0" w:space="0" w:color="auto"/>
            <w:left w:val="none" w:sz="0" w:space="0" w:color="auto"/>
            <w:bottom w:val="none" w:sz="0" w:space="0" w:color="auto"/>
            <w:right w:val="none" w:sz="0" w:space="0" w:color="auto"/>
          </w:divBdr>
        </w:div>
        <w:div w:id="2024701574">
          <w:marLeft w:val="0"/>
          <w:marRight w:val="0"/>
          <w:marTop w:val="0"/>
          <w:marBottom w:val="0"/>
          <w:divBdr>
            <w:top w:val="none" w:sz="0" w:space="0" w:color="auto"/>
            <w:left w:val="none" w:sz="0" w:space="0" w:color="auto"/>
            <w:bottom w:val="none" w:sz="0" w:space="0" w:color="auto"/>
            <w:right w:val="none" w:sz="0" w:space="0" w:color="auto"/>
          </w:divBdr>
        </w:div>
        <w:div w:id="2024701575">
          <w:marLeft w:val="0"/>
          <w:marRight w:val="0"/>
          <w:marTop w:val="0"/>
          <w:marBottom w:val="0"/>
          <w:divBdr>
            <w:top w:val="none" w:sz="0" w:space="0" w:color="auto"/>
            <w:left w:val="none" w:sz="0" w:space="0" w:color="auto"/>
            <w:bottom w:val="none" w:sz="0" w:space="0" w:color="auto"/>
            <w:right w:val="none" w:sz="0" w:space="0" w:color="auto"/>
          </w:divBdr>
        </w:div>
        <w:div w:id="2024701576">
          <w:marLeft w:val="0"/>
          <w:marRight w:val="0"/>
          <w:marTop w:val="0"/>
          <w:marBottom w:val="0"/>
          <w:divBdr>
            <w:top w:val="none" w:sz="0" w:space="0" w:color="auto"/>
            <w:left w:val="none" w:sz="0" w:space="0" w:color="auto"/>
            <w:bottom w:val="none" w:sz="0" w:space="0" w:color="auto"/>
            <w:right w:val="none" w:sz="0" w:space="0" w:color="auto"/>
          </w:divBdr>
        </w:div>
        <w:div w:id="2024701577">
          <w:marLeft w:val="0"/>
          <w:marRight w:val="0"/>
          <w:marTop w:val="0"/>
          <w:marBottom w:val="0"/>
          <w:divBdr>
            <w:top w:val="none" w:sz="0" w:space="0" w:color="auto"/>
            <w:left w:val="none" w:sz="0" w:space="0" w:color="auto"/>
            <w:bottom w:val="none" w:sz="0" w:space="0" w:color="auto"/>
            <w:right w:val="none" w:sz="0" w:space="0" w:color="auto"/>
          </w:divBdr>
        </w:div>
        <w:div w:id="2024701578">
          <w:marLeft w:val="0"/>
          <w:marRight w:val="0"/>
          <w:marTop w:val="0"/>
          <w:marBottom w:val="0"/>
          <w:divBdr>
            <w:top w:val="none" w:sz="0" w:space="0" w:color="auto"/>
            <w:left w:val="none" w:sz="0" w:space="0" w:color="auto"/>
            <w:bottom w:val="none" w:sz="0" w:space="0" w:color="auto"/>
            <w:right w:val="none" w:sz="0" w:space="0" w:color="auto"/>
          </w:divBdr>
        </w:div>
        <w:div w:id="2024701579">
          <w:marLeft w:val="0"/>
          <w:marRight w:val="0"/>
          <w:marTop w:val="0"/>
          <w:marBottom w:val="0"/>
          <w:divBdr>
            <w:top w:val="none" w:sz="0" w:space="0" w:color="auto"/>
            <w:left w:val="none" w:sz="0" w:space="0" w:color="auto"/>
            <w:bottom w:val="none" w:sz="0" w:space="0" w:color="auto"/>
            <w:right w:val="none" w:sz="0" w:space="0" w:color="auto"/>
          </w:divBdr>
        </w:div>
        <w:div w:id="2024701580">
          <w:marLeft w:val="0"/>
          <w:marRight w:val="0"/>
          <w:marTop w:val="0"/>
          <w:marBottom w:val="0"/>
          <w:divBdr>
            <w:top w:val="none" w:sz="0" w:space="0" w:color="auto"/>
            <w:left w:val="none" w:sz="0" w:space="0" w:color="auto"/>
            <w:bottom w:val="none" w:sz="0" w:space="0" w:color="auto"/>
            <w:right w:val="none" w:sz="0" w:space="0" w:color="auto"/>
          </w:divBdr>
        </w:div>
        <w:div w:id="2024701581">
          <w:marLeft w:val="0"/>
          <w:marRight w:val="0"/>
          <w:marTop w:val="0"/>
          <w:marBottom w:val="0"/>
          <w:divBdr>
            <w:top w:val="none" w:sz="0" w:space="0" w:color="auto"/>
            <w:left w:val="none" w:sz="0" w:space="0" w:color="auto"/>
            <w:bottom w:val="none" w:sz="0" w:space="0" w:color="auto"/>
            <w:right w:val="none" w:sz="0" w:space="0" w:color="auto"/>
          </w:divBdr>
        </w:div>
        <w:div w:id="2024701583">
          <w:marLeft w:val="0"/>
          <w:marRight w:val="0"/>
          <w:marTop w:val="0"/>
          <w:marBottom w:val="0"/>
          <w:divBdr>
            <w:top w:val="none" w:sz="0" w:space="0" w:color="auto"/>
            <w:left w:val="none" w:sz="0" w:space="0" w:color="auto"/>
            <w:bottom w:val="none" w:sz="0" w:space="0" w:color="auto"/>
            <w:right w:val="none" w:sz="0" w:space="0" w:color="auto"/>
          </w:divBdr>
        </w:div>
        <w:div w:id="2024701584">
          <w:marLeft w:val="0"/>
          <w:marRight w:val="0"/>
          <w:marTop w:val="0"/>
          <w:marBottom w:val="0"/>
          <w:divBdr>
            <w:top w:val="none" w:sz="0" w:space="0" w:color="auto"/>
            <w:left w:val="none" w:sz="0" w:space="0" w:color="auto"/>
            <w:bottom w:val="none" w:sz="0" w:space="0" w:color="auto"/>
            <w:right w:val="none" w:sz="0" w:space="0" w:color="auto"/>
          </w:divBdr>
        </w:div>
        <w:div w:id="2024701586">
          <w:marLeft w:val="0"/>
          <w:marRight w:val="0"/>
          <w:marTop w:val="0"/>
          <w:marBottom w:val="0"/>
          <w:divBdr>
            <w:top w:val="none" w:sz="0" w:space="0" w:color="auto"/>
            <w:left w:val="none" w:sz="0" w:space="0" w:color="auto"/>
            <w:bottom w:val="none" w:sz="0" w:space="0" w:color="auto"/>
            <w:right w:val="none" w:sz="0" w:space="0" w:color="auto"/>
          </w:divBdr>
        </w:div>
        <w:div w:id="2024701587">
          <w:marLeft w:val="0"/>
          <w:marRight w:val="0"/>
          <w:marTop w:val="0"/>
          <w:marBottom w:val="0"/>
          <w:divBdr>
            <w:top w:val="none" w:sz="0" w:space="0" w:color="auto"/>
            <w:left w:val="none" w:sz="0" w:space="0" w:color="auto"/>
            <w:bottom w:val="none" w:sz="0" w:space="0" w:color="auto"/>
            <w:right w:val="none" w:sz="0" w:space="0" w:color="auto"/>
          </w:divBdr>
        </w:div>
        <w:div w:id="2024701588">
          <w:marLeft w:val="0"/>
          <w:marRight w:val="0"/>
          <w:marTop w:val="0"/>
          <w:marBottom w:val="0"/>
          <w:divBdr>
            <w:top w:val="none" w:sz="0" w:space="0" w:color="auto"/>
            <w:left w:val="none" w:sz="0" w:space="0" w:color="auto"/>
            <w:bottom w:val="none" w:sz="0" w:space="0" w:color="auto"/>
            <w:right w:val="none" w:sz="0" w:space="0" w:color="auto"/>
          </w:divBdr>
        </w:div>
        <w:div w:id="2024701589">
          <w:marLeft w:val="0"/>
          <w:marRight w:val="0"/>
          <w:marTop w:val="0"/>
          <w:marBottom w:val="0"/>
          <w:divBdr>
            <w:top w:val="none" w:sz="0" w:space="0" w:color="auto"/>
            <w:left w:val="none" w:sz="0" w:space="0" w:color="auto"/>
            <w:bottom w:val="none" w:sz="0" w:space="0" w:color="auto"/>
            <w:right w:val="none" w:sz="0" w:space="0" w:color="auto"/>
          </w:divBdr>
        </w:div>
        <w:div w:id="2024701590">
          <w:marLeft w:val="0"/>
          <w:marRight w:val="0"/>
          <w:marTop w:val="0"/>
          <w:marBottom w:val="0"/>
          <w:divBdr>
            <w:top w:val="none" w:sz="0" w:space="0" w:color="auto"/>
            <w:left w:val="none" w:sz="0" w:space="0" w:color="auto"/>
            <w:bottom w:val="none" w:sz="0" w:space="0" w:color="auto"/>
            <w:right w:val="none" w:sz="0" w:space="0" w:color="auto"/>
          </w:divBdr>
        </w:div>
        <w:div w:id="2024701591">
          <w:marLeft w:val="0"/>
          <w:marRight w:val="0"/>
          <w:marTop w:val="0"/>
          <w:marBottom w:val="0"/>
          <w:divBdr>
            <w:top w:val="none" w:sz="0" w:space="0" w:color="auto"/>
            <w:left w:val="none" w:sz="0" w:space="0" w:color="auto"/>
            <w:bottom w:val="none" w:sz="0" w:space="0" w:color="auto"/>
            <w:right w:val="none" w:sz="0" w:space="0" w:color="auto"/>
          </w:divBdr>
        </w:div>
        <w:div w:id="2024701592">
          <w:marLeft w:val="0"/>
          <w:marRight w:val="0"/>
          <w:marTop w:val="0"/>
          <w:marBottom w:val="0"/>
          <w:divBdr>
            <w:top w:val="none" w:sz="0" w:space="0" w:color="auto"/>
            <w:left w:val="none" w:sz="0" w:space="0" w:color="auto"/>
            <w:bottom w:val="none" w:sz="0" w:space="0" w:color="auto"/>
            <w:right w:val="none" w:sz="0" w:space="0" w:color="auto"/>
          </w:divBdr>
        </w:div>
        <w:div w:id="2024701593">
          <w:marLeft w:val="0"/>
          <w:marRight w:val="0"/>
          <w:marTop w:val="0"/>
          <w:marBottom w:val="0"/>
          <w:divBdr>
            <w:top w:val="none" w:sz="0" w:space="0" w:color="auto"/>
            <w:left w:val="none" w:sz="0" w:space="0" w:color="auto"/>
            <w:bottom w:val="none" w:sz="0" w:space="0" w:color="auto"/>
            <w:right w:val="none" w:sz="0" w:space="0" w:color="auto"/>
          </w:divBdr>
        </w:div>
        <w:div w:id="2024701594">
          <w:marLeft w:val="0"/>
          <w:marRight w:val="0"/>
          <w:marTop w:val="0"/>
          <w:marBottom w:val="0"/>
          <w:divBdr>
            <w:top w:val="none" w:sz="0" w:space="0" w:color="auto"/>
            <w:left w:val="none" w:sz="0" w:space="0" w:color="auto"/>
            <w:bottom w:val="none" w:sz="0" w:space="0" w:color="auto"/>
            <w:right w:val="none" w:sz="0" w:space="0" w:color="auto"/>
          </w:divBdr>
        </w:div>
        <w:div w:id="2024701595">
          <w:marLeft w:val="0"/>
          <w:marRight w:val="0"/>
          <w:marTop w:val="0"/>
          <w:marBottom w:val="0"/>
          <w:divBdr>
            <w:top w:val="none" w:sz="0" w:space="0" w:color="auto"/>
            <w:left w:val="none" w:sz="0" w:space="0" w:color="auto"/>
            <w:bottom w:val="none" w:sz="0" w:space="0" w:color="auto"/>
            <w:right w:val="none" w:sz="0" w:space="0" w:color="auto"/>
          </w:divBdr>
        </w:div>
        <w:div w:id="2024701596">
          <w:marLeft w:val="0"/>
          <w:marRight w:val="0"/>
          <w:marTop w:val="0"/>
          <w:marBottom w:val="0"/>
          <w:divBdr>
            <w:top w:val="none" w:sz="0" w:space="0" w:color="auto"/>
            <w:left w:val="none" w:sz="0" w:space="0" w:color="auto"/>
            <w:bottom w:val="none" w:sz="0" w:space="0" w:color="auto"/>
            <w:right w:val="none" w:sz="0" w:space="0" w:color="auto"/>
          </w:divBdr>
        </w:div>
        <w:div w:id="2024701597">
          <w:marLeft w:val="0"/>
          <w:marRight w:val="0"/>
          <w:marTop w:val="0"/>
          <w:marBottom w:val="0"/>
          <w:divBdr>
            <w:top w:val="none" w:sz="0" w:space="0" w:color="auto"/>
            <w:left w:val="none" w:sz="0" w:space="0" w:color="auto"/>
            <w:bottom w:val="none" w:sz="0" w:space="0" w:color="auto"/>
            <w:right w:val="none" w:sz="0" w:space="0" w:color="auto"/>
          </w:divBdr>
        </w:div>
        <w:div w:id="2024701598">
          <w:marLeft w:val="0"/>
          <w:marRight w:val="0"/>
          <w:marTop w:val="0"/>
          <w:marBottom w:val="0"/>
          <w:divBdr>
            <w:top w:val="none" w:sz="0" w:space="0" w:color="auto"/>
            <w:left w:val="none" w:sz="0" w:space="0" w:color="auto"/>
            <w:bottom w:val="none" w:sz="0" w:space="0" w:color="auto"/>
            <w:right w:val="none" w:sz="0" w:space="0" w:color="auto"/>
          </w:divBdr>
        </w:div>
        <w:div w:id="2024701599">
          <w:marLeft w:val="0"/>
          <w:marRight w:val="0"/>
          <w:marTop w:val="0"/>
          <w:marBottom w:val="0"/>
          <w:divBdr>
            <w:top w:val="none" w:sz="0" w:space="0" w:color="auto"/>
            <w:left w:val="none" w:sz="0" w:space="0" w:color="auto"/>
            <w:bottom w:val="none" w:sz="0" w:space="0" w:color="auto"/>
            <w:right w:val="none" w:sz="0" w:space="0" w:color="auto"/>
          </w:divBdr>
        </w:div>
        <w:div w:id="2024701600">
          <w:marLeft w:val="0"/>
          <w:marRight w:val="0"/>
          <w:marTop w:val="0"/>
          <w:marBottom w:val="0"/>
          <w:divBdr>
            <w:top w:val="none" w:sz="0" w:space="0" w:color="auto"/>
            <w:left w:val="none" w:sz="0" w:space="0" w:color="auto"/>
            <w:bottom w:val="none" w:sz="0" w:space="0" w:color="auto"/>
            <w:right w:val="none" w:sz="0" w:space="0" w:color="auto"/>
          </w:divBdr>
        </w:div>
        <w:div w:id="2024701601">
          <w:marLeft w:val="0"/>
          <w:marRight w:val="0"/>
          <w:marTop w:val="0"/>
          <w:marBottom w:val="0"/>
          <w:divBdr>
            <w:top w:val="none" w:sz="0" w:space="0" w:color="auto"/>
            <w:left w:val="none" w:sz="0" w:space="0" w:color="auto"/>
            <w:bottom w:val="none" w:sz="0" w:space="0" w:color="auto"/>
            <w:right w:val="none" w:sz="0" w:space="0" w:color="auto"/>
          </w:divBdr>
        </w:div>
        <w:div w:id="2024701602">
          <w:marLeft w:val="0"/>
          <w:marRight w:val="0"/>
          <w:marTop w:val="0"/>
          <w:marBottom w:val="0"/>
          <w:divBdr>
            <w:top w:val="none" w:sz="0" w:space="0" w:color="auto"/>
            <w:left w:val="none" w:sz="0" w:space="0" w:color="auto"/>
            <w:bottom w:val="none" w:sz="0" w:space="0" w:color="auto"/>
            <w:right w:val="none" w:sz="0" w:space="0" w:color="auto"/>
          </w:divBdr>
        </w:div>
        <w:div w:id="2024701603">
          <w:marLeft w:val="0"/>
          <w:marRight w:val="0"/>
          <w:marTop w:val="0"/>
          <w:marBottom w:val="0"/>
          <w:divBdr>
            <w:top w:val="none" w:sz="0" w:space="0" w:color="auto"/>
            <w:left w:val="none" w:sz="0" w:space="0" w:color="auto"/>
            <w:bottom w:val="none" w:sz="0" w:space="0" w:color="auto"/>
            <w:right w:val="none" w:sz="0" w:space="0" w:color="auto"/>
          </w:divBdr>
        </w:div>
        <w:div w:id="2024701604">
          <w:marLeft w:val="0"/>
          <w:marRight w:val="0"/>
          <w:marTop w:val="0"/>
          <w:marBottom w:val="0"/>
          <w:divBdr>
            <w:top w:val="none" w:sz="0" w:space="0" w:color="auto"/>
            <w:left w:val="none" w:sz="0" w:space="0" w:color="auto"/>
            <w:bottom w:val="none" w:sz="0" w:space="0" w:color="auto"/>
            <w:right w:val="none" w:sz="0" w:space="0" w:color="auto"/>
          </w:divBdr>
        </w:div>
        <w:div w:id="2024701605">
          <w:marLeft w:val="0"/>
          <w:marRight w:val="0"/>
          <w:marTop w:val="0"/>
          <w:marBottom w:val="0"/>
          <w:divBdr>
            <w:top w:val="none" w:sz="0" w:space="0" w:color="auto"/>
            <w:left w:val="none" w:sz="0" w:space="0" w:color="auto"/>
            <w:bottom w:val="none" w:sz="0" w:space="0" w:color="auto"/>
            <w:right w:val="none" w:sz="0" w:space="0" w:color="auto"/>
          </w:divBdr>
        </w:div>
        <w:div w:id="2024701606">
          <w:marLeft w:val="0"/>
          <w:marRight w:val="0"/>
          <w:marTop w:val="0"/>
          <w:marBottom w:val="0"/>
          <w:divBdr>
            <w:top w:val="none" w:sz="0" w:space="0" w:color="auto"/>
            <w:left w:val="none" w:sz="0" w:space="0" w:color="auto"/>
            <w:bottom w:val="none" w:sz="0" w:space="0" w:color="auto"/>
            <w:right w:val="none" w:sz="0" w:space="0" w:color="auto"/>
          </w:divBdr>
        </w:div>
        <w:div w:id="2024701607">
          <w:marLeft w:val="0"/>
          <w:marRight w:val="0"/>
          <w:marTop w:val="0"/>
          <w:marBottom w:val="0"/>
          <w:divBdr>
            <w:top w:val="none" w:sz="0" w:space="0" w:color="auto"/>
            <w:left w:val="none" w:sz="0" w:space="0" w:color="auto"/>
            <w:bottom w:val="none" w:sz="0" w:space="0" w:color="auto"/>
            <w:right w:val="none" w:sz="0" w:space="0" w:color="auto"/>
          </w:divBdr>
        </w:div>
        <w:div w:id="2024701608">
          <w:marLeft w:val="0"/>
          <w:marRight w:val="0"/>
          <w:marTop w:val="0"/>
          <w:marBottom w:val="0"/>
          <w:divBdr>
            <w:top w:val="none" w:sz="0" w:space="0" w:color="auto"/>
            <w:left w:val="none" w:sz="0" w:space="0" w:color="auto"/>
            <w:bottom w:val="none" w:sz="0" w:space="0" w:color="auto"/>
            <w:right w:val="none" w:sz="0" w:space="0" w:color="auto"/>
          </w:divBdr>
        </w:div>
        <w:div w:id="2024701610">
          <w:marLeft w:val="0"/>
          <w:marRight w:val="0"/>
          <w:marTop w:val="0"/>
          <w:marBottom w:val="0"/>
          <w:divBdr>
            <w:top w:val="none" w:sz="0" w:space="0" w:color="auto"/>
            <w:left w:val="none" w:sz="0" w:space="0" w:color="auto"/>
            <w:bottom w:val="none" w:sz="0" w:space="0" w:color="auto"/>
            <w:right w:val="none" w:sz="0" w:space="0" w:color="auto"/>
          </w:divBdr>
        </w:div>
        <w:div w:id="2024701611">
          <w:marLeft w:val="0"/>
          <w:marRight w:val="0"/>
          <w:marTop w:val="0"/>
          <w:marBottom w:val="0"/>
          <w:divBdr>
            <w:top w:val="none" w:sz="0" w:space="0" w:color="auto"/>
            <w:left w:val="none" w:sz="0" w:space="0" w:color="auto"/>
            <w:bottom w:val="none" w:sz="0" w:space="0" w:color="auto"/>
            <w:right w:val="none" w:sz="0" w:space="0" w:color="auto"/>
          </w:divBdr>
        </w:div>
        <w:div w:id="2024701612">
          <w:marLeft w:val="0"/>
          <w:marRight w:val="0"/>
          <w:marTop w:val="0"/>
          <w:marBottom w:val="0"/>
          <w:divBdr>
            <w:top w:val="none" w:sz="0" w:space="0" w:color="auto"/>
            <w:left w:val="none" w:sz="0" w:space="0" w:color="auto"/>
            <w:bottom w:val="none" w:sz="0" w:space="0" w:color="auto"/>
            <w:right w:val="none" w:sz="0" w:space="0" w:color="auto"/>
          </w:divBdr>
        </w:div>
        <w:div w:id="2024701613">
          <w:marLeft w:val="0"/>
          <w:marRight w:val="0"/>
          <w:marTop w:val="0"/>
          <w:marBottom w:val="0"/>
          <w:divBdr>
            <w:top w:val="none" w:sz="0" w:space="0" w:color="auto"/>
            <w:left w:val="none" w:sz="0" w:space="0" w:color="auto"/>
            <w:bottom w:val="none" w:sz="0" w:space="0" w:color="auto"/>
            <w:right w:val="none" w:sz="0" w:space="0" w:color="auto"/>
          </w:divBdr>
        </w:div>
        <w:div w:id="2024701614">
          <w:marLeft w:val="0"/>
          <w:marRight w:val="0"/>
          <w:marTop w:val="0"/>
          <w:marBottom w:val="0"/>
          <w:divBdr>
            <w:top w:val="none" w:sz="0" w:space="0" w:color="auto"/>
            <w:left w:val="none" w:sz="0" w:space="0" w:color="auto"/>
            <w:bottom w:val="none" w:sz="0" w:space="0" w:color="auto"/>
            <w:right w:val="none" w:sz="0" w:space="0" w:color="auto"/>
          </w:divBdr>
        </w:div>
        <w:div w:id="2024701615">
          <w:marLeft w:val="0"/>
          <w:marRight w:val="0"/>
          <w:marTop w:val="0"/>
          <w:marBottom w:val="0"/>
          <w:divBdr>
            <w:top w:val="none" w:sz="0" w:space="0" w:color="auto"/>
            <w:left w:val="none" w:sz="0" w:space="0" w:color="auto"/>
            <w:bottom w:val="none" w:sz="0" w:space="0" w:color="auto"/>
            <w:right w:val="none" w:sz="0" w:space="0" w:color="auto"/>
          </w:divBdr>
        </w:div>
        <w:div w:id="2024701616">
          <w:marLeft w:val="0"/>
          <w:marRight w:val="0"/>
          <w:marTop w:val="0"/>
          <w:marBottom w:val="0"/>
          <w:divBdr>
            <w:top w:val="none" w:sz="0" w:space="0" w:color="auto"/>
            <w:left w:val="none" w:sz="0" w:space="0" w:color="auto"/>
            <w:bottom w:val="none" w:sz="0" w:space="0" w:color="auto"/>
            <w:right w:val="none" w:sz="0" w:space="0" w:color="auto"/>
          </w:divBdr>
        </w:div>
        <w:div w:id="2024701617">
          <w:marLeft w:val="0"/>
          <w:marRight w:val="0"/>
          <w:marTop w:val="0"/>
          <w:marBottom w:val="0"/>
          <w:divBdr>
            <w:top w:val="none" w:sz="0" w:space="0" w:color="auto"/>
            <w:left w:val="none" w:sz="0" w:space="0" w:color="auto"/>
            <w:bottom w:val="none" w:sz="0" w:space="0" w:color="auto"/>
            <w:right w:val="none" w:sz="0" w:space="0" w:color="auto"/>
          </w:divBdr>
        </w:div>
        <w:div w:id="2024701619">
          <w:marLeft w:val="0"/>
          <w:marRight w:val="0"/>
          <w:marTop w:val="0"/>
          <w:marBottom w:val="0"/>
          <w:divBdr>
            <w:top w:val="none" w:sz="0" w:space="0" w:color="auto"/>
            <w:left w:val="none" w:sz="0" w:space="0" w:color="auto"/>
            <w:bottom w:val="none" w:sz="0" w:space="0" w:color="auto"/>
            <w:right w:val="none" w:sz="0" w:space="0" w:color="auto"/>
          </w:divBdr>
        </w:div>
        <w:div w:id="2024701620">
          <w:marLeft w:val="0"/>
          <w:marRight w:val="0"/>
          <w:marTop w:val="0"/>
          <w:marBottom w:val="0"/>
          <w:divBdr>
            <w:top w:val="none" w:sz="0" w:space="0" w:color="auto"/>
            <w:left w:val="none" w:sz="0" w:space="0" w:color="auto"/>
            <w:bottom w:val="none" w:sz="0" w:space="0" w:color="auto"/>
            <w:right w:val="none" w:sz="0" w:space="0" w:color="auto"/>
          </w:divBdr>
        </w:div>
        <w:div w:id="2024701621">
          <w:marLeft w:val="0"/>
          <w:marRight w:val="0"/>
          <w:marTop w:val="0"/>
          <w:marBottom w:val="0"/>
          <w:divBdr>
            <w:top w:val="none" w:sz="0" w:space="0" w:color="auto"/>
            <w:left w:val="none" w:sz="0" w:space="0" w:color="auto"/>
            <w:bottom w:val="none" w:sz="0" w:space="0" w:color="auto"/>
            <w:right w:val="none" w:sz="0" w:space="0" w:color="auto"/>
          </w:divBdr>
        </w:div>
        <w:div w:id="2024701622">
          <w:marLeft w:val="0"/>
          <w:marRight w:val="0"/>
          <w:marTop w:val="0"/>
          <w:marBottom w:val="0"/>
          <w:divBdr>
            <w:top w:val="none" w:sz="0" w:space="0" w:color="auto"/>
            <w:left w:val="none" w:sz="0" w:space="0" w:color="auto"/>
            <w:bottom w:val="none" w:sz="0" w:space="0" w:color="auto"/>
            <w:right w:val="none" w:sz="0" w:space="0" w:color="auto"/>
          </w:divBdr>
        </w:div>
        <w:div w:id="2024701623">
          <w:marLeft w:val="0"/>
          <w:marRight w:val="0"/>
          <w:marTop w:val="0"/>
          <w:marBottom w:val="0"/>
          <w:divBdr>
            <w:top w:val="none" w:sz="0" w:space="0" w:color="auto"/>
            <w:left w:val="none" w:sz="0" w:space="0" w:color="auto"/>
            <w:bottom w:val="none" w:sz="0" w:space="0" w:color="auto"/>
            <w:right w:val="none" w:sz="0" w:space="0" w:color="auto"/>
          </w:divBdr>
        </w:div>
        <w:div w:id="2024701624">
          <w:marLeft w:val="0"/>
          <w:marRight w:val="0"/>
          <w:marTop w:val="0"/>
          <w:marBottom w:val="0"/>
          <w:divBdr>
            <w:top w:val="none" w:sz="0" w:space="0" w:color="auto"/>
            <w:left w:val="none" w:sz="0" w:space="0" w:color="auto"/>
            <w:bottom w:val="none" w:sz="0" w:space="0" w:color="auto"/>
            <w:right w:val="none" w:sz="0" w:space="0" w:color="auto"/>
          </w:divBdr>
        </w:div>
        <w:div w:id="2024701625">
          <w:marLeft w:val="0"/>
          <w:marRight w:val="0"/>
          <w:marTop w:val="0"/>
          <w:marBottom w:val="0"/>
          <w:divBdr>
            <w:top w:val="none" w:sz="0" w:space="0" w:color="auto"/>
            <w:left w:val="none" w:sz="0" w:space="0" w:color="auto"/>
            <w:bottom w:val="none" w:sz="0" w:space="0" w:color="auto"/>
            <w:right w:val="none" w:sz="0" w:space="0" w:color="auto"/>
          </w:divBdr>
        </w:div>
        <w:div w:id="2024701626">
          <w:marLeft w:val="0"/>
          <w:marRight w:val="0"/>
          <w:marTop w:val="0"/>
          <w:marBottom w:val="0"/>
          <w:divBdr>
            <w:top w:val="none" w:sz="0" w:space="0" w:color="auto"/>
            <w:left w:val="none" w:sz="0" w:space="0" w:color="auto"/>
            <w:bottom w:val="none" w:sz="0" w:space="0" w:color="auto"/>
            <w:right w:val="none" w:sz="0" w:space="0" w:color="auto"/>
          </w:divBdr>
        </w:div>
        <w:div w:id="2024701627">
          <w:marLeft w:val="0"/>
          <w:marRight w:val="0"/>
          <w:marTop w:val="0"/>
          <w:marBottom w:val="0"/>
          <w:divBdr>
            <w:top w:val="none" w:sz="0" w:space="0" w:color="auto"/>
            <w:left w:val="none" w:sz="0" w:space="0" w:color="auto"/>
            <w:bottom w:val="none" w:sz="0" w:space="0" w:color="auto"/>
            <w:right w:val="none" w:sz="0" w:space="0" w:color="auto"/>
          </w:divBdr>
        </w:div>
        <w:div w:id="2024701628">
          <w:marLeft w:val="0"/>
          <w:marRight w:val="0"/>
          <w:marTop w:val="0"/>
          <w:marBottom w:val="0"/>
          <w:divBdr>
            <w:top w:val="none" w:sz="0" w:space="0" w:color="auto"/>
            <w:left w:val="none" w:sz="0" w:space="0" w:color="auto"/>
            <w:bottom w:val="none" w:sz="0" w:space="0" w:color="auto"/>
            <w:right w:val="none" w:sz="0" w:space="0" w:color="auto"/>
          </w:divBdr>
        </w:div>
        <w:div w:id="2024701629">
          <w:marLeft w:val="0"/>
          <w:marRight w:val="0"/>
          <w:marTop w:val="0"/>
          <w:marBottom w:val="0"/>
          <w:divBdr>
            <w:top w:val="none" w:sz="0" w:space="0" w:color="auto"/>
            <w:left w:val="none" w:sz="0" w:space="0" w:color="auto"/>
            <w:bottom w:val="none" w:sz="0" w:space="0" w:color="auto"/>
            <w:right w:val="none" w:sz="0" w:space="0" w:color="auto"/>
          </w:divBdr>
        </w:div>
        <w:div w:id="2024701630">
          <w:marLeft w:val="0"/>
          <w:marRight w:val="0"/>
          <w:marTop w:val="0"/>
          <w:marBottom w:val="0"/>
          <w:divBdr>
            <w:top w:val="none" w:sz="0" w:space="0" w:color="auto"/>
            <w:left w:val="none" w:sz="0" w:space="0" w:color="auto"/>
            <w:bottom w:val="none" w:sz="0" w:space="0" w:color="auto"/>
            <w:right w:val="none" w:sz="0" w:space="0" w:color="auto"/>
          </w:divBdr>
        </w:div>
        <w:div w:id="2024701631">
          <w:marLeft w:val="0"/>
          <w:marRight w:val="0"/>
          <w:marTop w:val="0"/>
          <w:marBottom w:val="0"/>
          <w:divBdr>
            <w:top w:val="none" w:sz="0" w:space="0" w:color="auto"/>
            <w:left w:val="none" w:sz="0" w:space="0" w:color="auto"/>
            <w:bottom w:val="none" w:sz="0" w:space="0" w:color="auto"/>
            <w:right w:val="none" w:sz="0" w:space="0" w:color="auto"/>
          </w:divBdr>
        </w:div>
        <w:div w:id="2024701632">
          <w:marLeft w:val="0"/>
          <w:marRight w:val="0"/>
          <w:marTop w:val="0"/>
          <w:marBottom w:val="0"/>
          <w:divBdr>
            <w:top w:val="none" w:sz="0" w:space="0" w:color="auto"/>
            <w:left w:val="none" w:sz="0" w:space="0" w:color="auto"/>
            <w:bottom w:val="none" w:sz="0" w:space="0" w:color="auto"/>
            <w:right w:val="none" w:sz="0" w:space="0" w:color="auto"/>
          </w:divBdr>
        </w:div>
        <w:div w:id="2024701633">
          <w:marLeft w:val="0"/>
          <w:marRight w:val="0"/>
          <w:marTop w:val="0"/>
          <w:marBottom w:val="0"/>
          <w:divBdr>
            <w:top w:val="none" w:sz="0" w:space="0" w:color="auto"/>
            <w:left w:val="none" w:sz="0" w:space="0" w:color="auto"/>
            <w:bottom w:val="none" w:sz="0" w:space="0" w:color="auto"/>
            <w:right w:val="none" w:sz="0" w:space="0" w:color="auto"/>
          </w:divBdr>
        </w:div>
        <w:div w:id="2024701634">
          <w:marLeft w:val="0"/>
          <w:marRight w:val="0"/>
          <w:marTop w:val="0"/>
          <w:marBottom w:val="0"/>
          <w:divBdr>
            <w:top w:val="none" w:sz="0" w:space="0" w:color="auto"/>
            <w:left w:val="none" w:sz="0" w:space="0" w:color="auto"/>
            <w:bottom w:val="none" w:sz="0" w:space="0" w:color="auto"/>
            <w:right w:val="none" w:sz="0" w:space="0" w:color="auto"/>
          </w:divBdr>
        </w:div>
        <w:div w:id="2024701635">
          <w:marLeft w:val="0"/>
          <w:marRight w:val="0"/>
          <w:marTop w:val="0"/>
          <w:marBottom w:val="0"/>
          <w:divBdr>
            <w:top w:val="none" w:sz="0" w:space="0" w:color="auto"/>
            <w:left w:val="none" w:sz="0" w:space="0" w:color="auto"/>
            <w:bottom w:val="none" w:sz="0" w:space="0" w:color="auto"/>
            <w:right w:val="none" w:sz="0" w:space="0" w:color="auto"/>
          </w:divBdr>
        </w:div>
        <w:div w:id="2024701636">
          <w:marLeft w:val="0"/>
          <w:marRight w:val="0"/>
          <w:marTop w:val="0"/>
          <w:marBottom w:val="0"/>
          <w:divBdr>
            <w:top w:val="none" w:sz="0" w:space="0" w:color="auto"/>
            <w:left w:val="none" w:sz="0" w:space="0" w:color="auto"/>
            <w:bottom w:val="none" w:sz="0" w:space="0" w:color="auto"/>
            <w:right w:val="none" w:sz="0" w:space="0" w:color="auto"/>
          </w:divBdr>
        </w:div>
        <w:div w:id="2024701637">
          <w:marLeft w:val="0"/>
          <w:marRight w:val="0"/>
          <w:marTop w:val="0"/>
          <w:marBottom w:val="0"/>
          <w:divBdr>
            <w:top w:val="none" w:sz="0" w:space="0" w:color="auto"/>
            <w:left w:val="none" w:sz="0" w:space="0" w:color="auto"/>
            <w:bottom w:val="none" w:sz="0" w:space="0" w:color="auto"/>
            <w:right w:val="none" w:sz="0" w:space="0" w:color="auto"/>
          </w:divBdr>
        </w:div>
        <w:div w:id="2024701638">
          <w:marLeft w:val="0"/>
          <w:marRight w:val="0"/>
          <w:marTop w:val="0"/>
          <w:marBottom w:val="0"/>
          <w:divBdr>
            <w:top w:val="none" w:sz="0" w:space="0" w:color="auto"/>
            <w:left w:val="none" w:sz="0" w:space="0" w:color="auto"/>
            <w:bottom w:val="none" w:sz="0" w:space="0" w:color="auto"/>
            <w:right w:val="none" w:sz="0" w:space="0" w:color="auto"/>
          </w:divBdr>
        </w:div>
        <w:div w:id="2024701639">
          <w:marLeft w:val="0"/>
          <w:marRight w:val="0"/>
          <w:marTop w:val="0"/>
          <w:marBottom w:val="0"/>
          <w:divBdr>
            <w:top w:val="none" w:sz="0" w:space="0" w:color="auto"/>
            <w:left w:val="none" w:sz="0" w:space="0" w:color="auto"/>
            <w:bottom w:val="none" w:sz="0" w:space="0" w:color="auto"/>
            <w:right w:val="none" w:sz="0" w:space="0" w:color="auto"/>
          </w:divBdr>
        </w:div>
        <w:div w:id="2024701641">
          <w:marLeft w:val="0"/>
          <w:marRight w:val="0"/>
          <w:marTop w:val="0"/>
          <w:marBottom w:val="0"/>
          <w:divBdr>
            <w:top w:val="none" w:sz="0" w:space="0" w:color="auto"/>
            <w:left w:val="none" w:sz="0" w:space="0" w:color="auto"/>
            <w:bottom w:val="none" w:sz="0" w:space="0" w:color="auto"/>
            <w:right w:val="none" w:sz="0" w:space="0" w:color="auto"/>
          </w:divBdr>
        </w:div>
        <w:div w:id="2024701642">
          <w:marLeft w:val="0"/>
          <w:marRight w:val="0"/>
          <w:marTop w:val="0"/>
          <w:marBottom w:val="0"/>
          <w:divBdr>
            <w:top w:val="none" w:sz="0" w:space="0" w:color="auto"/>
            <w:left w:val="none" w:sz="0" w:space="0" w:color="auto"/>
            <w:bottom w:val="none" w:sz="0" w:space="0" w:color="auto"/>
            <w:right w:val="none" w:sz="0" w:space="0" w:color="auto"/>
          </w:divBdr>
        </w:div>
        <w:div w:id="2024701643">
          <w:marLeft w:val="0"/>
          <w:marRight w:val="0"/>
          <w:marTop w:val="0"/>
          <w:marBottom w:val="0"/>
          <w:divBdr>
            <w:top w:val="none" w:sz="0" w:space="0" w:color="auto"/>
            <w:left w:val="none" w:sz="0" w:space="0" w:color="auto"/>
            <w:bottom w:val="none" w:sz="0" w:space="0" w:color="auto"/>
            <w:right w:val="none" w:sz="0" w:space="0" w:color="auto"/>
          </w:divBdr>
        </w:div>
        <w:div w:id="2024701644">
          <w:marLeft w:val="0"/>
          <w:marRight w:val="0"/>
          <w:marTop w:val="0"/>
          <w:marBottom w:val="0"/>
          <w:divBdr>
            <w:top w:val="none" w:sz="0" w:space="0" w:color="auto"/>
            <w:left w:val="none" w:sz="0" w:space="0" w:color="auto"/>
            <w:bottom w:val="none" w:sz="0" w:space="0" w:color="auto"/>
            <w:right w:val="none" w:sz="0" w:space="0" w:color="auto"/>
          </w:divBdr>
        </w:div>
        <w:div w:id="2024701645">
          <w:marLeft w:val="0"/>
          <w:marRight w:val="0"/>
          <w:marTop w:val="0"/>
          <w:marBottom w:val="0"/>
          <w:divBdr>
            <w:top w:val="none" w:sz="0" w:space="0" w:color="auto"/>
            <w:left w:val="none" w:sz="0" w:space="0" w:color="auto"/>
            <w:bottom w:val="none" w:sz="0" w:space="0" w:color="auto"/>
            <w:right w:val="none" w:sz="0" w:space="0" w:color="auto"/>
          </w:divBdr>
        </w:div>
        <w:div w:id="2024701646">
          <w:marLeft w:val="0"/>
          <w:marRight w:val="0"/>
          <w:marTop w:val="0"/>
          <w:marBottom w:val="0"/>
          <w:divBdr>
            <w:top w:val="none" w:sz="0" w:space="0" w:color="auto"/>
            <w:left w:val="none" w:sz="0" w:space="0" w:color="auto"/>
            <w:bottom w:val="none" w:sz="0" w:space="0" w:color="auto"/>
            <w:right w:val="none" w:sz="0" w:space="0" w:color="auto"/>
          </w:divBdr>
        </w:div>
        <w:div w:id="2024701647">
          <w:marLeft w:val="0"/>
          <w:marRight w:val="0"/>
          <w:marTop w:val="0"/>
          <w:marBottom w:val="0"/>
          <w:divBdr>
            <w:top w:val="none" w:sz="0" w:space="0" w:color="auto"/>
            <w:left w:val="none" w:sz="0" w:space="0" w:color="auto"/>
            <w:bottom w:val="none" w:sz="0" w:space="0" w:color="auto"/>
            <w:right w:val="none" w:sz="0" w:space="0" w:color="auto"/>
          </w:divBdr>
        </w:div>
        <w:div w:id="2024701648">
          <w:marLeft w:val="0"/>
          <w:marRight w:val="0"/>
          <w:marTop w:val="0"/>
          <w:marBottom w:val="0"/>
          <w:divBdr>
            <w:top w:val="none" w:sz="0" w:space="0" w:color="auto"/>
            <w:left w:val="none" w:sz="0" w:space="0" w:color="auto"/>
            <w:bottom w:val="none" w:sz="0" w:space="0" w:color="auto"/>
            <w:right w:val="none" w:sz="0" w:space="0" w:color="auto"/>
          </w:divBdr>
        </w:div>
        <w:div w:id="2024701649">
          <w:marLeft w:val="0"/>
          <w:marRight w:val="0"/>
          <w:marTop w:val="0"/>
          <w:marBottom w:val="0"/>
          <w:divBdr>
            <w:top w:val="none" w:sz="0" w:space="0" w:color="auto"/>
            <w:left w:val="none" w:sz="0" w:space="0" w:color="auto"/>
            <w:bottom w:val="none" w:sz="0" w:space="0" w:color="auto"/>
            <w:right w:val="none" w:sz="0" w:space="0" w:color="auto"/>
          </w:divBdr>
        </w:div>
        <w:div w:id="2024701650">
          <w:marLeft w:val="0"/>
          <w:marRight w:val="0"/>
          <w:marTop w:val="0"/>
          <w:marBottom w:val="0"/>
          <w:divBdr>
            <w:top w:val="none" w:sz="0" w:space="0" w:color="auto"/>
            <w:left w:val="none" w:sz="0" w:space="0" w:color="auto"/>
            <w:bottom w:val="none" w:sz="0" w:space="0" w:color="auto"/>
            <w:right w:val="none" w:sz="0" w:space="0" w:color="auto"/>
          </w:divBdr>
        </w:div>
        <w:div w:id="2024701651">
          <w:marLeft w:val="0"/>
          <w:marRight w:val="0"/>
          <w:marTop w:val="0"/>
          <w:marBottom w:val="0"/>
          <w:divBdr>
            <w:top w:val="none" w:sz="0" w:space="0" w:color="auto"/>
            <w:left w:val="none" w:sz="0" w:space="0" w:color="auto"/>
            <w:bottom w:val="none" w:sz="0" w:space="0" w:color="auto"/>
            <w:right w:val="none" w:sz="0" w:space="0" w:color="auto"/>
          </w:divBdr>
        </w:div>
        <w:div w:id="2024701652">
          <w:marLeft w:val="0"/>
          <w:marRight w:val="0"/>
          <w:marTop w:val="0"/>
          <w:marBottom w:val="0"/>
          <w:divBdr>
            <w:top w:val="none" w:sz="0" w:space="0" w:color="auto"/>
            <w:left w:val="none" w:sz="0" w:space="0" w:color="auto"/>
            <w:bottom w:val="none" w:sz="0" w:space="0" w:color="auto"/>
            <w:right w:val="none" w:sz="0" w:space="0" w:color="auto"/>
          </w:divBdr>
        </w:div>
        <w:div w:id="2024701653">
          <w:marLeft w:val="0"/>
          <w:marRight w:val="0"/>
          <w:marTop w:val="0"/>
          <w:marBottom w:val="0"/>
          <w:divBdr>
            <w:top w:val="none" w:sz="0" w:space="0" w:color="auto"/>
            <w:left w:val="none" w:sz="0" w:space="0" w:color="auto"/>
            <w:bottom w:val="none" w:sz="0" w:space="0" w:color="auto"/>
            <w:right w:val="none" w:sz="0" w:space="0" w:color="auto"/>
          </w:divBdr>
        </w:div>
        <w:div w:id="2024701654">
          <w:marLeft w:val="0"/>
          <w:marRight w:val="0"/>
          <w:marTop w:val="0"/>
          <w:marBottom w:val="0"/>
          <w:divBdr>
            <w:top w:val="none" w:sz="0" w:space="0" w:color="auto"/>
            <w:left w:val="none" w:sz="0" w:space="0" w:color="auto"/>
            <w:bottom w:val="none" w:sz="0" w:space="0" w:color="auto"/>
            <w:right w:val="none" w:sz="0" w:space="0" w:color="auto"/>
          </w:divBdr>
        </w:div>
        <w:div w:id="2024701656">
          <w:marLeft w:val="0"/>
          <w:marRight w:val="0"/>
          <w:marTop w:val="0"/>
          <w:marBottom w:val="0"/>
          <w:divBdr>
            <w:top w:val="none" w:sz="0" w:space="0" w:color="auto"/>
            <w:left w:val="none" w:sz="0" w:space="0" w:color="auto"/>
            <w:bottom w:val="none" w:sz="0" w:space="0" w:color="auto"/>
            <w:right w:val="none" w:sz="0" w:space="0" w:color="auto"/>
          </w:divBdr>
        </w:div>
        <w:div w:id="2024701657">
          <w:marLeft w:val="0"/>
          <w:marRight w:val="0"/>
          <w:marTop w:val="0"/>
          <w:marBottom w:val="0"/>
          <w:divBdr>
            <w:top w:val="none" w:sz="0" w:space="0" w:color="auto"/>
            <w:left w:val="none" w:sz="0" w:space="0" w:color="auto"/>
            <w:bottom w:val="none" w:sz="0" w:space="0" w:color="auto"/>
            <w:right w:val="none" w:sz="0" w:space="0" w:color="auto"/>
          </w:divBdr>
        </w:div>
        <w:div w:id="2024701658">
          <w:marLeft w:val="0"/>
          <w:marRight w:val="0"/>
          <w:marTop w:val="0"/>
          <w:marBottom w:val="0"/>
          <w:divBdr>
            <w:top w:val="none" w:sz="0" w:space="0" w:color="auto"/>
            <w:left w:val="none" w:sz="0" w:space="0" w:color="auto"/>
            <w:bottom w:val="none" w:sz="0" w:space="0" w:color="auto"/>
            <w:right w:val="none" w:sz="0" w:space="0" w:color="auto"/>
          </w:divBdr>
        </w:div>
        <w:div w:id="2024701659">
          <w:marLeft w:val="0"/>
          <w:marRight w:val="0"/>
          <w:marTop w:val="0"/>
          <w:marBottom w:val="0"/>
          <w:divBdr>
            <w:top w:val="none" w:sz="0" w:space="0" w:color="auto"/>
            <w:left w:val="none" w:sz="0" w:space="0" w:color="auto"/>
            <w:bottom w:val="none" w:sz="0" w:space="0" w:color="auto"/>
            <w:right w:val="none" w:sz="0" w:space="0" w:color="auto"/>
          </w:divBdr>
        </w:div>
        <w:div w:id="2024701660">
          <w:marLeft w:val="0"/>
          <w:marRight w:val="0"/>
          <w:marTop w:val="0"/>
          <w:marBottom w:val="0"/>
          <w:divBdr>
            <w:top w:val="none" w:sz="0" w:space="0" w:color="auto"/>
            <w:left w:val="none" w:sz="0" w:space="0" w:color="auto"/>
            <w:bottom w:val="none" w:sz="0" w:space="0" w:color="auto"/>
            <w:right w:val="none" w:sz="0" w:space="0" w:color="auto"/>
          </w:divBdr>
        </w:div>
        <w:div w:id="2024701661">
          <w:marLeft w:val="0"/>
          <w:marRight w:val="0"/>
          <w:marTop w:val="0"/>
          <w:marBottom w:val="0"/>
          <w:divBdr>
            <w:top w:val="none" w:sz="0" w:space="0" w:color="auto"/>
            <w:left w:val="none" w:sz="0" w:space="0" w:color="auto"/>
            <w:bottom w:val="none" w:sz="0" w:space="0" w:color="auto"/>
            <w:right w:val="none" w:sz="0" w:space="0" w:color="auto"/>
          </w:divBdr>
        </w:div>
        <w:div w:id="2024701662">
          <w:marLeft w:val="0"/>
          <w:marRight w:val="0"/>
          <w:marTop w:val="0"/>
          <w:marBottom w:val="0"/>
          <w:divBdr>
            <w:top w:val="none" w:sz="0" w:space="0" w:color="auto"/>
            <w:left w:val="none" w:sz="0" w:space="0" w:color="auto"/>
            <w:bottom w:val="none" w:sz="0" w:space="0" w:color="auto"/>
            <w:right w:val="none" w:sz="0" w:space="0" w:color="auto"/>
          </w:divBdr>
        </w:div>
        <w:div w:id="2024701664">
          <w:marLeft w:val="0"/>
          <w:marRight w:val="0"/>
          <w:marTop w:val="0"/>
          <w:marBottom w:val="0"/>
          <w:divBdr>
            <w:top w:val="none" w:sz="0" w:space="0" w:color="auto"/>
            <w:left w:val="none" w:sz="0" w:space="0" w:color="auto"/>
            <w:bottom w:val="none" w:sz="0" w:space="0" w:color="auto"/>
            <w:right w:val="none" w:sz="0" w:space="0" w:color="auto"/>
          </w:divBdr>
        </w:div>
        <w:div w:id="2024701665">
          <w:marLeft w:val="0"/>
          <w:marRight w:val="0"/>
          <w:marTop w:val="0"/>
          <w:marBottom w:val="0"/>
          <w:divBdr>
            <w:top w:val="none" w:sz="0" w:space="0" w:color="auto"/>
            <w:left w:val="none" w:sz="0" w:space="0" w:color="auto"/>
            <w:bottom w:val="none" w:sz="0" w:space="0" w:color="auto"/>
            <w:right w:val="none" w:sz="0" w:space="0" w:color="auto"/>
          </w:divBdr>
        </w:div>
        <w:div w:id="2024701666">
          <w:marLeft w:val="0"/>
          <w:marRight w:val="0"/>
          <w:marTop w:val="0"/>
          <w:marBottom w:val="0"/>
          <w:divBdr>
            <w:top w:val="none" w:sz="0" w:space="0" w:color="auto"/>
            <w:left w:val="none" w:sz="0" w:space="0" w:color="auto"/>
            <w:bottom w:val="none" w:sz="0" w:space="0" w:color="auto"/>
            <w:right w:val="none" w:sz="0" w:space="0" w:color="auto"/>
          </w:divBdr>
        </w:div>
        <w:div w:id="2024701667">
          <w:marLeft w:val="0"/>
          <w:marRight w:val="0"/>
          <w:marTop w:val="0"/>
          <w:marBottom w:val="0"/>
          <w:divBdr>
            <w:top w:val="none" w:sz="0" w:space="0" w:color="auto"/>
            <w:left w:val="none" w:sz="0" w:space="0" w:color="auto"/>
            <w:bottom w:val="none" w:sz="0" w:space="0" w:color="auto"/>
            <w:right w:val="none" w:sz="0" w:space="0" w:color="auto"/>
          </w:divBdr>
        </w:div>
        <w:div w:id="2024701668">
          <w:marLeft w:val="0"/>
          <w:marRight w:val="0"/>
          <w:marTop w:val="0"/>
          <w:marBottom w:val="0"/>
          <w:divBdr>
            <w:top w:val="none" w:sz="0" w:space="0" w:color="auto"/>
            <w:left w:val="none" w:sz="0" w:space="0" w:color="auto"/>
            <w:bottom w:val="none" w:sz="0" w:space="0" w:color="auto"/>
            <w:right w:val="none" w:sz="0" w:space="0" w:color="auto"/>
          </w:divBdr>
        </w:div>
        <w:div w:id="2024701669">
          <w:marLeft w:val="0"/>
          <w:marRight w:val="0"/>
          <w:marTop w:val="0"/>
          <w:marBottom w:val="0"/>
          <w:divBdr>
            <w:top w:val="none" w:sz="0" w:space="0" w:color="auto"/>
            <w:left w:val="none" w:sz="0" w:space="0" w:color="auto"/>
            <w:bottom w:val="none" w:sz="0" w:space="0" w:color="auto"/>
            <w:right w:val="none" w:sz="0" w:space="0" w:color="auto"/>
          </w:divBdr>
        </w:div>
        <w:div w:id="2024701670">
          <w:marLeft w:val="0"/>
          <w:marRight w:val="0"/>
          <w:marTop w:val="0"/>
          <w:marBottom w:val="0"/>
          <w:divBdr>
            <w:top w:val="none" w:sz="0" w:space="0" w:color="auto"/>
            <w:left w:val="none" w:sz="0" w:space="0" w:color="auto"/>
            <w:bottom w:val="none" w:sz="0" w:space="0" w:color="auto"/>
            <w:right w:val="none" w:sz="0" w:space="0" w:color="auto"/>
          </w:divBdr>
        </w:div>
        <w:div w:id="2024701671">
          <w:marLeft w:val="0"/>
          <w:marRight w:val="0"/>
          <w:marTop w:val="0"/>
          <w:marBottom w:val="0"/>
          <w:divBdr>
            <w:top w:val="none" w:sz="0" w:space="0" w:color="auto"/>
            <w:left w:val="none" w:sz="0" w:space="0" w:color="auto"/>
            <w:bottom w:val="none" w:sz="0" w:space="0" w:color="auto"/>
            <w:right w:val="none" w:sz="0" w:space="0" w:color="auto"/>
          </w:divBdr>
        </w:div>
        <w:div w:id="2024701672">
          <w:marLeft w:val="0"/>
          <w:marRight w:val="0"/>
          <w:marTop w:val="0"/>
          <w:marBottom w:val="0"/>
          <w:divBdr>
            <w:top w:val="none" w:sz="0" w:space="0" w:color="auto"/>
            <w:left w:val="none" w:sz="0" w:space="0" w:color="auto"/>
            <w:bottom w:val="none" w:sz="0" w:space="0" w:color="auto"/>
            <w:right w:val="none" w:sz="0" w:space="0" w:color="auto"/>
          </w:divBdr>
        </w:div>
        <w:div w:id="2024701673">
          <w:marLeft w:val="0"/>
          <w:marRight w:val="0"/>
          <w:marTop w:val="0"/>
          <w:marBottom w:val="0"/>
          <w:divBdr>
            <w:top w:val="none" w:sz="0" w:space="0" w:color="auto"/>
            <w:left w:val="none" w:sz="0" w:space="0" w:color="auto"/>
            <w:bottom w:val="none" w:sz="0" w:space="0" w:color="auto"/>
            <w:right w:val="none" w:sz="0" w:space="0" w:color="auto"/>
          </w:divBdr>
        </w:div>
        <w:div w:id="2024701674">
          <w:marLeft w:val="0"/>
          <w:marRight w:val="0"/>
          <w:marTop w:val="0"/>
          <w:marBottom w:val="0"/>
          <w:divBdr>
            <w:top w:val="none" w:sz="0" w:space="0" w:color="auto"/>
            <w:left w:val="none" w:sz="0" w:space="0" w:color="auto"/>
            <w:bottom w:val="none" w:sz="0" w:space="0" w:color="auto"/>
            <w:right w:val="none" w:sz="0" w:space="0" w:color="auto"/>
          </w:divBdr>
        </w:div>
        <w:div w:id="2024701675">
          <w:marLeft w:val="0"/>
          <w:marRight w:val="0"/>
          <w:marTop w:val="0"/>
          <w:marBottom w:val="0"/>
          <w:divBdr>
            <w:top w:val="none" w:sz="0" w:space="0" w:color="auto"/>
            <w:left w:val="none" w:sz="0" w:space="0" w:color="auto"/>
            <w:bottom w:val="none" w:sz="0" w:space="0" w:color="auto"/>
            <w:right w:val="none" w:sz="0" w:space="0" w:color="auto"/>
          </w:divBdr>
        </w:div>
        <w:div w:id="2024701676">
          <w:marLeft w:val="0"/>
          <w:marRight w:val="0"/>
          <w:marTop w:val="0"/>
          <w:marBottom w:val="0"/>
          <w:divBdr>
            <w:top w:val="none" w:sz="0" w:space="0" w:color="auto"/>
            <w:left w:val="none" w:sz="0" w:space="0" w:color="auto"/>
            <w:bottom w:val="none" w:sz="0" w:space="0" w:color="auto"/>
            <w:right w:val="none" w:sz="0" w:space="0" w:color="auto"/>
          </w:divBdr>
        </w:div>
        <w:div w:id="2024701677">
          <w:marLeft w:val="0"/>
          <w:marRight w:val="0"/>
          <w:marTop w:val="0"/>
          <w:marBottom w:val="0"/>
          <w:divBdr>
            <w:top w:val="none" w:sz="0" w:space="0" w:color="auto"/>
            <w:left w:val="none" w:sz="0" w:space="0" w:color="auto"/>
            <w:bottom w:val="none" w:sz="0" w:space="0" w:color="auto"/>
            <w:right w:val="none" w:sz="0" w:space="0" w:color="auto"/>
          </w:divBdr>
        </w:div>
        <w:div w:id="2024701678">
          <w:marLeft w:val="0"/>
          <w:marRight w:val="0"/>
          <w:marTop w:val="0"/>
          <w:marBottom w:val="0"/>
          <w:divBdr>
            <w:top w:val="none" w:sz="0" w:space="0" w:color="auto"/>
            <w:left w:val="none" w:sz="0" w:space="0" w:color="auto"/>
            <w:bottom w:val="none" w:sz="0" w:space="0" w:color="auto"/>
            <w:right w:val="none" w:sz="0" w:space="0" w:color="auto"/>
          </w:divBdr>
        </w:div>
        <w:div w:id="2024701679">
          <w:marLeft w:val="0"/>
          <w:marRight w:val="0"/>
          <w:marTop w:val="0"/>
          <w:marBottom w:val="0"/>
          <w:divBdr>
            <w:top w:val="none" w:sz="0" w:space="0" w:color="auto"/>
            <w:left w:val="none" w:sz="0" w:space="0" w:color="auto"/>
            <w:bottom w:val="none" w:sz="0" w:space="0" w:color="auto"/>
            <w:right w:val="none" w:sz="0" w:space="0" w:color="auto"/>
          </w:divBdr>
        </w:div>
        <w:div w:id="2024701680">
          <w:marLeft w:val="0"/>
          <w:marRight w:val="0"/>
          <w:marTop w:val="0"/>
          <w:marBottom w:val="0"/>
          <w:divBdr>
            <w:top w:val="none" w:sz="0" w:space="0" w:color="auto"/>
            <w:left w:val="none" w:sz="0" w:space="0" w:color="auto"/>
            <w:bottom w:val="none" w:sz="0" w:space="0" w:color="auto"/>
            <w:right w:val="none" w:sz="0" w:space="0" w:color="auto"/>
          </w:divBdr>
        </w:div>
        <w:div w:id="2024701681">
          <w:marLeft w:val="0"/>
          <w:marRight w:val="0"/>
          <w:marTop w:val="0"/>
          <w:marBottom w:val="0"/>
          <w:divBdr>
            <w:top w:val="none" w:sz="0" w:space="0" w:color="auto"/>
            <w:left w:val="none" w:sz="0" w:space="0" w:color="auto"/>
            <w:bottom w:val="none" w:sz="0" w:space="0" w:color="auto"/>
            <w:right w:val="none" w:sz="0" w:space="0" w:color="auto"/>
          </w:divBdr>
        </w:div>
        <w:div w:id="2024701682">
          <w:marLeft w:val="0"/>
          <w:marRight w:val="0"/>
          <w:marTop w:val="0"/>
          <w:marBottom w:val="0"/>
          <w:divBdr>
            <w:top w:val="none" w:sz="0" w:space="0" w:color="auto"/>
            <w:left w:val="none" w:sz="0" w:space="0" w:color="auto"/>
            <w:bottom w:val="none" w:sz="0" w:space="0" w:color="auto"/>
            <w:right w:val="none" w:sz="0" w:space="0" w:color="auto"/>
          </w:divBdr>
        </w:div>
        <w:div w:id="2024701683">
          <w:marLeft w:val="0"/>
          <w:marRight w:val="0"/>
          <w:marTop w:val="0"/>
          <w:marBottom w:val="0"/>
          <w:divBdr>
            <w:top w:val="none" w:sz="0" w:space="0" w:color="auto"/>
            <w:left w:val="none" w:sz="0" w:space="0" w:color="auto"/>
            <w:bottom w:val="none" w:sz="0" w:space="0" w:color="auto"/>
            <w:right w:val="none" w:sz="0" w:space="0" w:color="auto"/>
          </w:divBdr>
        </w:div>
        <w:div w:id="2024701684">
          <w:marLeft w:val="0"/>
          <w:marRight w:val="0"/>
          <w:marTop w:val="0"/>
          <w:marBottom w:val="0"/>
          <w:divBdr>
            <w:top w:val="none" w:sz="0" w:space="0" w:color="auto"/>
            <w:left w:val="none" w:sz="0" w:space="0" w:color="auto"/>
            <w:bottom w:val="none" w:sz="0" w:space="0" w:color="auto"/>
            <w:right w:val="none" w:sz="0" w:space="0" w:color="auto"/>
          </w:divBdr>
        </w:div>
        <w:div w:id="2024701685">
          <w:marLeft w:val="0"/>
          <w:marRight w:val="0"/>
          <w:marTop w:val="0"/>
          <w:marBottom w:val="0"/>
          <w:divBdr>
            <w:top w:val="none" w:sz="0" w:space="0" w:color="auto"/>
            <w:left w:val="none" w:sz="0" w:space="0" w:color="auto"/>
            <w:bottom w:val="none" w:sz="0" w:space="0" w:color="auto"/>
            <w:right w:val="none" w:sz="0" w:space="0" w:color="auto"/>
          </w:divBdr>
        </w:div>
        <w:div w:id="2024701686">
          <w:marLeft w:val="0"/>
          <w:marRight w:val="0"/>
          <w:marTop w:val="0"/>
          <w:marBottom w:val="0"/>
          <w:divBdr>
            <w:top w:val="none" w:sz="0" w:space="0" w:color="auto"/>
            <w:left w:val="none" w:sz="0" w:space="0" w:color="auto"/>
            <w:bottom w:val="none" w:sz="0" w:space="0" w:color="auto"/>
            <w:right w:val="none" w:sz="0" w:space="0" w:color="auto"/>
          </w:divBdr>
        </w:div>
        <w:div w:id="2024701687">
          <w:marLeft w:val="0"/>
          <w:marRight w:val="0"/>
          <w:marTop w:val="0"/>
          <w:marBottom w:val="0"/>
          <w:divBdr>
            <w:top w:val="none" w:sz="0" w:space="0" w:color="auto"/>
            <w:left w:val="none" w:sz="0" w:space="0" w:color="auto"/>
            <w:bottom w:val="none" w:sz="0" w:space="0" w:color="auto"/>
            <w:right w:val="none" w:sz="0" w:space="0" w:color="auto"/>
          </w:divBdr>
        </w:div>
        <w:div w:id="2024701688">
          <w:marLeft w:val="0"/>
          <w:marRight w:val="0"/>
          <w:marTop w:val="0"/>
          <w:marBottom w:val="0"/>
          <w:divBdr>
            <w:top w:val="none" w:sz="0" w:space="0" w:color="auto"/>
            <w:left w:val="none" w:sz="0" w:space="0" w:color="auto"/>
            <w:bottom w:val="none" w:sz="0" w:space="0" w:color="auto"/>
            <w:right w:val="none" w:sz="0" w:space="0" w:color="auto"/>
          </w:divBdr>
        </w:div>
        <w:div w:id="2024701689">
          <w:marLeft w:val="0"/>
          <w:marRight w:val="0"/>
          <w:marTop w:val="0"/>
          <w:marBottom w:val="0"/>
          <w:divBdr>
            <w:top w:val="none" w:sz="0" w:space="0" w:color="auto"/>
            <w:left w:val="none" w:sz="0" w:space="0" w:color="auto"/>
            <w:bottom w:val="none" w:sz="0" w:space="0" w:color="auto"/>
            <w:right w:val="none" w:sz="0" w:space="0" w:color="auto"/>
          </w:divBdr>
        </w:div>
        <w:div w:id="2024701690">
          <w:marLeft w:val="0"/>
          <w:marRight w:val="0"/>
          <w:marTop w:val="0"/>
          <w:marBottom w:val="0"/>
          <w:divBdr>
            <w:top w:val="none" w:sz="0" w:space="0" w:color="auto"/>
            <w:left w:val="none" w:sz="0" w:space="0" w:color="auto"/>
            <w:bottom w:val="none" w:sz="0" w:space="0" w:color="auto"/>
            <w:right w:val="none" w:sz="0" w:space="0" w:color="auto"/>
          </w:divBdr>
        </w:div>
        <w:div w:id="2024701691">
          <w:marLeft w:val="0"/>
          <w:marRight w:val="0"/>
          <w:marTop w:val="0"/>
          <w:marBottom w:val="0"/>
          <w:divBdr>
            <w:top w:val="none" w:sz="0" w:space="0" w:color="auto"/>
            <w:left w:val="none" w:sz="0" w:space="0" w:color="auto"/>
            <w:bottom w:val="none" w:sz="0" w:space="0" w:color="auto"/>
            <w:right w:val="none" w:sz="0" w:space="0" w:color="auto"/>
          </w:divBdr>
        </w:div>
        <w:div w:id="2024701692">
          <w:marLeft w:val="0"/>
          <w:marRight w:val="0"/>
          <w:marTop w:val="0"/>
          <w:marBottom w:val="0"/>
          <w:divBdr>
            <w:top w:val="none" w:sz="0" w:space="0" w:color="auto"/>
            <w:left w:val="none" w:sz="0" w:space="0" w:color="auto"/>
            <w:bottom w:val="none" w:sz="0" w:space="0" w:color="auto"/>
            <w:right w:val="none" w:sz="0" w:space="0" w:color="auto"/>
          </w:divBdr>
        </w:div>
        <w:div w:id="2024701693">
          <w:marLeft w:val="0"/>
          <w:marRight w:val="0"/>
          <w:marTop w:val="0"/>
          <w:marBottom w:val="0"/>
          <w:divBdr>
            <w:top w:val="none" w:sz="0" w:space="0" w:color="auto"/>
            <w:left w:val="none" w:sz="0" w:space="0" w:color="auto"/>
            <w:bottom w:val="none" w:sz="0" w:space="0" w:color="auto"/>
            <w:right w:val="none" w:sz="0" w:space="0" w:color="auto"/>
          </w:divBdr>
        </w:div>
        <w:div w:id="2024701694">
          <w:marLeft w:val="0"/>
          <w:marRight w:val="0"/>
          <w:marTop w:val="0"/>
          <w:marBottom w:val="0"/>
          <w:divBdr>
            <w:top w:val="none" w:sz="0" w:space="0" w:color="auto"/>
            <w:left w:val="none" w:sz="0" w:space="0" w:color="auto"/>
            <w:bottom w:val="none" w:sz="0" w:space="0" w:color="auto"/>
            <w:right w:val="none" w:sz="0" w:space="0" w:color="auto"/>
          </w:divBdr>
        </w:div>
        <w:div w:id="2024701696">
          <w:marLeft w:val="0"/>
          <w:marRight w:val="0"/>
          <w:marTop w:val="0"/>
          <w:marBottom w:val="0"/>
          <w:divBdr>
            <w:top w:val="none" w:sz="0" w:space="0" w:color="auto"/>
            <w:left w:val="none" w:sz="0" w:space="0" w:color="auto"/>
            <w:bottom w:val="none" w:sz="0" w:space="0" w:color="auto"/>
            <w:right w:val="none" w:sz="0" w:space="0" w:color="auto"/>
          </w:divBdr>
        </w:div>
        <w:div w:id="2024701697">
          <w:marLeft w:val="0"/>
          <w:marRight w:val="0"/>
          <w:marTop w:val="0"/>
          <w:marBottom w:val="0"/>
          <w:divBdr>
            <w:top w:val="none" w:sz="0" w:space="0" w:color="auto"/>
            <w:left w:val="none" w:sz="0" w:space="0" w:color="auto"/>
            <w:bottom w:val="none" w:sz="0" w:space="0" w:color="auto"/>
            <w:right w:val="none" w:sz="0" w:space="0" w:color="auto"/>
          </w:divBdr>
        </w:div>
        <w:div w:id="2024701698">
          <w:marLeft w:val="0"/>
          <w:marRight w:val="0"/>
          <w:marTop w:val="0"/>
          <w:marBottom w:val="0"/>
          <w:divBdr>
            <w:top w:val="none" w:sz="0" w:space="0" w:color="auto"/>
            <w:left w:val="none" w:sz="0" w:space="0" w:color="auto"/>
            <w:bottom w:val="none" w:sz="0" w:space="0" w:color="auto"/>
            <w:right w:val="none" w:sz="0" w:space="0" w:color="auto"/>
          </w:divBdr>
        </w:div>
        <w:div w:id="2024701699">
          <w:marLeft w:val="0"/>
          <w:marRight w:val="0"/>
          <w:marTop w:val="0"/>
          <w:marBottom w:val="0"/>
          <w:divBdr>
            <w:top w:val="none" w:sz="0" w:space="0" w:color="auto"/>
            <w:left w:val="none" w:sz="0" w:space="0" w:color="auto"/>
            <w:bottom w:val="none" w:sz="0" w:space="0" w:color="auto"/>
            <w:right w:val="none" w:sz="0" w:space="0" w:color="auto"/>
          </w:divBdr>
        </w:div>
        <w:div w:id="2024701700">
          <w:marLeft w:val="0"/>
          <w:marRight w:val="0"/>
          <w:marTop w:val="0"/>
          <w:marBottom w:val="0"/>
          <w:divBdr>
            <w:top w:val="none" w:sz="0" w:space="0" w:color="auto"/>
            <w:left w:val="none" w:sz="0" w:space="0" w:color="auto"/>
            <w:bottom w:val="none" w:sz="0" w:space="0" w:color="auto"/>
            <w:right w:val="none" w:sz="0" w:space="0" w:color="auto"/>
          </w:divBdr>
        </w:div>
        <w:div w:id="2024701701">
          <w:marLeft w:val="0"/>
          <w:marRight w:val="0"/>
          <w:marTop w:val="0"/>
          <w:marBottom w:val="0"/>
          <w:divBdr>
            <w:top w:val="none" w:sz="0" w:space="0" w:color="auto"/>
            <w:left w:val="none" w:sz="0" w:space="0" w:color="auto"/>
            <w:bottom w:val="none" w:sz="0" w:space="0" w:color="auto"/>
            <w:right w:val="none" w:sz="0" w:space="0" w:color="auto"/>
          </w:divBdr>
        </w:div>
        <w:div w:id="2024701702">
          <w:marLeft w:val="0"/>
          <w:marRight w:val="0"/>
          <w:marTop w:val="0"/>
          <w:marBottom w:val="0"/>
          <w:divBdr>
            <w:top w:val="none" w:sz="0" w:space="0" w:color="auto"/>
            <w:left w:val="none" w:sz="0" w:space="0" w:color="auto"/>
            <w:bottom w:val="none" w:sz="0" w:space="0" w:color="auto"/>
            <w:right w:val="none" w:sz="0" w:space="0" w:color="auto"/>
          </w:divBdr>
        </w:div>
        <w:div w:id="2024701704">
          <w:marLeft w:val="0"/>
          <w:marRight w:val="0"/>
          <w:marTop w:val="0"/>
          <w:marBottom w:val="0"/>
          <w:divBdr>
            <w:top w:val="none" w:sz="0" w:space="0" w:color="auto"/>
            <w:left w:val="none" w:sz="0" w:space="0" w:color="auto"/>
            <w:bottom w:val="none" w:sz="0" w:space="0" w:color="auto"/>
            <w:right w:val="none" w:sz="0" w:space="0" w:color="auto"/>
          </w:divBdr>
        </w:div>
        <w:div w:id="2024701705">
          <w:marLeft w:val="0"/>
          <w:marRight w:val="0"/>
          <w:marTop w:val="0"/>
          <w:marBottom w:val="0"/>
          <w:divBdr>
            <w:top w:val="none" w:sz="0" w:space="0" w:color="auto"/>
            <w:left w:val="none" w:sz="0" w:space="0" w:color="auto"/>
            <w:bottom w:val="none" w:sz="0" w:space="0" w:color="auto"/>
            <w:right w:val="none" w:sz="0" w:space="0" w:color="auto"/>
          </w:divBdr>
        </w:div>
        <w:div w:id="2024701706">
          <w:marLeft w:val="0"/>
          <w:marRight w:val="0"/>
          <w:marTop w:val="0"/>
          <w:marBottom w:val="0"/>
          <w:divBdr>
            <w:top w:val="none" w:sz="0" w:space="0" w:color="auto"/>
            <w:left w:val="none" w:sz="0" w:space="0" w:color="auto"/>
            <w:bottom w:val="none" w:sz="0" w:space="0" w:color="auto"/>
            <w:right w:val="none" w:sz="0" w:space="0" w:color="auto"/>
          </w:divBdr>
        </w:div>
        <w:div w:id="2024701707">
          <w:marLeft w:val="0"/>
          <w:marRight w:val="0"/>
          <w:marTop w:val="0"/>
          <w:marBottom w:val="0"/>
          <w:divBdr>
            <w:top w:val="none" w:sz="0" w:space="0" w:color="auto"/>
            <w:left w:val="none" w:sz="0" w:space="0" w:color="auto"/>
            <w:bottom w:val="none" w:sz="0" w:space="0" w:color="auto"/>
            <w:right w:val="none" w:sz="0" w:space="0" w:color="auto"/>
          </w:divBdr>
        </w:div>
        <w:div w:id="2024701708">
          <w:marLeft w:val="0"/>
          <w:marRight w:val="0"/>
          <w:marTop w:val="0"/>
          <w:marBottom w:val="0"/>
          <w:divBdr>
            <w:top w:val="none" w:sz="0" w:space="0" w:color="auto"/>
            <w:left w:val="none" w:sz="0" w:space="0" w:color="auto"/>
            <w:bottom w:val="none" w:sz="0" w:space="0" w:color="auto"/>
            <w:right w:val="none" w:sz="0" w:space="0" w:color="auto"/>
          </w:divBdr>
        </w:div>
        <w:div w:id="2024701709">
          <w:marLeft w:val="0"/>
          <w:marRight w:val="0"/>
          <w:marTop w:val="0"/>
          <w:marBottom w:val="0"/>
          <w:divBdr>
            <w:top w:val="none" w:sz="0" w:space="0" w:color="auto"/>
            <w:left w:val="none" w:sz="0" w:space="0" w:color="auto"/>
            <w:bottom w:val="none" w:sz="0" w:space="0" w:color="auto"/>
            <w:right w:val="none" w:sz="0" w:space="0" w:color="auto"/>
          </w:divBdr>
        </w:div>
        <w:div w:id="2024701710">
          <w:marLeft w:val="0"/>
          <w:marRight w:val="0"/>
          <w:marTop w:val="0"/>
          <w:marBottom w:val="0"/>
          <w:divBdr>
            <w:top w:val="none" w:sz="0" w:space="0" w:color="auto"/>
            <w:left w:val="none" w:sz="0" w:space="0" w:color="auto"/>
            <w:bottom w:val="none" w:sz="0" w:space="0" w:color="auto"/>
            <w:right w:val="none" w:sz="0" w:space="0" w:color="auto"/>
          </w:divBdr>
        </w:div>
        <w:div w:id="2024701711">
          <w:marLeft w:val="0"/>
          <w:marRight w:val="0"/>
          <w:marTop w:val="0"/>
          <w:marBottom w:val="0"/>
          <w:divBdr>
            <w:top w:val="none" w:sz="0" w:space="0" w:color="auto"/>
            <w:left w:val="none" w:sz="0" w:space="0" w:color="auto"/>
            <w:bottom w:val="none" w:sz="0" w:space="0" w:color="auto"/>
            <w:right w:val="none" w:sz="0" w:space="0" w:color="auto"/>
          </w:divBdr>
        </w:div>
        <w:div w:id="2024701712">
          <w:marLeft w:val="0"/>
          <w:marRight w:val="0"/>
          <w:marTop w:val="0"/>
          <w:marBottom w:val="0"/>
          <w:divBdr>
            <w:top w:val="none" w:sz="0" w:space="0" w:color="auto"/>
            <w:left w:val="none" w:sz="0" w:space="0" w:color="auto"/>
            <w:bottom w:val="none" w:sz="0" w:space="0" w:color="auto"/>
            <w:right w:val="none" w:sz="0" w:space="0" w:color="auto"/>
          </w:divBdr>
        </w:div>
        <w:div w:id="2024701713">
          <w:marLeft w:val="0"/>
          <w:marRight w:val="0"/>
          <w:marTop w:val="0"/>
          <w:marBottom w:val="0"/>
          <w:divBdr>
            <w:top w:val="none" w:sz="0" w:space="0" w:color="auto"/>
            <w:left w:val="none" w:sz="0" w:space="0" w:color="auto"/>
            <w:bottom w:val="none" w:sz="0" w:space="0" w:color="auto"/>
            <w:right w:val="none" w:sz="0" w:space="0" w:color="auto"/>
          </w:divBdr>
        </w:div>
        <w:div w:id="2024701714">
          <w:marLeft w:val="0"/>
          <w:marRight w:val="0"/>
          <w:marTop w:val="0"/>
          <w:marBottom w:val="0"/>
          <w:divBdr>
            <w:top w:val="none" w:sz="0" w:space="0" w:color="auto"/>
            <w:left w:val="none" w:sz="0" w:space="0" w:color="auto"/>
            <w:bottom w:val="none" w:sz="0" w:space="0" w:color="auto"/>
            <w:right w:val="none" w:sz="0" w:space="0" w:color="auto"/>
          </w:divBdr>
        </w:div>
        <w:div w:id="2024701715">
          <w:marLeft w:val="0"/>
          <w:marRight w:val="0"/>
          <w:marTop w:val="0"/>
          <w:marBottom w:val="0"/>
          <w:divBdr>
            <w:top w:val="none" w:sz="0" w:space="0" w:color="auto"/>
            <w:left w:val="none" w:sz="0" w:space="0" w:color="auto"/>
            <w:bottom w:val="none" w:sz="0" w:space="0" w:color="auto"/>
            <w:right w:val="none" w:sz="0" w:space="0" w:color="auto"/>
          </w:divBdr>
        </w:div>
        <w:div w:id="2024701716">
          <w:marLeft w:val="0"/>
          <w:marRight w:val="0"/>
          <w:marTop w:val="0"/>
          <w:marBottom w:val="0"/>
          <w:divBdr>
            <w:top w:val="none" w:sz="0" w:space="0" w:color="auto"/>
            <w:left w:val="none" w:sz="0" w:space="0" w:color="auto"/>
            <w:bottom w:val="none" w:sz="0" w:space="0" w:color="auto"/>
            <w:right w:val="none" w:sz="0" w:space="0" w:color="auto"/>
          </w:divBdr>
        </w:div>
        <w:div w:id="2024701718">
          <w:marLeft w:val="0"/>
          <w:marRight w:val="0"/>
          <w:marTop w:val="0"/>
          <w:marBottom w:val="0"/>
          <w:divBdr>
            <w:top w:val="none" w:sz="0" w:space="0" w:color="auto"/>
            <w:left w:val="none" w:sz="0" w:space="0" w:color="auto"/>
            <w:bottom w:val="none" w:sz="0" w:space="0" w:color="auto"/>
            <w:right w:val="none" w:sz="0" w:space="0" w:color="auto"/>
          </w:divBdr>
        </w:div>
        <w:div w:id="2024701719">
          <w:marLeft w:val="0"/>
          <w:marRight w:val="0"/>
          <w:marTop w:val="0"/>
          <w:marBottom w:val="0"/>
          <w:divBdr>
            <w:top w:val="none" w:sz="0" w:space="0" w:color="auto"/>
            <w:left w:val="none" w:sz="0" w:space="0" w:color="auto"/>
            <w:bottom w:val="none" w:sz="0" w:space="0" w:color="auto"/>
            <w:right w:val="none" w:sz="0" w:space="0" w:color="auto"/>
          </w:divBdr>
        </w:div>
        <w:div w:id="2024701720">
          <w:marLeft w:val="0"/>
          <w:marRight w:val="0"/>
          <w:marTop w:val="0"/>
          <w:marBottom w:val="0"/>
          <w:divBdr>
            <w:top w:val="none" w:sz="0" w:space="0" w:color="auto"/>
            <w:left w:val="none" w:sz="0" w:space="0" w:color="auto"/>
            <w:bottom w:val="none" w:sz="0" w:space="0" w:color="auto"/>
            <w:right w:val="none" w:sz="0" w:space="0" w:color="auto"/>
          </w:divBdr>
        </w:div>
        <w:div w:id="2024701721">
          <w:marLeft w:val="0"/>
          <w:marRight w:val="0"/>
          <w:marTop w:val="0"/>
          <w:marBottom w:val="0"/>
          <w:divBdr>
            <w:top w:val="none" w:sz="0" w:space="0" w:color="auto"/>
            <w:left w:val="none" w:sz="0" w:space="0" w:color="auto"/>
            <w:bottom w:val="none" w:sz="0" w:space="0" w:color="auto"/>
            <w:right w:val="none" w:sz="0" w:space="0" w:color="auto"/>
          </w:divBdr>
        </w:div>
        <w:div w:id="2024701722">
          <w:marLeft w:val="0"/>
          <w:marRight w:val="0"/>
          <w:marTop w:val="0"/>
          <w:marBottom w:val="0"/>
          <w:divBdr>
            <w:top w:val="none" w:sz="0" w:space="0" w:color="auto"/>
            <w:left w:val="none" w:sz="0" w:space="0" w:color="auto"/>
            <w:bottom w:val="none" w:sz="0" w:space="0" w:color="auto"/>
            <w:right w:val="none" w:sz="0" w:space="0" w:color="auto"/>
          </w:divBdr>
        </w:div>
        <w:div w:id="2024701723">
          <w:marLeft w:val="0"/>
          <w:marRight w:val="0"/>
          <w:marTop w:val="0"/>
          <w:marBottom w:val="0"/>
          <w:divBdr>
            <w:top w:val="none" w:sz="0" w:space="0" w:color="auto"/>
            <w:left w:val="none" w:sz="0" w:space="0" w:color="auto"/>
            <w:bottom w:val="none" w:sz="0" w:space="0" w:color="auto"/>
            <w:right w:val="none" w:sz="0" w:space="0" w:color="auto"/>
          </w:divBdr>
        </w:div>
        <w:div w:id="2024701724">
          <w:marLeft w:val="0"/>
          <w:marRight w:val="0"/>
          <w:marTop w:val="0"/>
          <w:marBottom w:val="0"/>
          <w:divBdr>
            <w:top w:val="none" w:sz="0" w:space="0" w:color="auto"/>
            <w:left w:val="none" w:sz="0" w:space="0" w:color="auto"/>
            <w:bottom w:val="none" w:sz="0" w:space="0" w:color="auto"/>
            <w:right w:val="none" w:sz="0" w:space="0" w:color="auto"/>
          </w:divBdr>
        </w:div>
        <w:div w:id="2024701725">
          <w:marLeft w:val="0"/>
          <w:marRight w:val="0"/>
          <w:marTop w:val="0"/>
          <w:marBottom w:val="0"/>
          <w:divBdr>
            <w:top w:val="none" w:sz="0" w:space="0" w:color="auto"/>
            <w:left w:val="none" w:sz="0" w:space="0" w:color="auto"/>
            <w:bottom w:val="none" w:sz="0" w:space="0" w:color="auto"/>
            <w:right w:val="none" w:sz="0" w:space="0" w:color="auto"/>
          </w:divBdr>
        </w:div>
        <w:div w:id="2024701726">
          <w:marLeft w:val="0"/>
          <w:marRight w:val="0"/>
          <w:marTop w:val="0"/>
          <w:marBottom w:val="0"/>
          <w:divBdr>
            <w:top w:val="none" w:sz="0" w:space="0" w:color="auto"/>
            <w:left w:val="none" w:sz="0" w:space="0" w:color="auto"/>
            <w:bottom w:val="none" w:sz="0" w:space="0" w:color="auto"/>
            <w:right w:val="none" w:sz="0" w:space="0" w:color="auto"/>
          </w:divBdr>
        </w:div>
        <w:div w:id="2024701727">
          <w:marLeft w:val="0"/>
          <w:marRight w:val="0"/>
          <w:marTop w:val="0"/>
          <w:marBottom w:val="0"/>
          <w:divBdr>
            <w:top w:val="none" w:sz="0" w:space="0" w:color="auto"/>
            <w:left w:val="none" w:sz="0" w:space="0" w:color="auto"/>
            <w:bottom w:val="none" w:sz="0" w:space="0" w:color="auto"/>
            <w:right w:val="none" w:sz="0" w:space="0" w:color="auto"/>
          </w:divBdr>
        </w:div>
        <w:div w:id="2024701728">
          <w:marLeft w:val="0"/>
          <w:marRight w:val="0"/>
          <w:marTop w:val="0"/>
          <w:marBottom w:val="0"/>
          <w:divBdr>
            <w:top w:val="none" w:sz="0" w:space="0" w:color="auto"/>
            <w:left w:val="none" w:sz="0" w:space="0" w:color="auto"/>
            <w:bottom w:val="none" w:sz="0" w:space="0" w:color="auto"/>
            <w:right w:val="none" w:sz="0" w:space="0" w:color="auto"/>
          </w:divBdr>
        </w:div>
        <w:div w:id="2024701729">
          <w:marLeft w:val="0"/>
          <w:marRight w:val="0"/>
          <w:marTop w:val="0"/>
          <w:marBottom w:val="0"/>
          <w:divBdr>
            <w:top w:val="none" w:sz="0" w:space="0" w:color="auto"/>
            <w:left w:val="none" w:sz="0" w:space="0" w:color="auto"/>
            <w:bottom w:val="none" w:sz="0" w:space="0" w:color="auto"/>
            <w:right w:val="none" w:sz="0" w:space="0" w:color="auto"/>
          </w:divBdr>
        </w:div>
        <w:div w:id="2024701730">
          <w:marLeft w:val="0"/>
          <w:marRight w:val="0"/>
          <w:marTop w:val="0"/>
          <w:marBottom w:val="0"/>
          <w:divBdr>
            <w:top w:val="none" w:sz="0" w:space="0" w:color="auto"/>
            <w:left w:val="none" w:sz="0" w:space="0" w:color="auto"/>
            <w:bottom w:val="none" w:sz="0" w:space="0" w:color="auto"/>
            <w:right w:val="none" w:sz="0" w:space="0" w:color="auto"/>
          </w:divBdr>
        </w:div>
        <w:div w:id="2024701731">
          <w:marLeft w:val="0"/>
          <w:marRight w:val="0"/>
          <w:marTop w:val="0"/>
          <w:marBottom w:val="0"/>
          <w:divBdr>
            <w:top w:val="none" w:sz="0" w:space="0" w:color="auto"/>
            <w:left w:val="none" w:sz="0" w:space="0" w:color="auto"/>
            <w:bottom w:val="none" w:sz="0" w:space="0" w:color="auto"/>
            <w:right w:val="none" w:sz="0" w:space="0" w:color="auto"/>
          </w:divBdr>
        </w:div>
        <w:div w:id="2024701732">
          <w:marLeft w:val="0"/>
          <w:marRight w:val="0"/>
          <w:marTop w:val="0"/>
          <w:marBottom w:val="0"/>
          <w:divBdr>
            <w:top w:val="none" w:sz="0" w:space="0" w:color="auto"/>
            <w:left w:val="none" w:sz="0" w:space="0" w:color="auto"/>
            <w:bottom w:val="none" w:sz="0" w:space="0" w:color="auto"/>
            <w:right w:val="none" w:sz="0" w:space="0" w:color="auto"/>
          </w:divBdr>
        </w:div>
        <w:div w:id="2024701733">
          <w:marLeft w:val="0"/>
          <w:marRight w:val="0"/>
          <w:marTop w:val="0"/>
          <w:marBottom w:val="0"/>
          <w:divBdr>
            <w:top w:val="none" w:sz="0" w:space="0" w:color="auto"/>
            <w:left w:val="none" w:sz="0" w:space="0" w:color="auto"/>
            <w:bottom w:val="none" w:sz="0" w:space="0" w:color="auto"/>
            <w:right w:val="none" w:sz="0" w:space="0" w:color="auto"/>
          </w:divBdr>
        </w:div>
        <w:div w:id="2024701734">
          <w:marLeft w:val="0"/>
          <w:marRight w:val="0"/>
          <w:marTop w:val="0"/>
          <w:marBottom w:val="0"/>
          <w:divBdr>
            <w:top w:val="none" w:sz="0" w:space="0" w:color="auto"/>
            <w:left w:val="none" w:sz="0" w:space="0" w:color="auto"/>
            <w:bottom w:val="none" w:sz="0" w:space="0" w:color="auto"/>
            <w:right w:val="none" w:sz="0" w:space="0" w:color="auto"/>
          </w:divBdr>
        </w:div>
        <w:div w:id="2024701735">
          <w:marLeft w:val="0"/>
          <w:marRight w:val="0"/>
          <w:marTop w:val="0"/>
          <w:marBottom w:val="0"/>
          <w:divBdr>
            <w:top w:val="none" w:sz="0" w:space="0" w:color="auto"/>
            <w:left w:val="none" w:sz="0" w:space="0" w:color="auto"/>
            <w:bottom w:val="none" w:sz="0" w:space="0" w:color="auto"/>
            <w:right w:val="none" w:sz="0" w:space="0" w:color="auto"/>
          </w:divBdr>
        </w:div>
        <w:div w:id="2024701736">
          <w:marLeft w:val="0"/>
          <w:marRight w:val="0"/>
          <w:marTop w:val="0"/>
          <w:marBottom w:val="0"/>
          <w:divBdr>
            <w:top w:val="none" w:sz="0" w:space="0" w:color="auto"/>
            <w:left w:val="none" w:sz="0" w:space="0" w:color="auto"/>
            <w:bottom w:val="none" w:sz="0" w:space="0" w:color="auto"/>
            <w:right w:val="none" w:sz="0" w:space="0" w:color="auto"/>
          </w:divBdr>
        </w:div>
        <w:div w:id="2024701737">
          <w:marLeft w:val="0"/>
          <w:marRight w:val="0"/>
          <w:marTop w:val="0"/>
          <w:marBottom w:val="0"/>
          <w:divBdr>
            <w:top w:val="none" w:sz="0" w:space="0" w:color="auto"/>
            <w:left w:val="none" w:sz="0" w:space="0" w:color="auto"/>
            <w:bottom w:val="none" w:sz="0" w:space="0" w:color="auto"/>
            <w:right w:val="none" w:sz="0" w:space="0" w:color="auto"/>
          </w:divBdr>
        </w:div>
        <w:div w:id="2024701738">
          <w:marLeft w:val="0"/>
          <w:marRight w:val="0"/>
          <w:marTop w:val="0"/>
          <w:marBottom w:val="0"/>
          <w:divBdr>
            <w:top w:val="none" w:sz="0" w:space="0" w:color="auto"/>
            <w:left w:val="none" w:sz="0" w:space="0" w:color="auto"/>
            <w:bottom w:val="none" w:sz="0" w:space="0" w:color="auto"/>
            <w:right w:val="none" w:sz="0" w:space="0" w:color="auto"/>
          </w:divBdr>
        </w:div>
        <w:div w:id="2024701739">
          <w:marLeft w:val="0"/>
          <w:marRight w:val="0"/>
          <w:marTop w:val="0"/>
          <w:marBottom w:val="0"/>
          <w:divBdr>
            <w:top w:val="none" w:sz="0" w:space="0" w:color="auto"/>
            <w:left w:val="none" w:sz="0" w:space="0" w:color="auto"/>
            <w:bottom w:val="none" w:sz="0" w:space="0" w:color="auto"/>
            <w:right w:val="none" w:sz="0" w:space="0" w:color="auto"/>
          </w:divBdr>
        </w:div>
        <w:div w:id="2024701740">
          <w:marLeft w:val="0"/>
          <w:marRight w:val="0"/>
          <w:marTop w:val="0"/>
          <w:marBottom w:val="0"/>
          <w:divBdr>
            <w:top w:val="none" w:sz="0" w:space="0" w:color="auto"/>
            <w:left w:val="none" w:sz="0" w:space="0" w:color="auto"/>
            <w:bottom w:val="none" w:sz="0" w:space="0" w:color="auto"/>
            <w:right w:val="none" w:sz="0" w:space="0" w:color="auto"/>
          </w:divBdr>
        </w:div>
        <w:div w:id="2024701741">
          <w:marLeft w:val="0"/>
          <w:marRight w:val="0"/>
          <w:marTop w:val="0"/>
          <w:marBottom w:val="0"/>
          <w:divBdr>
            <w:top w:val="none" w:sz="0" w:space="0" w:color="auto"/>
            <w:left w:val="none" w:sz="0" w:space="0" w:color="auto"/>
            <w:bottom w:val="none" w:sz="0" w:space="0" w:color="auto"/>
            <w:right w:val="none" w:sz="0" w:space="0" w:color="auto"/>
          </w:divBdr>
        </w:div>
        <w:div w:id="2024701742">
          <w:marLeft w:val="0"/>
          <w:marRight w:val="0"/>
          <w:marTop w:val="0"/>
          <w:marBottom w:val="0"/>
          <w:divBdr>
            <w:top w:val="none" w:sz="0" w:space="0" w:color="auto"/>
            <w:left w:val="none" w:sz="0" w:space="0" w:color="auto"/>
            <w:bottom w:val="none" w:sz="0" w:space="0" w:color="auto"/>
            <w:right w:val="none" w:sz="0" w:space="0" w:color="auto"/>
          </w:divBdr>
        </w:div>
        <w:div w:id="2024701743">
          <w:marLeft w:val="0"/>
          <w:marRight w:val="0"/>
          <w:marTop w:val="0"/>
          <w:marBottom w:val="0"/>
          <w:divBdr>
            <w:top w:val="none" w:sz="0" w:space="0" w:color="auto"/>
            <w:left w:val="none" w:sz="0" w:space="0" w:color="auto"/>
            <w:bottom w:val="none" w:sz="0" w:space="0" w:color="auto"/>
            <w:right w:val="none" w:sz="0" w:space="0" w:color="auto"/>
          </w:divBdr>
        </w:div>
        <w:div w:id="2024701744">
          <w:marLeft w:val="0"/>
          <w:marRight w:val="0"/>
          <w:marTop w:val="0"/>
          <w:marBottom w:val="0"/>
          <w:divBdr>
            <w:top w:val="none" w:sz="0" w:space="0" w:color="auto"/>
            <w:left w:val="none" w:sz="0" w:space="0" w:color="auto"/>
            <w:bottom w:val="none" w:sz="0" w:space="0" w:color="auto"/>
            <w:right w:val="none" w:sz="0" w:space="0" w:color="auto"/>
          </w:divBdr>
        </w:div>
        <w:div w:id="2024701745">
          <w:marLeft w:val="0"/>
          <w:marRight w:val="0"/>
          <w:marTop w:val="0"/>
          <w:marBottom w:val="0"/>
          <w:divBdr>
            <w:top w:val="none" w:sz="0" w:space="0" w:color="auto"/>
            <w:left w:val="none" w:sz="0" w:space="0" w:color="auto"/>
            <w:bottom w:val="none" w:sz="0" w:space="0" w:color="auto"/>
            <w:right w:val="none" w:sz="0" w:space="0" w:color="auto"/>
          </w:divBdr>
        </w:div>
        <w:div w:id="2024701746">
          <w:marLeft w:val="0"/>
          <w:marRight w:val="0"/>
          <w:marTop w:val="0"/>
          <w:marBottom w:val="0"/>
          <w:divBdr>
            <w:top w:val="none" w:sz="0" w:space="0" w:color="auto"/>
            <w:left w:val="none" w:sz="0" w:space="0" w:color="auto"/>
            <w:bottom w:val="none" w:sz="0" w:space="0" w:color="auto"/>
            <w:right w:val="none" w:sz="0" w:space="0" w:color="auto"/>
          </w:divBdr>
        </w:div>
        <w:div w:id="2024701747">
          <w:marLeft w:val="0"/>
          <w:marRight w:val="0"/>
          <w:marTop w:val="0"/>
          <w:marBottom w:val="0"/>
          <w:divBdr>
            <w:top w:val="none" w:sz="0" w:space="0" w:color="auto"/>
            <w:left w:val="none" w:sz="0" w:space="0" w:color="auto"/>
            <w:bottom w:val="none" w:sz="0" w:space="0" w:color="auto"/>
            <w:right w:val="none" w:sz="0" w:space="0" w:color="auto"/>
          </w:divBdr>
        </w:div>
        <w:div w:id="2024701748">
          <w:marLeft w:val="0"/>
          <w:marRight w:val="0"/>
          <w:marTop w:val="0"/>
          <w:marBottom w:val="0"/>
          <w:divBdr>
            <w:top w:val="none" w:sz="0" w:space="0" w:color="auto"/>
            <w:left w:val="none" w:sz="0" w:space="0" w:color="auto"/>
            <w:bottom w:val="none" w:sz="0" w:space="0" w:color="auto"/>
            <w:right w:val="none" w:sz="0" w:space="0" w:color="auto"/>
          </w:divBdr>
        </w:div>
        <w:div w:id="2024701750">
          <w:marLeft w:val="0"/>
          <w:marRight w:val="0"/>
          <w:marTop w:val="0"/>
          <w:marBottom w:val="0"/>
          <w:divBdr>
            <w:top w:val="none" w:sz="0" w:space="0" w:color="auto"/>
            <w:left w:val="none" w:sz="0" w:space="0" w:color="auto"/>
            <w:bottom w:val="none" w:sz="0" w:space="0" w:color="auto"/>
            <w:right w:val="none" w:sz="0" w:space="0" w:color="auto"/>
          </w:divBdr>
        </w:div>
        <w:div w:id="2024701751">
          <w:marLeft w:val="0"/>
          <w:marRight w:val="0"/>
          <w:marTop w:val="0"/>
          <w:marBottom w:val="0"/>
          <w:divBdr>
            <w:top w:val="none" w:sz="0" w:space="0" w:color="auto"/>
            <w:left w:val="none" w:sz="0" w:space="0" w:color="auto"/>
            <w:bottom w:val="none" w:sz="0" w:space="0" w:color="auto"/>
            <w:right w:val="none" w:sz="0" w:space="0" w:color="auto"/>
          </w:divBdr>
        </w:div>
        <w:div w:id="2024701752">
          <w:marLeft w:val="0"/>
          <w:marRight w:val="0"/>
          <w:marTop w:val="0"/>
          <w:marBottom w:val="0"/>
          <w:divBdr>
            <w:top w:val="none" w:sz="0" w:space="0" w:color="auto"/>
            <w:left w:val="none" w:sz="0" w:space="0" w:color="auto"/>
            <w:bottom w:val="none" w:sz="0" w:space="0" w:color="auto"/>
            <w:right w:val="none" w:sz="0" w:space="0" w:color="auto"/>
          </w:divBdr>
        </w:div>
        <w:div w:id="2024701753">
          <w:marLeft w:val="0"/>
          <w:marRight w:val="0"/>
          <w:marTop w:val="0"/>
          <w:marBottom w:val="0"/>
          <w:divBdr>
            <w:top w:val="none" w:sz="0" w:space="0" w:color="auto"/>
            <w:left w:val="none" w:sz="0" w:space="0" w:color="auto"/>
            <w:bottom w:val="none" w:sz="0" w:space="0" w:color="auto"/>
            <w:right w:val="none" w:sz="0" w:space="0" w:color="auto"/>
          </w:divBdr>
        </w:div>
        <w:div w:id="2024701754">
          <w:marLeft w:val="0"/>
          <w:marRight w:val="0"/>
          <w:marTop w:val="0"/>
          <w:marBottom w:val="0"/>
          <w:divBdr>
            <w:top w:val="none" w:sz="0" w:space="0" w:color="auto"/>
            <w:left w:val="none" w:sz="0" w:space="0" w:color="auto"/>
            <w:bottom w:val="none" w:sz="0" w:space="0" w:color="auto"/>
            <w:right w:val="none" w:sz="0" w:space="0" w:color="auto"/>
          </w:divBdr>
        </w:div>
        <w:div w:id="2024701755">
          <w:marLeft w:val="0"/>
          <w:marRight w:val="0"/>
          <w:marTop w:val="0"/>
          <w:marBottom w:val="0"/>
          <w:divBdr>
            <w:top w:val="none" w:sz="0" w:space="0" w:color="auto"/>
            <w:left w:val="none" w:sz="0" w:space="0" w:color="auto"/>
            <w:bottom w:val="none" w:sz="0" w:space="0" w:color="auto"/>
            <w:right w:val="none" w:sz="0" w:space="0" w:color="auto"/>
          </w:divBdr>
        </w:div>
        <w:div w:id="2024701756">
          <w:marLeft w:val="0"/>
          <w:marRight w:val="0"/>
          <w:marTop w:val="0"/>
          <w:marBottom w:val="0"/>
          <w:divBdr>
            <w:top w:val="none" w:sz="0" w:space="0" w:color="auto"/>
            <w:left w:val="none" w:sz="0" w:space="0" w:color="auto"/>
            <w:bottom w:val="none" w:sz="0" w:space="0" w:color="auto"/>
            <w:right w:val="none" w:sz="0" w:space="0" w:color="auto"/>
          </w:divBdr>
        </w:div>
        <w:div w:id="2024701757">
          <w:marLeft w:val="0"/>
          <w:marRight w:val="0"/>
          <w:marTop w:val="0"/>
          <w:marBottom w:val="0"/>
          <w:divBdr>
            <w:top w:val="none" w:sz="0" w:space="0" w:color="auto"/>
            <w:left w:val="none" w:sz="0" w:space="0" w:color="auto"/>
            <w:bottom w:val="none" w:sz="0" w:space="0" w:color="auto"/>
            <w:right w:val="none" w:sz="0" w:space="0" w:color="auto"/>
          </w:divBdr>
        </w:div>
        <w:div w:id="2024701758">
          <w:marLeft w:val="0"/>
          <w:marRight w:val="0"/>
          <w:marTop w:val="0"/>
          <w:marBottom w:val="0"/>
          <w:divBdr>
            <w:top w:val="none" w:sz="0" w:space="0" w:color="auto"/>
            <w:left w:val="none" w:sz="0" w:space="0" w:color="auto"/>
            <w:bottom w:val="none" w:sz="0" w:space="0" w:color="auto"/>
            <w:right w:val="none" w:sz="0" w:space="0" w:color="auto"/>
          </w:divBdr>
        </w:div>
        <w:div w:id="2024701759">
          <w:marLeft w:val="0"/>
          <w:marRight w:val="0"/>
          <w:marTop w:val="0"/>
          <w:marBottom w:val="0"/>
          <w:divBdr>
            <w:top w:val="none" w:sz="0" w:space="0" w:color="auto"/>
            <w:left w:val="none" w:sz="0" w:space="0" w:color="auto"/>
            <w:bottom w:val="none" w:sz="0" w:space="0" w:color="auto"/>
            <w:right w:val="none" w:sz="0" w:space="0" w:color="auto"/>
          </w:divBdr>
        </w:div>
        <w:div w:id="2024701760">
          <w:marLeft w:val="0"/>
          <w:marRight w:val="0"/>
          <w:marTop w:val="0"/>
          <w:marBottom w:val="0"/>
          <w:divBdr>
            <w:top w:val="none" w:sz="0" w:space="0" w:color="auto"/>
            <w:left w:val="none" w:sz="0" w:space="0" w:color="auto"/>
            <w:bottom w:val="none" w:sz="0" w:space="0" w:color="auto"/>
            <w:right w:val="none" w:sz="0" w:space="0" w:color="auto"/>
          </w:divBdr>
        </w:div>
        <w:div w:id="2024701761">
          <w:marLeft w:val="0"/>
          <w:marRight w:val="0"/>
          <w:marTop w:val="0"/>
          <w:marBottom w:val="0"/>
          <w:divBdr>
            <w:top w:val="none" w:sz="0" w:space="0" w:color="auto"/>
            <w:left w:val="none" w:sz="0" w:space="0" w:color="auto"/>
            <w:bottom w:val="none" w:sz="0" w:space="0" w:color="auto"/>
            <w:right w:val="none" w:sz="0" w:space="0" w:color="auto"/>
          </w:divBdr>
        </w:div>
        <w:div w:id="2024701762">
          <w:marLeft w:val="0"/>
          <w:marRight w:val="0"/>
          <w:marTop w:val="0"/>
          <w:marBottom w:val="0"/>
          <w:divBdr>
            <w:top w:val="none" w:sz="0" w:space="0" w:color="auto"/>
            <w:left w:val="none" w:sz="0" w:space="0" w:color="auto"/>
            <w:bottom w:val="none" w:sz="0" w:space="0" w:color="auto"/>
            <w:right w:val="none" w:sz="0" w:space="0" w:color="auto"/>
          </w:divBdr>
        </w:div>
        <w:div w:id="2024701763">
          <w:marLeft w:val="0"/>
          <w:marRight w:val="0"/>
          <w:marTop w:val="0"/>
          <w:marBottom w:val="0"/>
          <w:divBdr>
            <w:top w:val="none" w:sz="0" w:space="0" w:color="auto"/>
            <w:left w:val="none" w:sz="0" w:space="0" w:color="auto"/>
            <w:bottom w:val="none" w:sz="0" w:space="0" w:color="auto"/>
            <w:right w:val="none" w:sz="0" w:space="0" w:color="auto"/>
          </w:divBdr>
        </w:div>
        <w:div w:id="2024701764">
          <w:marLeft w:val="0"/>
          <w:marRight w:val="0"/>
          <w:marTop w:val="0"/>
          <w:marBottom w:val="0"/>
          <w:divBdr>
            <w:top w:val="none" w:sz="0" w:space="0" w:color="auto"/>
            <w:left w:val="none" w:sz="0" w:space="0" w:color="auto"/>
            <w:bottom w:val="none" w:sz="0" w:space="0" w:color="auto"/>
            <w:right w:val="none" w:sz="0" w:space="0" w:color="auto"/>
          </w:divBdr>
        </w:div>
        <w:div w:id="2024701766">
          <w:marLeft w:val="0"/>
          <w:marRight w:val="0"/>
          <w:marTop w:val="0"/>
          <w:marBottom w:val="0"/>
          <w:divBdr>
            <w:top w:val="none" w:sz="0" w:space="0" w:color="auto"/>
            <w:left w:val="none" w:sz="0" w:space="0" w:color="auto"/>
            <w:bottom w:val="none" w:sz="0" w:space="0" w:color="auto"/>
            <w:right w:val="none" w:sz="0" w:space="0" w:color="auto"/>
          </w:divBdr>
        </w:div>
        <w:div w:id="2024701767">
          <w:marLeft w:val="0"/>
          <w:marRight w:val="0"/>
          <w:marTop w:val="0"/>
          <w:marBottom w:val="0"/>
          <w:divBdr>
            <w:top w:val="none" w:sz="0" w:space="0" w:color="auto"/>
            <w:left w:val="none" w:sz="0" w:space="0" w:color="auto"/>
            <w:bottom w:val="none" w:sz="0" w:space="0" w:color="auto"/>
            <w:right w:val="none" w:sz="0" w:space="0" w:color="auto"/>
          </w:divBdr>
        </w:div>
        <w:div w:id="2024701768">
          <w:marLeft w:val="0"/>
          <w:marRight w:val="0"/>
          <w:marTop w:val="0"/>
          <w:marBottom w:val="0"/>
          <w:divBdr>
            <w:top w:val="none" w:sz="0" w:space="0" w:color="auto"/>
            <w:left w:val="none" w:sz="0" w:space="0" w:color="auto"/>
            <w:bottom w:val="none" w:sz="0" w:space="0" w:color="auto"/>
            <w:right w:val="none" w:sz="0" w:space="0" w:color="auto"/>
          </w:divBdr>
        </w:div>
        <w:div w:id="2024701769">
          <w:marLeft w:val="0"/>
          <w:marRight w:val="0"/>
          <w:marTop w:val="0"/>
          <w:marBottom w:val="0"/>
          <w:divBdr>
            <w:top w:val="none" w:sz="0" w:space="0" w:color="auto"/>
            <w:left w:val="none" w:sz="0" w:space="0" w:color="auto"/>
            <w:bottom w:val="none" w:sz="0" w:space="0" w:color="auto"/>
            <w:right w:val="none" w:sz="0" w:space="0" w:color="auto"/>
          </w:divBdr>
        </w:div>
        <w:div w:id="2024701770">
          <w:marLeft w:val="0"/>
          <w:marRight w:val="0"/>
          <w:marTop w:val="0"/>
          <w:marBottom w:val="0"/>
          <w:divBdr>
            <w:top w:val="none" w:sz="0" w:space="0" w:color="auto"/>
            <w:left w:val="none" w:sz="0" w:space="0" w:color="auto"/>
            <w:bottom w:val="none" w:sz="0" w:space="0" w:color="auto"/>
            <w:right w:val="none" w:sz="0" w:space="0" w:color="auto"/>
          </w:divBdr>
        </w:div>
        <w:div w:id="2024701771">
          <w:marLeft w:val="0"/>
          <w:marRight w:val="0"/>
          <w:marTop w:val="0"/>
          <w:marBottom w:val="0"/>
          <w:divBdr>
            <w:top w:val="none" w:sz="0" w:space="0" w:color="auto"/>
            <w:left w:val="none" w:sz="0" w:space="0" w:color="auto"/>
            <w:bottom w:val="none" w:sz="0" w:space="0" w:color="auto"/>
            <w:right w:val="none" w:sz="0" w:space="0" w:color="auto"/>
          </w:divBdr>
        </w:div>
        <w:div w:id="2024701772">
          <w:marLeft w:val="0"/>
          <w:marRight w:val="0"/>
          <w:marTop w:val="0"/>
          <w:marBottom w:val="0"/>
          <w:divBdr>
            <w:top w:val="none" w:sz="0" w:space="0" w:color="auto"/>
            <w:left w:val="none" w:sz="0" w:space="0" w:color="auto"/>
            <w:bottom w:val="none" w:sz="0" w:space="0" w:color="auto"/>
            <w:right w:val="none" w:sz="0" w:space="0" w:color="auto"/>
          </w:divBdr>
        </w:div>
        <w:div w:id="2024701773">
          <w:marLeft w:val="0"/>
          <w:marRight w:val="0"/>
          <w:marTop w:val="0"/>
          <w:marBottom w:val="0"/>
          <w:divBdr>
            <w:top w:val="none" w:sz="0" w:space="0" w:color="auto"/>
            <w:left w:val="none" w:sz="0" w:space="0" w:color="auto"/>
            <w:bottom w:val="none" w:sz="0" w:space="0" w:color="auto"/>
            <w:right w:val="none" w:sz="0" w:space="0" w:color="auto"/>
          </w:divBdr>
        </w:div>
        <w:div w:id="2024701774">
          <w:marLeft w:val="0"/>
          <w:marRight w:val="0"/>
          <w:marTop w:val="0"/>
          <w:marBottom w:val="0"/>
          <w:divBdr>
            <w:top w:val="none" w:sz="0" w:space="0" w:color="auto"/>
            <w:left w:val="none" w:sz="0" w:space="0" w:color="auto"/>
            <w:bottom w:val="none" w:sz="0" w:space="0" w:color="auto"/>
            <w:right w:val="none" w:sz="0" w:space="0" w:color="auto"/>
          </w:divBdr>
        </w:div>
        <w:div w:id="2024701775">
          <w:marLeft w:val="0"/>
          <w:marRight w:val="0"/>
          <w:marTop w:val="0"/>
          <w:marBottom w:val="0"/>
          <w:divBdr>
            <w:top w:val="none" w:sz="0" w:space="0" w:color="auto"/>
            <w:left w:val="none" w:sz="0" w:space="0" w:color="auto"/>
            <w:bottom w:val="none" w:sz="0" w:space="0" w:color="auto"/>
            <w:right w:val="none" w:sz="0" w:space="0" w:color="auto"/>
          </w:divBdr>
        </w:div>
        <w:div w:id="2024701776">
          <w:marLeft w:val="0"/>
          <w:marRight w:val="0"/>
          <w:marTop w:val="0"/>
          <w:marBottom w:val="0"/>
          <w:divBdr>
            <w:top w:val="none" w:sz="0" w:space="0" w:color="auto"/>
            <w:left w:val="none" w:sz="0" w:space="0" w:color="auto"/>
            <w:bottom w:val="none" w:sz="0" w:space="0" w:color="auto"/>
            <w:right w:val="none" w:sz="0" w:space="0" w:color="auto"/>
          </w:divBdr>
        </w:div>
        <w:div w:id="2024701777">
          <w:marLeft w:val="0"/>
          <w:marRight w:val="0"/>
          <w:marTop w:val="0"/>
          <w:marBottom w:val="0"/>
          <w:divBdr>
            <w:top w:val="none" w:sz="0" w:space="0" w:color="auto"/>
            <w:left w:val="none" w:sz="0" w:space="0" w:color="auto"/>
            <w:bottom w:val="none" w:sz="0" w:space="0" w:color="auto"/>
            <w:right w:val="none" w:sz="0" w:space="0" w:color="auto"/>
          </w:divBdr>
        </w:div>
        <w:div w:id="2024701778">
          <w:marLeft w:val="0"/>
          <w:marRight w:val="0"/>
          <w:marTop w:val="0"/>
          <w:marBottom w:val="0"/>
          <w:divBdr>
            <w:top w:val="none" w:sz="0" w:space="0" w:color="auto"/>
            <w:left w:val="none" w:sz="0" w:space="0" w:color="auto"/>
            <w:bottom w:val="none" w:sz="0" w:space="0" w:color="auto"/>
            <w:right w:val="none" w:sz="0" w:space="0" w:color="auto"/>
          </w:divBdr>
        </w:div>
        <w:div w:id="2024701779">
          <w:marLeft w:val="0"/>
          <w:marRight w:val="0"/>
          <w:marTop w:val="0"/>
          <w:marBottom w:val="0"/>
          <w:divBdr>
            <w:top w:val="none" w:sz="0" w:space="0" w:color="auto"/>
            <w:left w:val="none" w:sz="0" w:space="0" w:color="auto"/>
            <w:bottom w:val="none" w:sz="0" w:space="0" w:color="auto"/>
            <w:right w:val="none" w:sz="0" w:space="0" w:color="auto"/>
          </w:divBdr>
        </w:div>
        <w:div w:id="2024701780">
          <w:marLeft w:val="0"/>
          <w:marRight w:val="0"/>
          <w:marTop w:val="0"/>
          <w:marBottom w:val="0"/>
          <w:divBdr>
            <w:top w:val="none" w:sz="0" w:space="0" w:color="auto"/>
            <w:left w:val="none" w:sz="0" w:space="0" w:color="auto"/>
            <w:bottom w:val="none" w:sz="0" w:space="0" w:color="auto"/>
            <w:right w:val="none" w:sz="0" w:space="0" w:color="auto"/>
          </w:divBdr>
        </w:div>
        <w:div w:id="2024701781">
          <w:marLeft w:val="0"/>
          <w:marRight w:val="0"/>
          <w:marTop w:val="0"/>
          <w:marBottom w:val="0"/>
          <w:divBdr>
            <w:top w:val="none" w:sz="0" w:space="0" w:color="auto"/>
            <w:left w:val="none" w:sz="0" w:space="0" w:color="auto"/>
            <w:bottom w:val="none" w:sz="0" w:space="0" w:color="auto"/>
            <w:right w:val="none" w:sz="0" w:space="0" w:color="auto"/>
          </w:divBdr>
        </w:div>
        <w:div w:id="2024701782">
          <w:marLeft w:val="0"/>
          <w:marRight w:val="0"/>
          <w:marTop w:val="0"/>
          <w:marBottom w:val="0"/>
          <w:divBdr>
            <w:top w:val="none" w:sz="0" w:space="0" w:color="auto"/>
            <w:left w:val="none" w:sz="0" w:space="0" w:color="auto"/>
            <w:bottom w:val="none" w:sz="0" w:space="0" w:color="auto"/>
            <w:right w:val="none" w:sz="0" w:space="0" w:color="auto"/>
          </w:divBdr>
        </w:div>
        <w:div w:id="2024701783">
          <w:marLeft w:val="0"/>
          <w:marRight w:val="0"/>
          <w:marTop w:val="0"/>
          <w:marBottom w:val="0"/>
          <w:divBdr>
            <w:top w:val="none" w:sz="0" w:space="0" w:color="auto"/>
            <w:left w:val="none" w:sz="0" w:space="0" w:color="auto"/>
            <w:bottom w:val="none" w:sz="0" w:space="0" w:color="auto"/>
            <w:right w:val="none" w:sz="0" w:space="0" w:color="auto"/>
          </w:divBdr>
        </w:div>
        <w:div w:id="2024701784">
          <w:marLeft w:val="0"/>
          <w:marRight w:val="0"/>
          <w:marTop w:val="0"/>
          <w:marBottom w:val="0"/>
          <w:divBdr>
            <w:top w:val="none" w:sz="0" w:space="0" w:color="auto"/>
            <w:left w:val="none" w:sz="0" w:space="0" w:color="auto"/>
            <w:bottom w:val="none" w:sz="0" w:space="0" w:color="auto"/>
            <w:right w:val="none" w:sz="0" w:space="0" w:color="auto"/>
          </w:divBdr>
        </w:div>
        <w:div w:id="2024701785">
          <w:marLeft w:val="0"/>
          <w:marRight w:val="0"/>
          <w:marTop w:val="0"/>
          <w:marBottom w:val="0"/>
          <w:divBdr>
            <w:top w:val="none" w:sz="0" w:space="0" w:color="auto"/>
            <w:left w:val="none" w:sz="0" w:space="0" w:color="auto"/>
            <w:bottom w:val="none" w:sz="0" w:space="0" w:color="auto"/>
            <w:right w:val="none" w:sz="0" w:space="0" w:color="auto"/>
          </w:divBdr>
        </w:div>
        <w:div w:id="2024701786">
          <w:marLeft w:val="0"/>
          <w:marRight w:val="0"/>
          <w:marTop w:val="0"/>
          <w:marBottom w:val="0"/>
          <w:divBdr>
            <w:top w:val="none" w:sz="0" w:space="0" w:color="auto"/>
            <w:left w:val="none" w:sz="0" w:space="0" w:color="auto"/>
            <w:bottom w:val="none" w:sz="0" w:space="0" w:color="auto"/>
            <w:right w:val="none" w:sz="0" w:space="0" w:color="auto"/>
          </w:divBdr>
        </w:div>
        <w:div w:id="2024701787">
          <w:marLeft w:val="0"/>
          <w:marRight w:val="0"/>
          <w:marTop w:val="0"/>
          <w:marBottom w:val="0"/>
          <w:divBdr>
            <w:top w:val="none" w:sz="0" w:space="0" w:color="auto"/>
            <w:left w:val="none" w:sz="0" w:space="0" w:color="auto"/>
            <w:bottom w:val="none" w:sz="0" w:space="0" w:color="auto"/>
            <w:right w:val="none" w:sz="0" w:space="0" w:color="auto"/>
          </w:divBdr>
        </w:div>
        <w:div w:id="2024701788">
          <w:marLeft w:val="0"/>
          <w:marRight w:val="0"/>
          <w:marTop w:val="0"/>
          <w:marBottom w:val="0"/>
          <w:divBdr>
            <w:top w:val="none" w:sz="0" w:space="0" w:color="auto"/>
            <w:left w:val="none" w:sz="0" w:space="0" w:color="auto"/>
            <w:bottom w:val="none" w:sz="0" w:space="0" w:color="auto"/>
            <w:right w:val="none" w:sz="0" w:space="0" w:color="auto"/>
          </w:divBdr>
        </w:div>
        <w:div w:id="2024701789">
          <w:marLeft w:val="0"/>
          <w:marRight w:val="0"/>
          <w:marTop w:val="0"/>
          <w:marBottom w:val="0"/>
          <w:divBdr>
            <w:top w:val="none" w:sz="0" w:space="0" w:color="auto"/>
            <w:left w:val="none" w:sz="0" w:space="0" w:color="auto"/>
            <w:bottom w:val="none" w:sz="0" w:space="0" w:color="auto"/>
            <w:right w:val="none" w:sz="0" w:space="0" w:color="auto"/>
          </w:divBdr>
        </w:div>
        <w:div w:id="2024701790">
          <w:marLeft w:val="0"/>
          <w:marRight w:val="0"/>
          <w:marTop w:val="0"/>
          <w:marBottom w:val="0"/>
          <w:divBdr>
            <w:top w:val="none" w:sz="0" w:space="0" w:color="auto"/>
            <w:left w:val="none" w:sz="0" w:space="0" w:color="auto"/>
            <w:bottom w:val="none" w:sz="0" w:space="0" w:color="auto"/>
            <w:right w:val="none" w:sz="0" w:space="0" w:color="auto"/>
          </w:divBdr>
        </w:div>
        <w:div w:id="2024701791">
          <w:marLeft w:val="0"/>
          <w:marRight w:val="0"/>
          <w:marTop w:val="0"/>
          <w:marBottom w:val="0"/>
          <w:divBdr>
            <w:top w:val="none" w:sz="0" w:space="0" w:color="auto"/>
            <w:left w:val="none" w:sz="0" w:space="0" w:color="auto"/>
            <w:bottom w:val="none" w:sz="0" w:space="0" w:color="auto"/>
            <w:right w:val="none" w:sz="0" w:space="0" w:color="auto"/>
          </w:divBdr>
        </w:div>
        <w:div w:id="2024701792">
          <w:marLeft w:val="0"/>
          <w:marRight w:val="0"/>
          <w:marTop w:val="0"/>
          <w:marBottom w:val="0"/>
          <w:divBdr>
            <w:top w:val="none" w:sz="0" w:space="0" w:color="auto"/>
            <w:left w:val="none" w:sz="0" w:space="0" w:color="auto"/>
            <w:bottom w:val="none" w:sz="0" w:space="0" w:color="auto"/>
            <w:right w:val="none" w:sz="0" w:space="0" w:color="auto"/>
          </w:divBdr>
        </w:div>
        <w:div w:id="2024701793">
          <w:marLeft w:val="0"/>
          <w:marRight w:val="0"/>
          <w:marTop w:val="0"/>
          <w:marBottom w:val="0"/>
          <w:divBdr>
            <w:top w:val="none" w:sz="0" w:space="0" w:color="auto"/>
            <w:left w:val="none" w:sz="0" w:space="0" w:color="auto"/>
            <w:bottom w:val="none" w:sz="0" w:space="0" w:color="auto"/>
            <w:right w:val="none" w:sz="0" w:space="0" w:color="auto"/>
          </w:divBdr>
        </w:div>
        <w:div w:id="2024701795">
          <w:marLeft w:val="0"/>
          <w:marRight w:val="0"/>
          <w:marTop w:val="0"/>
          <w:marBottom w:val="0"/>
          <w:divBdr>
            <w:top w:val="none" w:sz="0" w:space="0" w:color="auto"/>
            <w:left w:val="none" w:sz="0" w:space="0" w:color="auto"/>
            <w:bottom w:val="none" w:sz="0" w:space="0" w:color="auto"/>
            <w:right w:val="none" w:sz="0" w:space="0" w:color="auto"/>
          </w:divBdr>
        </w:div>
        <w:div w:id="2024701796">
          <w:marLeft w:val="0"/>
          <w:marRight w:val="0"/>
          <w:marTop w:val="0"/>
          <w:marBottom w:val="0"/>
          <w:divBdr>
            <w:top w:val="none" w:sz="0" w:space="0" w:color="auto"/>
            <w:left w:val="none" w:sz="0" w:space="0" w:color="auto"/>
            <w:bottom w:val="none" w:sz="0" w:space="0" w:color="auto"/>
            <w:right w:val="none" w:sz="0" w:space="0" w:color="auto"/>
          </w:divBdr>
        </w:div>
        <w:div w:id="2024701797">
          <w:marLeft w:val="0"/>
          <w:marRight w:val="0"/>
          <w:marTop w:val="0"/>
          <w:marBottom w:val="0"/>
          <w:divBdr>
            <w:top w:val="none" w:sz="0" w:space="0" w:color="auto"/>
            <w:left w:val="none" w:sz="0" w:space="0" w:color="auto"/>
            <w:bottom w:val="none" w:sz="0" w:space="0" w:color="auto"/>
            <w:right w:val="none" w:sz="0" w:space="0" w:color="auto"/>
          </w:divBdr>
        </w:div>
        <w:div w:id="2024701798">
          <w:marLeft w:val="0"/>
          <w:marRight w:val="0"/>
          <w:marTop w:val="0"/>
          <w:marBottom w:val="0"/>
          <w:divBdr>
            <w:top w:val="none" w:sz="0" w:space="0" w:color="auto"/>
            <w:left w:val="none" w:sz="0" w:space="0" w:color="auto"/>
            <w:bottom w:val="none" w:sz="0" w:space="0" w:color="auto"/>
            <w:right w:val="none" w:sz="0" w:space="0" w:color="auto"/>
          </w:divBdr>
        </w:div>
        <w:div w:id="2024701800">
          <w:marLeft w:val="0"/>
          <w:marRight w:val="0"/>
          <w:marTop w:val="0"/>
          <w:marBottom w:val="0"/>
          <w:divBdr>
            <w:top w:val="none" w:sz="0" w:space="0" w:color="auto"/>
            <w:left w:val="none" w:sz="0" w:space="0" w:color="auto"/>
            <w:bottom w:val="none" w:sz="0" w:space="0" w:color="auto"/>
            <w:right w:val="none" w:sz="0" w:space="0" w:color="auto"/>
          </w:divBdr>
        </w:div>
        <w:div w:id="2024701801">
          <w:marLeft w:val="0"/>
          <w:marRight w:val="0"/>
          <w:marTop w:val="0"/>
          <w:marBottom w:val="0"/>
          <w:divBdr>
            <w:top w:val="none" w:sz="0" w:space="0" w:color="auto"/>
            <w:left w:val="none" w:sz="0" w:space="0" w:color="auto"/>
            <w:bottom w:val="none" w:sz="0" w:space="0" w:color="auto"/>
            <w:right w:val="none" w:sz="0" w:space="0" w:color="auto"/>
          </w:divBdr>
        </w:div>
        <w:div w:id="2024701802">
          <w:marLeft w:val="0"/>
          <w:marRight w:val="0"/>
          <w:marTop w:val="0"/>
          <w:marBottom w:val="0"/>
          <w:divBdr>
            <w:top w:val="none" w:sz="0" w:space="0" w:color="auto"/>
            <w:left w:val="none" w:sz="0" w:space="0" w:color="auto"/>
            <w:bottom w:val="none" w:sz="0" w:space="0" w:color="auto"/>
            <w:right w:val="none" w:sz="0" w:space="0" w:color="auto"/>
          </w:divBdr>
        </w:div>
        <w:div w:id="2024701803">
          <w:marLeft w:val="0"/>
          <w:marRight w:val="0"/>
          <w:marTop w:val="0"/>
          <w:marBottom w:val="0"/>
          <w:divBdr>
            <w:top w:val="none" w:sz="0" w:space="0" w:color="auto"/>
            <w:left w:val="none" w:sz="0" w:space="0" w:color="auto"/>
            <w:bottom w:val="none" w:sz="0" w:space="0" w:color="auto"/>
            <w:right w:val="none" w:sz="0" w:space="0" w:color="auto"/>
          </w:divBdr>
        </w:div>
        <w:div w:id="2024701804">
          <w:marLeft w:val="0"/>
          <w:marRight w:val="0"/>
          <w:marTop w:val="0"/>
          <w:marBottom w:val="0"/>
          <w:divBdr>
            <w:top w:val="none" w:sz="0" w:space="0" w:color="auto"/>
            <w:left w:val="none" w:sz="0" w:space="0" w:color="auto"/>
            <w:bottom w:val="none" w:sz="0" w:space="0" w:color="auto"/>
            <w:right w:val="none" w:sz="0" w:space="0" w:color="auto"/>
          </w:divBdr>
        </w:div>
        <w:div w:id="2024701805">
          <w:marLeft w:val="0"/>
          <w:marRight w:val="0"/>
          <w:marTop w:val="0"/>
          <w:marBottom w:val="0"/>
          <w:divBdr>
            <w:top w:val="none" w:sz="0" w:space="0" w:color="auto"/>
            <w:left w:val="none" w:sz="0" w:space="0" w:color="auto"/>
            <w:bottom w:val="none" w:sz="0" w:space="0" w:color="auto"/>
            <w:right w:val="none" w:sz="0" w:space="0" w:color="auto"/>
          </w:divBdr>
        </w:div>
        <w:div w:id="2024701806">
          <w:marLeft w:val="0"/>
          <w:marRight w:val="0"/>
          <w:marTop w:val="0"/>
          <w:marBottom w:val="0"/>
          <w:divBdr>
            <w:top w:val="none" w:sz="0" w:space="0" w:color="auto"/>
            <w:left w:val="none" w:sz="0" w:space="0" w:color="auto"/>
            <w:bottom w:val="none" w:sz="0" w:space="0" w:color="auto"/>
            <w:right w:val="none" w:sz="0" w:space="0" w:color="auto"/>
          </w:divBdr>
        </w:div>
        <w:div w:id="2024701807">
          <w:marLeft w:val="0"/>
          <w:marRight w:val="0"/>
          <w:marTop w:val="0"/>
          <w:marBottom w:val="0"/>
          <w:divBdr>
            <w:top w:val="none" w:sz="0" w:space="0" w:color="auto"/>
            <w:left w:val="none" w:sz="0" w:space="0" w:color="auto"/>
            <w:bottom w:val="none" w:sz="0" w:space="0" w:color="auto"/>
            <w:right w:val="none" w:sz="0" w:space="0" w:color="auto"/>
          </w:divBdr>
        </w:div>
        <w:div w:id="2024701808">
          <w:marLeft w:val="0"/>
          <w:marRight w:val="0"/>
          <w:marTop w:val="0"/>
          <w:marBottom w:val="0"/>
          <w:divBdr>
            <w:top w:val="none" w:sz="0" w:space="0" w:color="auto"/>
            <w:left w:val="none" w:sz="0" w:space="0" w:color="auto"/>
            <w:bottom w:val="none" w:sz="0" w:space="0" w:color="auto"/>
            <w:right w:val="none" w:sz="0" w:space="0" w:color="auto"/>
          </w:divBdr>
        </w:div>
        <w:div w:id="2024701809">
          <w:marLeft w:val="0"/>
          <w:marRight w:val="0"/>
          <w:marTop w:val="0"/>
          <w:marBottom w:val="0"/>
          <w:divBdr>
            <w:top w:val="none" w:sz="0" w:space="0" w:color="auto"/>
            <w:left w:val="none" w:sz="0" w:space="0" w:color="auto"/>
            <w:bottom w:val="none" w:sz="0" w:space="0" w:color="auto"/>
            <w:right w:val="none" w:sz="0" w:space="0" w:color="auto"/>
          </w:divBdr>
        </w:div>
        <w:div w:id="2024701810">
          <w:marLeft w:val="0"/>
          <w:marRight w:val="0"/>
          <w:marTop w:val="0"/>
          <w:marBottom w:val="0"/>
          <w:divBdr>
            <w:top w:val="none" w:sz="0" w:space="0" w:color="auto"/>
            <w:left w:val="none" w:sz="0" w:space="0" w:color="auto"/>
            <w:bottom w:val="none" w:sz="0" w:space="0" w:color="auto"/>
            <w:right w:val="none" w:sz="0" w:space="0" w:color="auto"/>
          </w:divBdr>
        </w:div>
        <w:div w:id="2024701811">
          <w:marLeft w:val="0"/>
          <w:marRight w:val="0"/>
          <w:marTop w:val="0"/>
          <w:marBottom w:val="0"/>
          <w:divBdr>
            <w:top w:val="none" w:sz="0" w:space="0" w:color="auto"/>
            <w:left w:val="none" w:sz="0" w:space="0" w:color="auto"/>
            <w:bottom w:val="none" w:sz="0" w:space="0" w:color="auto"/>
            <w:right w:val="none" w:sz="0" w:space="0" w:color="auto"/>
          </w:divBdr>
        </w:div>
        <w:div w:id="2024701812">
          <w:marLeft w:val="0"/>
          <w:marRight w:val="0"/>
          <w:marTop w:val="0"/>
          <w:marBottom w:val="0"/>
          <w:divBdr>
            <w:top w:val="none" w:sz="0" w:space="0" w:color="auto"/>
            <w:left w:val="none" w:sz="0" w:space="0" w:color="auto"/>
            <w:bottom w:val="none" w:sz="0" w:space="0" w:color="auto"/>
            <w:right w:val="none" w:sz="0" w:space="0" w:color="auto"/>
          </w:divBdr>
        </w:div>
        <w:div w:id="2024701813">
          <w:marLeft w:val="0"/>
          <w:marRight w:val="0"/>
          <w:marTop w:val="0"/>
          <w:marBottom w:val="0"/>
          <w:divBdr>
            <w:top w:val="none" w:sz="0" w:space="0" w:color="auto"/>
            <w:left w:val="none" w:sz="0" w:space="0" w:color="auto"/>
            <w:bottom w:val="none" w:sz="0" w:space="0" w:color="auto"/>
            <w:right w:val="none" w:sz="0" w:space="0" w:color="auto"/>
          </w:divBdr>
        </w:div>
        <w:div w:id="2024701814">
          <w:marLeft w:val="0"/>
          <w:marRight w:val="0"/>
          <w:marTop w:val="0"/>
          <w:marBottom w:val="0"/>
          <w:divBdr>
            <w:top w:val="none" w:sz="0" w:space="0" w:color="auto"/>
            <w:left w:val="none" w:sz="0" w:space="0" w:color="auto"/>
            <w:bottom w:val="none" w:sz="0" w:space="0" w:color="auto"/>
            <w:right w:val="none" w:sz="0" w:space="0" w:color="auto"/>
          </w:divBdr>
        </w:div>
        <w:div w:id="2024701815">
          <w:marLeft w:val="0"/>
          <w:marRight w:val="0"/>
          <w:marTop w:val="0"/>
          <w:marBottom w:val="0"/>
          <w:divBdr>
            <w:top w:val="none" w:sz="0" w:space="0" w:color="auto"/>
            <w:left w:val="none" w:sz="0" w:space="0" w:color="auto"/>
            <w:bottom w:val="none" w:sz="0" w:space="0" w:color="auto"/>
            <w:right w:val="none" w:sz="0" w:space="0" w:color="auto"/>
          </w:divBdr>
        </w:div>
        <w:div w:id="2024701816">
          <w:marLeft w:val="0"/>
          <w:marRight w:val="0"/>
          <w:marTop w:val="0"/>
          <w:marBottom w:val="0"/>
          <w:divBdr>
            <w:top w:val="none" w:sz="0" w:space="0" w:color="auto"/>
            <w:left w:val="none" w:sz="0" w:space="0" w:color="auto"/>
            <w:bottom w:val="none" w:sz="0" w:space="0" w:color="auto"/>
            <w:right w:val="none" w:sz="0" w:space="0" w:color="auto"/>
          </w:divBdr>
        </w:div>
        <w:div w:id="2024701817">
          <w:marLeft w:val="0"/>
          <w:marRight w:val="0"/>
          <w:marTop w:val="0"/>
          <w:marBottom w:val="0"/>
          <w:divBdr>
            <w:top w:val="none" w:sz="0" w:space="0" w:color="auto"/>
            <w:left w:val="none" w:sz="0" w:space="0" w:color="auto"/>
            <w:bottom w:val="none" w:sz="0" w:space="0" w:color="auto"/>
            <w:right w:val="none" w:sz="0" w:space="0" w:color="auto"/>
          </w:divBdr>
        </w:div>
        <w:div w:id="2024701818">
          <w:marLeft w:val="0"/>
          <w:marRight w:val="0"/>
          <w:marTop w:val="0"/>
          <w:marBottom w:val="0"/>
          <w:divBdr>
            <w:top w:val="none" w:sz="0" w:space="0" w:color="auto"/>
            <w:left w:val="none" w:sz="0" w:space="0" w:color="auto"/>
            <w:bottom w:val="none" w:sz="0" w:space="0" w:color="auto"/>
            <w:right w:val="none" w:sz="0" w:space="0" w:color="auto"/>
          </w:divBdr>
        </w:div>
        <w:div w:id="2024701819">
          <w:marLeft w:val="0"/>
          <w:marRight w:val="0"/>
          <w:marTop w:val="0"/>
          <w:marBottom w:val="0"/>
          <w:divBdr>
            <w:top w:val="none" w:sz="0" w:space="0" w:color="auto"/>
            <w:left w:val="none" w:sz="0" w:space="0" w:color="auto"/>
            <w:bottom w:val="none" w:sz="0" w:space="0" w:color="auto"/>
            <w:right w:val="none" w:sz="0" w:space="0" w:color="auto"/>
          </w:divBdr>
        </w:div>
        <w:div w:id="2024701820">
          <w:marLeft w:val="0"/>
          <w:marRight w:val="0"/>
          <w:marTop w:val="0"/>
          <w:marBottom w:val="0"/>
          <w:divBdr>
            <w:top w:val="none" w:sz="0" w:space="0" w:color="auto"/>
            <w:left w:val="none" w:sz="0" w:space="0" w:color="auto"/>
            <w:bottom w:val="none" w:sz="0" w:space="0" w:color="auto"/>
            <w:right w:val="none" w:sz="0" w:space="0" w:color="auto"/>
          </w:divBdr>
        </w:div>
        <w:div w:id="2024701821">
          <w:marLeft w:val="0"/>
          <w:marRight w:val="0"/>
          <w:marTop w:val="0"/>
          <w:marBottom w:val="0"/>
          <w:divBdr>
            <w:top w:val="none" w:sz="0" w:space="0" w:color="auto"/>
            <w:left w:val="none" w:sz="0" w:space="0" w:color="auto"/>
            <w:bottom w:val="none" w:sz="0" w:space="0" w:color="auto"/>
            <w:right w:val="none" w:sz="0" w:space="0" w:color="auto"/>
          </w:divBdr>
        </w:div>
        <w:div w:id="2024701822">
          <w:marLeft w:val="0"/>
          <w:marRight w:val="0"/>
          <w:marTop w:val="0"/>
          <w:marBottom w:val="0"/>
          <w:divBdr>
            <w:top w:val="none" w:sz="0" w:space="0" w:color="auto"/>
            <w:left w:val="none" w:sz="0" w:space="0" w:color="auto"/>
            <w:bottom w:val="none" w:sz="0" w:space="0" w:color="auto"/>
            <w:right w:val="none" w:sz="0" w:space="0" w:color="auto"/>
          </w:divBdr>
        </w:div>
        <w:div w:id="2024701823">
          <w:marLeft w:val="0"/>
          <w:marRight w:val="0"/>
          <w:marTop w:val="0"/>
          <w:marBottom w:val="0"/>
          <w:divBdr>
            <w:top w:val="none" w:sz="0" w:space="0" w:color="auto"/>
            <w:left w:val="none" w:sz="0" w:space="0" w:color="auto"/>
            <w:bottom w:val="none" w:sz="0" w:space="0" w:color="auto"/>
            <w:right w:val="none" w:sz="0" w:space="0" w:color="auto"/>
          </w:divBdr>
        </w:div>
        <w:div w:id="2024701824">
          <w:marLeft w:val="0"/>
          <w:marRight w:val="0"/>
          <w:marTop w:val="0"/>
          <w:marBottom w:val="0"/>
          <w:divBdr>
            <w:top w:val="none" w:sz="0" w:space="0" w:color="auto"/>
            <w:left w:val="none" w:sz="0" w:space="0" w:color="auto"/>
            <w:bottom w:val="none" w:sz="0" w:space="0" w:color="auto"/>
            <w:right w:val="none" w:sz="0" w:space="0" w:color="auto"/>
          </w:divBdr>
        </w:div>
        <w:div w:id="2024701825">
          <w:marLeft w:val="0"/>
          <w:marRight w:val="0"/>
          <w:marTop w:val="0"/>
          <w:marBottom w:val="0"/>
          <w:divBdr>
            <w:top w:val="none" w:sz="0" w:space="0" w:color="auto"/>
            <w:left w:val="none" w:sz="0" w:space="0" w:color="auto"/>
            <w:bottom w:val="none" w:sz="0" w:space="0" w:color="auto"/>
            <w:right w:val="none" w:sz="0" w:space="0" w:color="auto"/>
          </w:divBdr>
        </w:div>
        <w:div w:id="2024701826">
          <w:marLeft w:val="0"/>
          <w:marRight w:val="0"/>
          <w:marTop w:val="0"/>
          <w:marBottom w:val="0"/>
          <w:divBdr>
            <w:top w:val="none" w:sz="0" w:space="0" w:color="auto"/>
            <w:left w:val="none" w:sz="0" w:space="0" w:color="auto"/>
            <w:bottom w:val="none" w:sz="0" w:space="0" w:color="auto"/>
            <w:right w:val="none" w:sz="0" w:space="0" w:color="auto"/>
          </w:divBdr>
        </w:div>
        <w:div w:id="2024701828">
          <w:marLeft w:val="0"/>
          <w:marRight w:val="0"/>
          <w:marTop w:val="0"/>
          <w:marBottom w:val="0"/>
          <w:divBdr>
            <w:top w:val="none" w:sz="0" w:space="0" w:color="auto"/>
            <w:left w:val="none" w:sz="0" w:space="0" w:color="auto"/>
            <w:bottom w:val="none" w:sz="0" w:space="0" w:color="auto"/>
            <w:right w:val="none" w:sz="0" w:space="0" w:color="auto"/>
          </w:divBdr>
        </w:div>
        <w:div w:id="2024701829">
          <w:marLeft w:val="0"/>
          <w:marRight w:val="0"/>
          <w:marTop w:val="0"/>
          <w:marBottom w:val="0"/>
          <w:divBdr>
            <w:top w:val="none" w:sz="0" w:space="0" w:color="auto"/>
            <w:left w:val="none" w:sz="0" w:space="0" w:color="auto"/>
            <w:bottom w:val="none" w:sz="0" w:space="0" w:color="auto"/>
            <w:right w:val="none" w:sz="0" w:space="0" w:color="auto"/>
          </w:divBdr>
        </w:div>
        <w:div w:id="2024701831">
          <w:marLeft w:val="0"/>
          <w:marRight w:val="0"/>
          <w:marTop w:val="0"/>
          <w:marBottom w:val="0"/>
          <w:divBdr>
            <w:top w:val="none" w:sz="0" w:space="0" w:color="auto"/>
            <w:left w:val="none" w:sz="0" w:space="0" w:color="auto"/>
            <w:bottom w:val="none" w:sz="0" w:space="0" w:color="auto"/>
            <w:right w:val="none" w:sz="0" w:space="0" w:color="auto"/>
          </w:divBdr>
        </w:div>
        <w:div w:id="2024701832">
          <w:marLeft w:val="0"/>
          <w:marRight w:val="0"/>
          <w:marTop w:val="0"/>
          <w:marBottom w:val="0"/>
          <w:divBdr>
            <w:top w:val="none" w:sz="0" w:space="0" w:color="auto"/>
            <w:left w:val="none" w:sz="0" w:space="0" w:color="auto"/>
            <w:bottom w:val="none" w:sz="0" w:space="0" w:color="auto"/>
            <w:right w:val="none" w:sz="0" w:space="0" w:color="auto"/>
          </w:divBdr>
        </w:div>
        <w:div w:id="2024701833">
          <w:marLeft w:val="0"/>
          <w:marRight w:val="0"/>
          <w:marTop w:val="0"/>
          <w:marBottom w:val="0"/>
          <w:divBdr>
            <w:top w:val="none" w:sz="0" w:space="0" w:color="auto"/>
            <w:left w:val="none" w:sz="0" w:space="0" w:color="auto"/>
            <w:bottom w:val="none" w:sz="0" w:space="0" w:color="auto"/>
            <w:right w:val="none" w:sz="0" w:space="0" w:color="auto"/>
          </w:divBdr>
        </w:div>
        <w:div w:id="2024701834">
          <w:marLeft w:val="0"/>
          <w:marRight w:val="0"/>
          <w:marTop w:val="0"/>
          <w:marBottom w:val="0"/>
          <w:divBdr>
            <w:top w:val="none" w:sz="0" w:space="0" w:color="auto"/>
            <w:left w:val="none" w:sz="0" w:space="0" w:color="auto"/>
            <w:bottom w:val="none" w:sz="0" w:space="0" w:color="auto"/>
            <w:right w:val="none" w:sz="0" w:space="0" w:color="auto"/>
          </w:divBdr>
        </w:div>
        <w:div w:id="2024701835">
          <w:marLeft w:val="0"/>
          <w:marRight w:val="0"/>
          <w:marTop w:val="0"/>
          <w:marBottom w:val="0"/>
          <w:divBdr>
            <w:top w:val="none" w:sz="0" w:space="0" w:color="auto"/>
            <w:left w:val="none" w:sz="0" w:space="0" w:color="auto"/>
            <w:bottom w:val="none" w:sz="0" w:space="0" w:color="auto"/>
            <w:right w:val="none" w:sz="0" w:space="0" w:color="auto"/>
          </w:divBdr>
        </w:div>
        <w:div w:id="2024701836">
          <w:marLeft w:val="0"/>
          <w:marRight w:val="0"/>
          <w:marTop w:val="0"/>
          <w:marBottom w:val="0"/>
          <w:divBdr>
            <w:top w:val="none" w:sz="0" w:space="0" w:color="auto"/>
            <w:left w:val="none" w:sz="0" w:space="0" w:color="auto"/>
            <w:bottom w:val="none" w:sz="0" w:space="0" w:color="auto"/>
            <w:right w:val="none" w:sz="0" w:space="0" w:color="auto"/>
          </w:divBdr>
        </w:div>
        <w:div w:id="2024701837">
          <w:marLeft w:val="0"/>
          <w:marRight w:val="0"/>
          <w:marTop w:val="0"/>
          <w:marBottom w:val="0"/>
          <w:divBdr>
            <w:top w:val="none" w:sz="0" w:space="0" w:color="auto"/>
            <w:left w:val="none" w:sz="0" w:space="0" w:color="auto"/>
            <w:bottom w:val="none" w:sz="0" w:space="0" w:color="auto"/>
            <w:right w:val="none" w:sz="0" w:space="0" w:color="auto"/>
          </w:divBdr>
        </w:div>
        <w:div w:id="2024701838">
          <w:marLeft w:val="0"/>
          <w:marRight w:val="0"/>
          <w:marTop w:val="0"/>
          <w:marBottom w:val="0"/>
          <w:divBdr>
            <w:top w:val="none" w:sz="0" w:space="0" w:color="auto"/>
            <w:left w:val="none" w:sz="0" w:space="0" w:color="auto"/>
            <w:bottom w:val="none" w:sz="0" w:space="0" w:color="auto"/>
            <w:right w:val="none" w:sz="0" w:space="0" w:color="auto"/>
          </w:divBdr>
        </w:div>
        <w:div w:id="2024701839">
          <w:marLeft w:val="0"/>
          <w:marRight w:val="0"/>
          <w:marTop w:val="0"/>
          <w:marBottom w:val="0"/>
          <w:divBdr>
            <w:top w:val="none" w:sz="0" w:space="0" w:color="auto"/>
            <w:left w:val="none" w:sz="0" w:space="0" w:color="auto"/>
            <w:bottom w:val="none" w:sz="0" w:space="0" w:color="auto"/>
            <w:right w:val="none" w:sz="0" w:space="0" w:color="auto"/>
          </w:divBdr>
        </w:div>
        <w:div w:id="2024701840">
          <w:marLeft w:val="0"/>
          <w:marRight w:val="0"/>
          <w:marTop w:val="0"/>
          <w:marBottom w:val="0"/>
          <w:divBdr>
            <w:top w:val="none" w:sz="0" w:space="0" w:color="auto"/>
            <w:left w:val="none" w:sz="0" w:space="0" w:color="auto"/>
            <w:bottom w:val="none" w:sz="0" w:space="0" w:color="auto"/>
            <w:right w:val="none" w:sz="0" w:space="0" w:color="auto"/>
          </w:divBdr>
        </w:div>
        <w:div w:id="2024701841">
          <w:marLeft w:val="0"/>
          <w:marRight w:val="0"/>
          <w:marTop w:val="0"/>
          <w:marBottom w:val="0"/>
          <w:divBdr>
            <w:top w:val="none" w:sz="0" w:space="0" w:color="auto"/>
            <w:left w:val="none" w:sz="0" w:space="0" w:color="auto"/>
            <w:bottom w:val="none" w:sz="0" w:space="0" w:color="auto"/>
            <w:right w:val="none" w:sz="0" w:space="0" w:color="auto"/>
          </w:divBdr>
        </w:div>
        <w:div w:id="2024701842">
          <w:marLeft w:val="0"/>
          <w:marRight w:val="0"/>
          <w:marTop w:val="0"/>
          <w:marBottom w:val="0"/>
          <w:divBdr>
            <w:top w:val="none" w:sz="0" w:space="0" w:color="auto"/>
            <w:left w:val="none" w:sz="0" w:space="0" w:color="auto"/>
            <w:bottom w:val="none" w:sz="0" w:space="0" w:color="auto"/>
            <w:right w:val="none" w:sz="0" w:space="0" w:color="auto"/>
          </w:divBdr>
        </w:div>
        <w:div w:id="2024701843">
          <w:marLeft w:val="0"/>
          <w:marRight w:val="0"/>
          <w:marTop w:val="0"/>
          <w:marBottom w:val="0"/>
          <w:divBdr>
            <w:top w:val="none" w:sz="0" w:space="0" w:color="auto"/>
            <w:left w:val="none" w:sz="0" w:space="0" w:color="auto"/>
            <w:bottom w:val="none" w:sz="0" w:space="0" w:color="auto"/>
            <w:right w:val="none" w:sz="0" w:space="0" w:color="auto"/>
          </w:divBdr>
        </w:div>
        <w:div w:id="2024701844">
          <w:marLeft w:val="0"/>
          <w:marRight w:val="0"/>
          <w:marTop w:val="0"/>
          <w:marBottom w:val="0"/>
          <w:divBdr>
            <w:top w:val="none" w:sz="0" w:space="0" w:color="auto"/>
            <w:left w:val="none" w:sz="0" w:space="0" w:color="auto"/>
            <w:bottom w:val="none" w:sz="0" w:space="0" w:color="auto"/>
            <w:right w:val="none" w:sz="0" w:space="0" w:color="auto"/>
          </w:divBdr>
        </w:div>
        <w:div w:id="2024701845">
          <w:marLeft w:val="0"/>
          <w:marRight w:val="0"/>
          <w:marTop w:val="0"/>
          <w:marBottom w:val="0"/>
          <w:divBdr>
            <w:top w:val="none" w:sz="0" w:space="0" w:color="auto"/>
            <w:left w:val="none" w:sz="0" w:space="0" w:color="auto"/>
            <w:bottom w:val="none" w:sz="0" w:space="0" w:color="auto"/>
            <w:right w:val="none" w:sz="0" w:space="0" w:color="auto"/>
          </w:divBdr>
        </w:div>
        <w:div w:id="2024701846">
          <w:marLeft w:val="0"/>
          <w:marRight w:val="0"/>
          <w:marTop w:val="0"/>
          <w:marBottom w:val="0"/>
          <w:divBdr>
            <w:top w:val="none" w:sz="0" w:space="0" w:color="auto"/>
            <w:left w:val="none" w:sz="0" w:space="0" w:color="auto"/>
            <w:bottom w:val="none" w:sz="0" w:space="0" w:color="auto"/>
            <w:right w:val="none" w:sz="0" w:space="0" w:color="auto"/>
          </w:divBdr>
        </w:div>
        <w:div w:id="2024701847">
          <w:marLeft w:val="0"/>
          <w:marRight w:val="0"/>
          <w:marTop w:val="0"/>
          <w:marBottom w:val="0"/>
          <w:divBdr>
            <w:top w:val="none" w:sz="0" w:space="0" w:color="auto"/>
            <w:left w:val="none" w:sz="0" w:space="0" w:color="auto"/>
            <w:bottom w:val="none" w:sz="0" w:space="0" w:color="auto"/>
            <w:right w:val="none" w:sz="0" w:space="0" w:color="auto"/>
          </w:divBdr>
        </w:div>
        <w:div w:id="2024701848">
          <w:marLeft w:val="0"/>
          <w:marRight w:val="0"/>
          <w:marTop w:val="0"/>
          <w:marBottom w:val="0"/>
          <w:divBdr>
            <w:top w:val="none" w:sz="0" w:space="0" w:color="auto"/>
            <w:left w:val="none" w:sz="0" w:space="0" w:color="auto"/>
            <w:bottom w:val="none" w:sz="0" w:space="0" w:color="auto"/>
            <w:right w:val="none" w:sz="0" w:space="0" w:color="auto"/>
          </w:divBdr>
        </w:div>
        <w:div w:id="2024701849">
          <w:marLeft w:val="0"/>
          <w:marRight w:val="0"/>
          <w:marTop w:val="0"/>
          <w:marBottom w:val="0"/>
          <w:divBdr>
            <w:top w:val="none" w:sz="0" w:space="0" w:color="auto"/>
            <w:left w:val="none" w:sz="0" w:space="0" w:color="auto"/>
            <w:bottom w:val="none" w:sz="0" w:space="0" w:color="auto"/>
            <w:right w:val="none" w:sz="0" w:space="0" w:color="auto"/>
          </w:divBdr>
        </w:div>
        <w:div w:id="2024701850">
          <w:marLeft w:val="0"/>
          <w:marRight w:val="0"/>
          <w:marTop w:val="0"/>
          <w:marBottom w:val="0"/>
          <w:divBdr>
            <w:top w:val="none" w:sz="0" w:space="0" w:color="auto"/>
            <w:left w:val="none" w:sz="0" w:space="0" w:color="auto"/>
            <w:bottom w:val="none" w:sz="0" w:space="0" w:color="auto"/>
            <w:right w:val="none" w:sz="0" w:space="0" w:color="auto"/>
          </w:divBdr>
        </w:div>
        <w:div w:id="2024701851">
          <w:marLeft w:val="0"/>
          <w:marRight w:val="0"/>
          <w:marTop w:val="0"/>
          <w:marBottom w:val="0"/>
          <w:divBdr>
            <w:top w:val="none" w:sz="0" w:space="0" w:color="auto"/>
            <w:left w:val="none" w:sz="0" w:space="0" w:color="auto"/>
            <w:bottom w:val="none" w:sz="0" w:space="0" w:color="auto"/>
            <w:right w:val="none" w:sz="0" w:space="0" w:color="auto"/>
          </w:divBdr>
        </w:div>
        <w:div w:id="2024701852">
          <w:marLeft w:val="0"/>
          <w:marRight w:val="0"/>
          <w:marTop w:val="0"/>
          <w:marBottom w:val="0"/>
          <w:divBdr>
            <w:top w:val="none" w:sz="0" w:space="0" w:color="auto"/>
            <w:left w:val="none" w:sz="0" w:space="0" w:color="auto"/>
            <w:bottom w:val="none" w:sz="0" w:space="0" w:color="auto"/>
            <w:right w:val="none" w:sz="0" w:space="0" w:color="auto"/>
          </w:divBdr>
        </w:div>
        <w:div w:id="2024701853">
          <w:marLeft w:val="0"/>
          <w:marRight w:val="0"/>
          <w:marTop w:val="0"/>
          <w:marBottom w:val="0"/>
          <w:divBdr>
            <w:top w:val="none" w:sz="0" w:space="0" w:color="auto"/>
            <w:left w:val="none" w:sz="0" w:space="0" w:color="auto"/>
            <w:bottom w:val="none" w:sz="0" w:space="0" w:color="auto"/>
            <w:right w:val="none" w:sz="0" w:space="0" w:color="auto"/>
          </w:divBdr>
        </w:div>
        <w:div w:id="2024701854">
          <w:marLeft w:val="0"/>
          <w:marRight w:val="0"/>
          <w:marTop w:val="0"/>
          <w:marBottom w:val="0"/>
          <w:divBdr>
            <w:top w:val="none" w:sz="0" w:space="0" w:color="auto"/>
            <w:left w:val="none" w:sz="0" w:space="0" w:color="auto"/>
            <w:bottom w:val="none" w:sz="0" w:space="0" w:color="auto"/>
            <w:right w:val="none" w:sz="0" w:space="0" w:color="auto"/>
          </w:divBdr>
        </w:div>
        <w:div w:id="2024701855">
          <w:marLeft w:val="0"/>
          <w:marRight w:val="0"/>
          <w:marTop w:val="0"/>
          <w:marBottom w:val="0"/>
          <w:divBdr>
            <w:top w:val="none" w:sz="0" w:space="0" w:color="auto"/>
            <w:left w:val="none" w:sz="0" w:space="0" w:color="auto"/>
            <w:bottom w:val="none" w:sz="0" w:space="0" w:color="auto"/>
            <w:right w:val="none" w:sz="0" w:space="0" w:color="auto"/>
          </w:divBdr>
        </w:div>
        <w:div w:id="2024701856">
          <w:marLeft w:val="0"/>
          <w:marRight w:val="0"/>
          <w:marTop w:val="0"/>
          <w:marBottom w:val="0"/>
          <w:divBdr>
            <w:top w:val="none" w:sz="0" w:space="0" w:color="auto"/>
            <w:left w:val="none" w:sz="0" w:space="0" w:color="auto"/>
            <w:bottom w:val="none" w:sz="0" w:space="0" w:color="auto"/>
            <w:right w:val="none" w:sz="0" w:space="0" w:color="auto"/>
          </w:divBdr>
        </w:div>
        <w:div w:id="2024701857">
          <w:marLeft w:val="0"/>
          <w:marRight w:val="0"/>
          <w:marTop w:val="0"/>
          <w:marBottom w:val="0"/>
          <w:divBdr>
            <w:top w:val="none" w:sz="0" w:space="0" w:color="auto"/>
            <w:left w:val="none" w:sz="0" w:space="0" w:color="auto"/>
            <w:bottom w:val="none" w:sz="0" w:space="0" w:color="auto"/>
            <w:right w:val="none" w:sz="0" w:space="0" w:color="auto"/>
          </w:divBdr>
        </w:div>
        <w:div w:id="2024701858">
          <w:marLeft w:val="0"/>
          <w:marRight w:val="0"/>
          <w:marTop w:val="0"/>
          <w:marBottom w:val="0"/>
          <w:divBdr>
            <w:top w:val="none" w:sz="0" w:space="0" w:color="auto"/>
            <w:left w:val="none" w:sz="0" w:space="0" w:color="auto"/>
            <w:bottom w:val="none" w:sz="0" w:space="0" w:color="auto"/>
            <w:right w:val="none" w:sz="0" w:space="0" w:color="auto"/>
          </w:divBdr>
        </w:div>
        <w:div w:id="2024701859">
          <w:marLeft w:val="0"/>
          <w:marRight w:val="0"/>
          <w:marTop w:val="0"/>
          <w:marBottom w:val="0"/>
          <w:divBdr>
            <w:top w:val="none" w:sz="0" w:space="0" w:color="auto"/>
            <w:left w:val="none" w:sz="0" w:space="0" w:color="auto"/>
            <w:bottom w:val="none" w:sz="0" w:space="0" w:color="auto"/>
            <w:right w:val="none" w:sz="0" w:space="0" w:color="auto"/>
          </w:divBdr>
        </w:div>
        <w:div w:id="2024701860">
          <w:marLeft w:val="0"/>
          <w:marRight w:val="0"/>
          <w:marTop w:val="0"/>
          <w:marBottom w:val="0"/>
          <w:divBdr>
            <w:top w:val="none" w:sz="0" w:space="0" w:color="auto"/>
            <w:left w:val="none" w:sz="0" w:space="0" w:color="auto"/>
            <w:bottom w:val="none" w:sz="0" w:space="0" w:color="auto"/>
            <w:right w:val="none" w:sz="0" w:space="0" w:color="auto"/>
          </w:divBdr>
        </w:div>
        <w:div w:id="2024701861">
          <w:marLeft w:val="0"/>
          <w:marRight w:val="0"/>
          <w:marTop w:val="0"/>
          <w:marBottom w:val="0"/>
          <w:divBdr>
            <w:top w:val="none" w:sz="0" w:space="0" w:color="auto"/>
            <w:left w:val="none" w:sz="0" w:space="0" w:color="auto"/>
            <w:bottom w:val="none" w:sz="0" w:space="0" w:color="auto"/>
            <w:right w:val="none" w:sz="0" w:space="0" w:color="auto"/>
          </w:divBdr>
        </w:div>
        <w:div w:id="2024701862">
          <w:marLeft w:val="0"/>
          <w:marRight w:val="0"/>
          <w:marTop w:val="0"/>
          <w:marBottom w:val="0"/>
          <w:divBdr>
            <w:top w:val="none" w:sz="0" w:space="0" w:color="auto"/>
            <w:left w:val="none" w:sz="0" w:space="0" w:color="auto"/>
            <w:bottom w:val="none" w:sz="0" w:space="0" w:color="auto"/>
            <w:right w:val="none" w:sz="0" w:space="0" w:color="auto"/>
          </w:divBdr>
        </w:div>
        <w:div w:id="2024701863">
          <w:marLeft w:val="0"/>
          <w:marRight w:val="0"/>
          <w:marTop w:val="0"/>
          <w:marBottom w:val="0"/>
          <w:divBdr>
            <w:top w:val="none" w:sz="0" w:space="0" w:color="auto"/>
            <w:left w:val="none" w:sz="0" w:space="0" w:color="auto"/>
            <w:bottom w:val="none" w:sz="0" w:space="0" w:color="auto"/>
            <w:right w:val="none" w:sz="0" w:space="0" w:color="auto"/>
          </w:divBdr>
        </w:div>
        <w:div w:id="2024701864">
          <w:marLeft w:val="0"/>
          <w:marRight w:val="0"/>
          <w:marTop w:val="0"/>
          <w:marBottom w:val="0"/>
          <w:divBdr>
            <w:top w:val="none" w:sz="0" w:space="0" w:color="auto"/>
            <w:left w:val="none" w:sz="0" w:space="0" w:color="auto"/>
            <w:bottom w:val="none" w:sz="0" w:space="0" w:color="auto"/>
            <w:right w:val="none" w:sz="0" w:space="0" w:color="auto"/>
          </w:divBdr>
        </w:div>
        <w:div w:id="2024701865">
          <w:marLeft w:val="0"/>
          <w:marRight w:val="0"/>
          <w:marTop w:val="0"/>
          <w:marBottom w:val="0"/>
          <w:divBdr>
            <w:top w:val="none" w:sz="0" w:space="0" w:color="auto"/>
            <w:left w:val="none" w:sz="0" w:space="0" w:color="auto"/>
            <w:bottom w:val="none" w:sz="0" w:space="0" w:color="auto"/>
            <w:right w:val="none" w:sz="0" w:space="0" w:color="auto"/>
          </w:divBdr>
        </w:div>
        <w:div w:id="2024701866">
          <w:marLeft w:val="0"/>
          <w:marRight w:val="0"/>
          <w:marTop w:val="0"/>
          <w:marBottom w:val="0"/>
          <w:divBdr>
            <w:top w:val="none" w:sz="0" w:space="0" w:color="auto"/>
            <w:left w:val="none" w:sz="0" w:space="0" w:color="auto"/>
            <w:bottom w:val="none" w:sz="0" w:space="0" w:color="auto"/>
            <w:right w:val="none" w:sz="0" w:space="0" w:color="auto"/>
          </w:divBdr>
        </w:div>
        <w:div w:id="2024701867">
          <w:marLeft w:val="0"/>
          <w:marRight w:val="0"/>
          <w:marTop w:val="0"/>
          <w:marBottom w:val="0"/>
          <w:divBdr>
            <w:top w:val="none" w:sz="0" w:space="0" w:color="auto"/>
            <w:left w:val="none" w:sz="0" w:space="0" w:color="auto"/>
            <w:bottom w:val="none" w:sz="0" w:space="0" w:color="auto"/>
            <w:right w:val="none" w:sz="0" w:space="0" w:color="auto"/>
          </w:divBdr>
        </w:div>
        <w:div w:id="2024701868">
          <w:marLeft w:val="0"/>
          <w:marRight w:val="0"/>
          <w:marTop w:val="0"/>
          <w:marBottom w:val="0"/>
          <w:divBdr>
            <w:top w:val="none" w:sz="0" w:space="0" w:color="auto"/>
            <w:left w:val="none" w:sz="0" w:space="0" w:color="auto"/>
            <w:bottom w:val="none" w:sz="0" w:space="0" w:color="auto"/>
            <w:right w:val="none" w:sz="0" w:space="0" w:color="auto"/>
          </w:divBdr>
        </w:div>
        <w:div w:id="2024701869">
          <w:marLeft w:val="0"/>
          <w:marRight w:val="0"/>
          <w:marTop w:val="0"/>
          <w:marBottom w:val="0"/>
          <w:divBdr>
            <w:top w:val="none" w:sz="0" w:space="0" w:color="auto"/>
            <w:left w:val="none" w:sz="0" w:space="0" w:color="auto"/>
            <w:bottom w:val="none" w:sz="0" w:space="0" w:color="auto"/>
            <w:right w:val="none" w:sz="0" w:space="0" w:color="auto"/>
          </w:divBdr>
        </w:div>
        <w:div w:id="2024701870">
          <w:marLeft w:val="0"/>
          <w:marRight w:val="0"/>
          <w:marTop w:val="0"/>
          <w:marBottom w:val="0"/>
          <w:divBdr>
            <w:top w:val="none" w:sz="0" w:space="0" w:color="auto"/>
            <w:left w:val="none" w:sz="0" w:space="0" w:color="auto"/>
            <w:bottom w:val="none" w:sz="0" w:space="0" w:color="auto"/>
            <w:right w:val="none" w:sz="0" w:space="0" w:color="auto"/>
          </w:divBdr>
        </w:div>
        <w:div w:id="2024701871">
          <w:marLeft w:val="0"/>
          <w:marRight w:val="0"/>
          <w:marTop w:val="0"/>
          <w:marBottom w:val="0"/>
          <w:divBdr>
            <w:top w:val="none" w:sz="0" w:space="0" w:color="auto"/>
            <w:left w:val="none" w:sz="0" w:space="0" w:color="auto"/>
            <w:bottom w:val="none" w:sz="0" w:space="0" w:color="auto"/>
            <w:right w:val="none" w:sz="0" w:space="0" w:color="auto"/>
          </w:divBdr>
        </w:div>
        <w:div w:id="2024701873">
          <w:marLeft w:val="0"/>
          <w:marRight w:val="0"/>
          <w:marTop w:val="0"/>
          <w:marBottom w:val="0"/>
          <w:divBdr>
            <w:top w:val="none" w:sz="0" w:space="0" w:color="auto"/>
            <w:left w:val="none" w:sz="0" w:space="0" w:color="auto"/>
            <w:bottom w:val="none" w:sz="0" w:space="0" w:color="auto"/>
            <w:right w:val="none" w:sz="0" w:space="0" w:color="auto"/>
          </w:divBdr>
        </w:div>
        <w:div w:id="2024701874">
          <w:marLeft w:val="0"/>
          <w:marRight w:val="0"/>
          <w:marTop w:val="0"/>
          <w:marBottom w:val="0"/>
          <w:divBdr>
            <w:top w:val="none" w:sz="0" w:space="0" w:color="auto"/>
            <w:left w:val="none" w:sz="0" w:space="0" w:color="auto"/>
            <w:bottom w:val="none" w:sz="0" w:space="0" w:color="auto"/>
            <w:right w:val="none" w:sz="0" w:space="0" w:color="auto"/>
          </w:divBdr>
        </w:div>
        <w:div w:id="2024701875">
          <w:marLeft w:val="0"/>
          <w:marRight w:val="0"/>
          <w:marTop w:val="0"/>
          <w:marBottom w:val="0"/>
          <w:divBdr>
            <w:top w:val="none" w:sz="0" w:space="0" w:color="auto"/>
            <w:left w:val="none" w:sz="0" w:space="0" w:color="auto"/>
            <w:bottom w:val="none" w:sz="0" w:space="0" w:color="auto"/>
            <w:right w:val="none" w:sz="0" w:space="0" w:color="auto"/>
          </w:divBdr>
        </w:div>
        <w:div w:id="2024701876">
          <w:marLeft w:val="0"/>
          <w:marRight w:val="0"/>
          <w:marTop w:val="0"/>
          <w:marBottom w:val="0"/>
          <w:divBdr>
            <w:top w:val="none" w:sz="0" w:space="0" w:color="auto"/>
            <w:left w:val="none" w:sz="0" w:space="0" w:color="auto"/>
            <w:bottom w:val="none" w:sz="0" w:space="0" w:color="auto"/>
            <w:right w:val="none" w:sz="0" w:space="0" w:color="auto"/>
          </w:divBdr>
        </w:div>
        <w:div w:id="2024701877">
          <w:marLeft w:val="0"/>
          <w:marRight w:val="0"/>
          <w:marTop w:val="0"/>
          <w:marBottom w:val="0"/>
          <w:divBdr>
            <w:top w:val="none" w:sz="0" w:space="0" w:color="auto"/>
            <w:left w:val="none" w:sz="0" w:space="0" w:color="auto"/>
            <w:bottom w:val="none" w:sz="0" w:space="0" w:color="auto"/>
            <w:right w:val="none" w:sz="0" w:space="0" w:color="auto"/>
          </w:divBdr>
        </w:div>
        <w:div w:id="2024701878">
          <w:marLeft w:val="0"/>
          <w:marRight w:val="0"/>
          <w:marTop w:val="0"/>
          <w:marBottom w:val="0"/>
          <w:divBdr>
            <w:top w:val="none" w:sz="0" w:space="0" w:color="auto"/>
            <w:left w:val="none" w:sz="0" w:space="0" w:color="auto"/>
            <w:bottom w:val="none" w:sz="0" w:space="0" w:color="auto"/>
            <w:right w:val="none" w:sz="0" w:space="0" w:color="auto"/>
          </w:divBdr>
        </w:div>
        <w:div w:id="2024701879">
          <w:marLeft w:val="0"/>
          <w:marRight w:val="0"/>
          <w:marTop w:val="0"/>
          <w:marBottom w:val="0"/>
          <w:divBdr>
            <w:top w:val="none" w:sz="0" w:space="0" w:color="auto"/>
            <w:left w:val="none" w:sz="0" w:space="0" w:color="auto"/>
            <w:bottom w:val="none" w:sz="0" w:space="0" w:color="auto"/>
            <w:right w:val="none" w:sz="0" w:space="0" w:color="auto"/>
          </w:divBdr>
        </w:div>
        <w:div w:id="2024701880">
          <w:marLeft w:val="0"/>
          <w:marRight w:val="0"/>
          <w:marTop w:val="0"/>
          <w:marBottom w:val="0"/>
          <w:divBdr>
            <w:top w:val="none" w:sz="0" w:space="0" w:color="auto"/>
            <w:left w:val="none" w:sz="0" w:space="0" w:color="auto"/>
            <w:bottom w:val="none" w:sz="0" w:space="0" w:color="auto"/>
            <w:right w:val="none" w:sz="0" w:space="0" w:color="auto"/>
          </w:divBdr>
        </w:div>
        <w:div w:id="2024701881">
          <w:marLeft w:val="0"/>
          <w:marRight w:val="0"/>
          <w:marTop w:val="0"/>
          <w:marBottom w:val="0"/>
          <w:divBdr>
            <w:top w:val="none" w:sz="0" w:space="0" w:color="auto"/>
            <w:left w:val="none" w:sz="0" w:space="0" w:color="auto"/>
            <w:bottom w:val="none" w:sz="0" w:space="0" w:color="auto"/>
            <w:right w:val="none" w:sz="0" w:space="0" w:color="auto"/>
          </w:divBdr>
        </w:div>
        <w:div w:id="2024701882">
          <w:marLeft w:val="0"/>
          <w:marRight w:val="0"/>
          <w:marTop w:val="0"/>
          <w:marBottom w:val="0"/>
          <w:divBdr>
            <w:top w:val="none" w:sz="0" w:space="0" w:color="auto"/>
            <w:left w:val="none" w:sz="0" w:space="0" w:color="auto"/>
            <w:bottom w:val="none" w:sz="0" w:space="0" w:color="auto"/>
            <w:right w:val="none" w:sz="0" w:space="0" w:color="auto"/>
          </w:divBdr>
        </w:div>
        <w:div w:id="2024701883">
          <w:marLeft w:val="0"/>
          <w:marRight w:val="0"/>
          <w:marTop w:val="0"/>
          <w:marBottom w:val="0"/>
          <w:divBdr>
            <w:top w:val="none" w:sz="0" w:space="0" w:color="auto"/>
            <w:left w:val="none" w:sz="0" w:space="0" w:color="auto"/>
            <w:bottom w:val="none" w:sz="0" w:space="0" w:color="auto"/>
            <w:right w:val="none" w:sz="0" w:space="0" w:color="auto"/>
          </w:divBdr>
        </w:div>
        <w:div w:id="2024701884">
          <w:marLeft w:val="0"/>
          <w:marRight w:val="0"/>
          <w:marTop w:val="0"/>
          <w:marBottom w:val="0"/>
          <w:divBdr>
            <w:top w:val="none" w:sz="0" w:space="0" w:color="auto"/>
            <w:left w:val="none" w:sz="0" w:space="0" w:color="auto"/>
            <w:bottom w:val="none" w:sz="0" w:space="0" w:color="auto"/>
            <w:right w:val="none" w:sz="0" w:space="0" w:color="auto"/>
          </w:divBdr>
        </w:div>
        <w:div w:id="2024701885">
          <w:marLeft w:val="0"/>
          <w:marRight w:val="0"/>
          <w:marTop w:val="0"/>
          <w:marBottom w:val="0"/>
          <w:divBdr>
            <w:top w:val="none" w:sz="0" w:space="0" w:color="auto"/>
            <w:left w:val="none" w:sz="0" w:space="0" w:color="auto"/>
            <w:bottom w:val="none" w:sz="0" w:space="0" w:color="auto"/>
            <w:right w:val="none" w:sz="0" w:space="0" w:color="auto"/>
          </w:divBdr>
        </w:div>
        <w:div w:id="2024701886">
          <w:marLeft w:val="0"/>
          <w:marRight w:val="0"/>
          <w:marTop w:val="0"/>
          <w:marBottom w:val="0"/>
          <w:divBdr>
            <w:top w:val="none" w:sz="0" w:space="0" w:color="auto"/>
            <w:left w:val="none" w:sz="0" w:space="0" w:color="auto"/>
            <w:bottom w:val="none" w:sz="0" w:space="0" w:color="auto"/>
            <w:right w:val="none" w:sz="0" w:space="0" w:color="auto"/>
          </w:divBdr>
        </w:div>
        <w:div w:id="2024701887">
          <w:marLeft w:val="0"/>
          <w:marRight w:val="0"/>
          <w:marTop w:val="0"/>
          <w:marBottom w:val="0"/>
          <w:divBdr>
            <w:top w:val="none" w:sz="0" w:space="0" w:color="auto"/>
            <w:left w:val="none" w:sz="0" w:space="0" w:color="auto"/>
            <w:bottom w:val="none" w:sz="0" w:space="0" w:color="auto"/>
            <w:right w:val="none" w:sz="0" w:space="0" w:color="auto"/>
          </w:divBdr>
        </w:div>
        <w:div w:id="2024701888">
          <w:marLeft w:val="0"/>
          <w:marRight w:val="0"/>
          <w:marTop w:val="0"/>
          <w:marBottom w:val="0"/>
          <w:divBdr>
            <w:top w:val="none" w:sz="0" w:space="0" w:color="auto"/>
            <w:left w:val="none" w:sz="0" w:space="0" w:color="auto"/>
            <w:bottom w:val="none" w:sz="0" w:space="0" w:color="auto"/>
            <w:right w:val="none" w:sz="0" w:space="0" w:color="auto"/>
          </w:divBdr>
        </w:div>
        <w:div w:id="2024701889">
          <w:marLeft w:val="0"/>
          <w:marRight w:val="0"/>
          <w:marTop w:val="0"/>
          <w:marBottom w:val="0"/>
          <w:divBdr>
            <w:top w:val="none" w:sz="0" w:space="0" w:color="auto"/>
            <w:left w:val="none" w:sz="0" w:space="0" w:color="auto"/>
            <w:bottom w:val="none" w:sz="0" w:space="0" w:color="auto"/>
            <w:right w:val="none" w:sz="0" w:space="0" w:color="auto"/>
          </w:divBdr>
        </w:div>
        <w:div w:id="2024701890">
          <w:marLeft w:val="0"/>
          <w:marRight w:val="0"/>
          <w:marTop w:val="0"/>
          <w:marBottom w:val="0"/>
          <w:divBdr>
            <w:top w:val="none" w:sz="0" w:space="0" w:color="auto"/>
            <w:left w:val="none" w:sz="0" w:space="0" w:color="auto"/>
            <w:bottom w:val="none" w:sz="0" w:space="0" w:color="auto"/>
            <w:right w:val="none" w:sz="0" w:space="0" w:color="auto"/>
          </w:divBdr>
        </w:div>
        <w:div w:id="2024701891">
          <w:marLeft w:val="0"/>
          <w:marRight w:val="0"/>
          <w:marTop w:val="0"/>
          <w:marBottom w:val="0"/>
          <w:divBdr>
            <w:top w:val="none" w:sz="0" w:space="0" w:color="auto"/>
            <w:left w:val="none" w:sz="0" w:space="0" w:color="auto"/>
            <w:bottom w:val="none" w:sz="0" w:space="0" w:color="auto"/>
            <w:right w:val="none" w:sz="0" w:space="0" w:color="auto"/>
          </w:divBdr>
        </w:div>
        <w:div w:id="2024701892">
          <w:marLeft w:val="0"/>
          <w:marRight w:val="0"/>
          <w:marTop w:val="0"/>
          <w:marBottom w:val="0"/>
          <w:divBdr>
            <w:top w:val="none" w:sz="0" w:space="0" w:color="auto"/>
            <w:left w:val="none" w:sz="0" w:space="0" w:color="auto"/>
            <w:bottom w:val="none" w:sz="0" w:space="0" w:color="auto"/>
            <w:right w:val="none" w:sz="0" w:space="0" w:color="auto"/>
          </w:divBdr>
        </w:div>
        <w:div w:id="2024701893">
          <w:marLeft w:val="0"/>
          <w:marRight w:val="0"/>
          <w:marTop w:val="0"/>
          <w:marBottom w:val="0"/>
          <w:divBdr>
            <w:top w:val="none" w:sz="0" w:space="0" w:color="auto"/>
            <w:left w:val="none" w:sz="0" w:space="0" w:color="auto"/>
            <w:bottom w:val="none" w:sz="0" w:space="0" w:color="auto"/>
            <w:right w:val="none" w:sz="0" w:space="0" w:color="auto"/>
          </w:divBdr>
        </w:div>
        <w:div w:id="2024701894">
          <w:marLeft w:val="0"/>
          <w:marRight w:val="0"/>
          <w:marTop w:val="0"/>
          <w:marBottom w:val="0"/>
          <w:divBdr>
            <w:top w:val="none" w:sz="0" w:space="0" w:color="auto"/>
            <w:left w:val="none" w:sz="0" w:space="0" w:color="auto"/>
            <w:bottom w:val="none" w:sz="0" w:space="0" w:color="auto"/>
            <w:right w:val="none" w:sz="0" w:space="0" w:color="auto"/>
          </w:divBdr>
        </w:div>
        <w:div w:id="2024701895">
          <w:marLeft w:val="0"/>
          <w:marRight w:val="0"/>
          <w:marTop w:val="0"/>
          <w:marBottom w:val="0"/>
          <w:divBdr>
            <w:top w:val="none" w:sz="0" w:space="0" w:color="auto"/>
            <w:left w:val="none" w:sz="0" w:space="0" w:color="auto"/>
            <w:bottom w:val="none" w:sz="0" w:space="0" w:color="auto"/>
            <w:right w:val="none" w:sz="0" w:space="0" w:color="auto"/>
          </w:divBdr>
        </w:div>
        <w:div w:id="2024701896">
          <w:marLeft w:val="0"/>
          <w:marRight w:val="0"/>
          <w:marTop w:val="0"/>
          <w:marBottom w:val="0"/>
          <w:divBdr>
            <w:top w:val="none" w:sz="0" w:space="0" w:color="auto"/>
            <w:left w:val="none" w:sz="0" w:space="0" w:color="auto"/>
            <w:bottom w:val="none" w:sz="0" w:space="0" w:color="auto"/>
            <w:right w:val="none" w:sz="0" w:space="0" w:color="auto"/>
          </w:divBdr>
        </w:div>
        <w:div w:id="2024701897">
          <w:marLeft w:val="0"/>
          <w:marRight w:val="0"/>
          <w:marTop w:val="0"/>
          <w:marBottom w:val="0"/>
          <w:divBdr>
            <w:top w:val="none" w:sz="0" w:space="0" w:color="auto"/>
            <w:left w:val="none" w:sz="0" w:space="0" w:color="auto"/>
            <w:bottom w:val="none" w:sz="0" w:space="0" w:color="auto"/>
            <w:right w:val="none" w:sz="0" w:space="0" w:color="auto"/>
          </w:divBdr>
        </w:div>
        <w:div w:id="2024701898">
          <w:marLeft w:val="0"/>
          <w:marRight w:val="0"/>
          <w:marTop w:val="0"/>
          <w:marBottom w:val="0"/>
          <w:divBdr>
            <w:top w:val="none" w:sz="0" w:space="0" w:color="auto"/>
            <w:left w:val="none" w:sz="0" w:space="0" w:color="auto"/>
            <w:bottom w:val="none" w:sz="0" w:space="0" w:color="auto"/>
            <w:right w:val="none" w:sz="0" w:space="0" w:color="auto"/>
          </w:divBdr>
        </w:div>
        <w:div w:id="2024701899">
          <w:marLeft w:val="0"/>
          <w:marRight w:val="0"/>
          <w:marTop w:val="0"/>
          <w:marBottom w:val="0"/>
          <w:divBdr>
            <w:top w:val="none" w:sz="0" w:space="0" w:color="auto"/>
            <w:left w:val="none" w:sz="0" w:space="0" w:color="auto"/>
            <w:bottom w:val="none" w:sz="0" w:space="0" w:color="auto"/>
            <w:right w:val="none" w:sz="0" w:space="0" w:color="auto"/>
          </w:divBdr>
        </w:div>
        <w:div w:id="2024701900">
          <w:marLeft w:val="0"/>
          <w:marRight w:val="0"/>
          <w:marTop w:val="0"/>
          <w:marBottom w:val="0"/>
          <w:divBdr>
            <w:top w:val="none" w:sz="0" w:space="0" w:color="auto"/>
            <w:left w:val="none" w:sz="0" w:space="0" w:color="auto"/>
            <w:bottom w:val="none" w:sz="0" w:space="0" w:color="auto"/>
            <w:right w:val="none" w:sz="0" w:space="0" w:color="auto"/>
          </w:divBdr>
        </w:div>
        <w:div w:id="2024701901">
          <w:marLeft w:val="0"/>
          <w:marRight w:val="0"/>
          <w:marTop w:val="0"/>
          <w:marBottom w:val="0"/>
          <w:divBdr>
            <w:top w:val="none" w:sz="0" w:space="0" w:color="auto"/>
            <w:left w:val="none" w:sz="0" w:space="0" w:color="auto"/>
            <w:bottom w:val="none" w:sz="0" w:space="0" w:color="auto"/>
            <w:right w:val="none" w:sz="0" w:space="0" w:color="auto"/>
          </w:divBdr>
        </w:div>
        <w:div w:id="2024701902">
          <w:marLeft w:val="0"/>
          <w:marRight w:val="0"/>
          <w:marTop w:val="0"/>
          <w:marBottom w:val="0"/>
          <w:divBdr>
            <w:top w:val="none" w:sz="0" w:space="0" w:color="auto"/>
            <w:left w:val="none" w:sz="0" w:space="0" w:color="auto"/>
            <w:bottom w:val="none" w:sz="0" w:space="0" w:color="auto"/>
            <w:right w:val="none" w:sz="0" w:space="0" w:color="auto"/>
          </w:divBdr>
        </w:div>
        <w:div w:id="2024701903">
          <w:marLeft w:val="0"/>
          <w:marRight w:val="0"/>
          <w:marTop w:val="0"/>
          <w:marBottom w:val="0"/>
          <w:divBdr>
            <w:top w:val="none" w:sz="0" w:space="0" w:color="auto"/>
            <w:left w:val="none" w:sz="0" w:space="0" w:color="auto"/>
            <w:bottom w:val="none" w:sz="0" w:space="0" w:color="auto"/>
            <w:right w:val="none" w:sz="0" w:space="0" w:color="auto"/>
          </w:divBdr>
        </w:div>
        <w:div w:id="2024701904">
          <w:marLeft w:val="0"/>
          <w:marRight w:val="0"/>
          <w:marTop w:val="0"/>
          <w:marBottom w:val="0"/>
          <w:divBdr>
            <w:top w:val="none" w:sz="0" w:space="0" w:color="auto"/>
            <w:left w:val="none" w:sz="0" w:space="0" w:color="auto"/>
            <w:bottom w:val="none" w:sz="0" w:space="0" w:color="auto"/>
            <w:right w:val="none" w:sz="0" w:space="0" w:color="auto"/>
          </w:divBdr>
        </w:div>
        <w:div w:id="2024701905">
          <w:marLeft w:val="0"/>
          <w:marRight w:val="0"/>
          <w:marTop w:val="0"/>
          <w:marBottom w:val="0"/>
          <w:divBdr>
            <w:top w:val="none" w:sz="0" w:space="0" w:color="auto"/>
            <w:left w:val="none" w:sz="0" w:space="0" w:color="auto"/>
            <w:bottom w:val="none" w:sz="0" w:space="0" w:color="auto"/>
            <w:right w:val="none" w:sz="0" w:space="0" w:color="auto"/>
          </w:divBdr>
        </w:div>
        <w:div w:id="2024701906">
          <w:marLeft w:val="0"/>
          <w:marRight w:val="0"/>
          <w:marTop w:val="0"/>
          <w:marBottom w:val="0"/>
          <w:divBdr>
            <w:top w:val="none" w:sz="0" w:space="0" w:color="auto"/>
            <w:left w:val="none" w:sz="0" w:space="0" w:color="auto"/>
            <w:bottom w:val="none" w:sz="0" w:space="0" w:color="auto"/>
            <w:right w:val="none" w:sz="0" w:space="0" w:color="auto"/>
          </w:divBdr>
        </w:div>
        <w:div w:id="2024701907">
          <w:marLeft w:val="0"/>
          <w:marRight w:val="0"/>
          <w:marTop w:val="0"/>
          <w:marBottom w:val="0"/>
          <w:divBdr>
            <w:top w:val="none" w:sz="0" w:space="0" w:color="auto"/>
            <w:left w:val="none" w:sz="0" w:space="0" w:color="auto"/>
            <w:bottom w:val="none" w:sz="0" w:space="0" w:color="auto"/>
            <w:right w:val="none" w:sz="0" w:space="0" w:color="auto"/>
          </w:divBdr>
        </w:div>
        <w:div w:id="2024701908">
          <w:marLeft w:val="0"/>
          <w:marRight w:val="0"/>
          <w:marTop w:val="0"/>
          <w:marBottom w:val="0"/>
          <w:divBdr>
            <w:top w:val="none" w:sz="0" w:space="0" w:color="auto"/>
            <w:left w:val="none" w:sz="0" w:space="0" w:color="auto"/>
            <w:bottom w:val="none" w:sz="0" w:space="0" w:color="auto"/>
            <w:right w:val="none" w:sz="0" w:space="0" w:color="auto"/>
          </w:divBdr>
        </w:div>
        <w:div w:id="2024701909">
          <w:marLeft w:val="0"/>
          <w:marRight w:val="0"/>
          <w:marTop w:val="0"/>
          <w:marBottom w:val="0"/>
          <w:divBdr>
            <w:top w:val="none" w:sz="0" w:space="0" w:color="auto"/>
            <w:left w:val="none" w:sz="0" w:space="0" w:color="auto"/>
            <w:bottom w:val="none" w:sz="0" w:space="0" w:color="auto"/>
            <w:right w:val="none" w:sz="0" w:space="0" w:color="auto"/>
          </w:divBdr>
        </w:div>
        <w:div w:id="2024701910">
          <w:marLeft w:val="0"/>
          <w:marRight w:val="0"/>
          <w:marTop w:val="0"/>
          <w:marBottom w:val="0"/>
          <w:divBdr>
            <w:top w:val="none" w:sz="0" w:space="0" w:color="auto"/>
            <w:left w:val="none" w:sz="0" w:space="0" w:color="auto"/>
            <w:bottom w:val="none" w:sz="0" w:space="0" w:color="auto"/>
            <w:right w:val="none" w:sz="0" w:space="0" w:color="auto"/>
          </w:divBdr>
        </w:div>
        <w:div w:id="2024701911">
          <w:marLeft w:val="0"/>
          <w:marRight w:val="0"/>
          <w:marTop w:val="0"/>
          <w:marBottom w:val="0"/>
          <w:divBdr>
            <w:top w:val="none" w:sz="0" w:space="0" w:color="auto"/>
            <w:left w:val="none" w:sz="0" w:space="0" w:color="auto"/>
            <w:bottom w:val="none" w:sz="0" w:space="0" w:color="auto"/>
            <w:right w:val="none" w:sz="0" w:space="0" w:color="auto"/>
          </w:divBdr>
        </w:div>
        <w:div w:id="2024701912">
          <w:marLeft w:val="0"/>
          <w:marRight w:val="0"/>
          <w:marTop w:val="0"/>
          <w:marBottom w:val="0"/>
          <w:divBdr>
            <w:top w:val="none" w:sz="0" w:space="0" w:color="auto"/>
            <w:left w:val="none" w:sz="0" w:space="0" w:color="auto"/>
            <w:bottom w:val="none" w:sz="0" w:space="0" w:color="auto"/>
            <w:right w:val="none" w:sz="0" w:space="0" w:color="auto"/>
          </w:divBdr>
        </w:div>
        <w:div w:id="2024701913">
          <w:marLeft w:val="0"/>
          <w:marRight w:val="0"/>
          <w:marTop w:val="0"/>
          <w:marBottom w:val="0"/>
          <w:divBdr>
            <w:top w:val="none" w:sz="0" w:space="0" w:color="auto"/>
            <w:left w:val="none" w:sz="0" w:space="0" w:color="auto"/>
            <w:bottom w:val="none" w:sz="0" w:space="0" w:color="auto"/>
            <w:right w:val="none" w:sz="0" w:space="0" w:color="auto"/>
          </w:divBdr>
        </w:div>
        <w:div w:id="2024701914">
          <w:marLeft w:val="0"/>
          <w:marRight w:val="0"/>
          <w:marTop w:val="0"/>
          <w:marBottom w:val="0"/>
          <w:divBdr>
            <w:top w:val="none" w:sz="0" w:space="0" w:color="auto"/>
            <w:left w:val="none" w:sz="0" w:space="0" w:color="auto"/>
            <w:bottom w:val="none" w:sz="0" w:space="0" w:color="auto"/>
            <w:right w:val="none" w:sz="0" w:space="0" w:color="auto"/>
          </w:divBdr>
        </w:div>
        <w:div w:id="2024701915">
          <w:marLeft w:val="0"/>
          <w:marRight w:val="0"/>
          <w:marTop w:val="0"/>
          <w:marBottom w:val="0"/>
          <w:divBdr>
            <w:top w:val="none" w:sz="0" w:space="0" w:color="auto"/>
            <w:left w:val="none" w:sz="0" w:space="0" w:color="auto"/>
            <w:bottom w:val="none" w:sz="0" w:space="0" w:color="auto"/>
            <w:right w:val="none" w:sz="0" w:space="0" w:color="auto"/>
          </w:divBdr>
        </w:div>
        <w:div w:id="2024701916">
          <w:marLeft w:val="0"/>
          <w:marRight w:val="0"/>
          <w:marTop w:val="0"/>
          <w:marBottom w:val="0"/>
          <w:divBdr>
            <w:top w:val="none" w:sz="0" w:space="0" w:color="auto"/>
            <w:left w:val="none" w:sz="0" w:space="0" w:color="auto"/>
            <w:bottom w:val="none" w:sz="0" w:space="0" w:color="auto"/>
            <w:right w:val="none" w:sz="0" w:space="0" w:color="auto"/>
          </w:divBdr>
        </w:div>
        <w:div w:id="2024701917">
          <w:marLeft w:val="0"/>
          <w:marRight w:val="0"/>
          <w:marTop w:val="0"/>
          <w:marBottom w:val="0"/>
          <w:divBdr>
            <w:top w:val="none" w:sz="0" w:space="0" w:color="auto"/>
            <w:left w:val="none" w:sz="0" w:space="0" w:color="auto"/>
            <w:bottom w:val="none" w:sz="0" w:space="0" w:color="auto"/>
            <w:right w:val="none" w:sz="0" w:space="0" w:color="auto"/>
          </w:divBdr>
        </w:div>
        <w:div w:id="2024701918">
          <w:marLeft w:val="0"/>
          <w:marRight w:val="0"/>
          <w:marTop w:val="0"/>
          <w:marBottom w:val="0"/>
          <w:divBdr>
            <w:top w:val="none" w:sz="0" w:space="0" w:color="auto"/>
            <w:left w:val="none" w:sz="0" w:space="0" w:color="auto"/>
            <w:bottom w:val="none" w:sz="0" w:space="0" w:color="auto"/>
            <w:right w:val="none" w:sz="0" w:space="0" w:color="auto"/>
          </w:divBdr>
        </w:div>
        <w:div w:id="2024701919">
          <w:marLeft w:val="0"/>
          <w:marRight w:val="0"/>
          <w:marTop w:val="0"/>
          <w:marBottom w:val="0"/>
          <w:divBdr>
            <w:top w:val="none" w:sz="0" w:space="0" w:color="auto"/>
            <w:left w:val="none" w:sz="0" w:space="0" w:color="auto"/>
            <w:bottom w:val="none" w:sz="0" w:space="0" w:color="auto"/>
            <w:right w:val="none" w:sz="0" w:space="0" w:color="auto"/>
          </w:divBdr>
        </w:div>
        <w:div w:id="2024701920">
          <w:marLeft w:val="0"/>
          <w:marRight w:val="0"/>
          <w:marTop w:val="0"/>
          <w:marBottom w:val="0"/>
          <w:divBdr>
            <w:top w:val="none" w:sz="0" w:space="0" w:color="auto"/>
            <w:left w:val="none" w:sz="0" w:space="0" w:color="auto"/>
            <w:bottom w:val="none" w:sz="0" w:space="0" w:color="auto"/>
            <w:right w:val="none" w:sz="0" w:space="0" w:color="auto"/>
          </w:divBdr>
        </w:div>
        <w:div w:id="2024701921">
          <w:marLeft w:val="0"/>
          <w:marRight w:val="0"/>
          <w:marTop w:val="0"/>
          <w:marBottom w:val="0"/>
          <w:divBdr>
            <w:top w:val="none" w:sz="0" w:space="0" w:color="auto"/>
            <w:left w:val="none" w:sz="0" w:space="0" w:color="auto"/>
            <w:bottom w:val="none" w:sz="0" w:space="0" w:color="auto"/>
            <w:right w:val="none" w:sz="0" w:space="0" w:color="auto"/>
          </w:divBdr>
        </w:div>
        <w:div w:id="2024701922">
          <w:marLeft w:val="0"/>
          <w:marRight w:val="0"/>
          <w:marTop w:val="0"/>
          <w:marBottom w:val="0"/>
          <w:divBdr>
            <w:top w:val="none" w:sz="0" w:space="0" w:color="auto"/>
            <w:left w:val="none" w:sz="0" w:space="0" w:color="auto"/>
            <w:bottom w:val="none" w:sz="0" w:space="0" w:color="auto"/>
            <w:right w:val="none" w:sz="0" w:space="0" w:color="auto"/>
          </w:divBdr>
        </w:div>
        <w:div w:id="2024701923">
          <w:marLeft w:val="0"/>
          <w:marRight w:val="0"/>
          <w:marTop w:val="0"/>
          <w:marBottom w:val="0"/>
          <w:divBdr>
            <w:top w:val="none" w:sz="0" w:space="0" w:color="auto"/>
            <w:left w:val="none" w:sz="0" w:space="0" w:color="auto"/>
            <w:bottom w:val="none" w:sz="0" w:space="0" w:color="auto"/>
            <w:right w:val="none" w:sz="0" w:space="0" w:color="auto"/>
          </w:divBdr>
        </w:div>
        <w:div w:id="2024701924">
          <w:marLeft w:val="0"/>
          <w:marRight w:val="0"/>
          <w:marTop w:val="0"/>
          <w:marBottom w:val="0"/>
          <w:divBdr>
            <w:top w:val="none" w:sz="0" w:space="0" w:color="auto"/>
            <w:left w:val="none" w:sz="0" w:space="0" w:color="auto"/>
            <w:bottom w:val="none" w:sz="0" w:space="0" w:color="auto"/>
            <w:right w:val="none" w:sz="0" w:space="0" w:color="auto"/>
          </w:divBdr>
        </w:div>
        <w:div w:id="2024701925">
          <w:marLeft w:val="0"/>
          <w:marRight w:val="0"/>
          <w:marTop w:val="0"/>
          <w:marBottom w:val="0"/>
          <w:divBdr>
            <w:top w:val="none" w:sz="0" w:space="0" w:color="auto"/>
            <w:left w:val="none" w:sz="0" w:space="0" w:color="auto"/>
            <w:bottom w:val="none" w:sz="0" w:space="0" w:color="auto"/>
            <w:right w:val="none" w:sz="0" w:space="0" w:color="auto"/>
          </w:divBdr>
        </w:div>
        <w:div w:id="2024701927">
          <w:marLeft w:val="0"/>
          <w:marRight w:val="0"/>
          <w:marTop w:val="0"/>
          <w:marBottom w:val="0"/>
          <w:divBdr>
            <w:top w:val="none" w:sz="0" w:space="0" w:color="auto"/>
            <w:left w:val="none" w:sz="0" w:space="0" w:color="auto"/>
            <w:bottom w:val="none" w:sz="0" w:space="0" w:color="auto"/>
            <w:right w:val="none" w:sz="0" w:space="0" w:color="auto"/>
          </w:divBdr>
        </w:div>
        <w:div w:id="2024701928">
          <w:marLeft w:val="0"/>
          <w:marRight w:val="0"/>
          <w:marTop w:val="0"/>
          <w:marBottom w:val="0"/>
          <w:divBdr>
            <w:top w:val="none" w:sz="0" w:space="0" w:color="auto"/>
            <w:left w:val="none" w:sz="0" w:space="0" w:color="auto"/>
            <w:bottom w:val="none" w:sz="0" w:space="0" w:color="auto"/>
            <w:right w:val="none" w:sz="0" w:space="0" w:color="auto"/>
          </w:divBdr>
        </w:div>
        <w:div w:id="2024701929">
          <w:marLeft w:val="0"/>
          <w:marRight w:val="0"/>
          <w:marTop w:val="0"/>
          <w:marBottom w:val="0"/>
          <w:divBdr>
            <w:top w:val="none" w:sz="0" w:space="0" w:color="auto"/>
            <w:left w:val="none" w:sz="0" w:space="0" w:color="auto"/>
            <w:bottom w:val="none" w:sz="0" w:space="0" w:color="auto"/>
            <w:right w:val="none" w:sz="0" w:space="0" w:color="auto"/>
          </w:divBdr>
        </w:div>
        <w:div w:id="2024701930">
          <w:marLeft w:val="0"/>
          <w:marRight w:val="0"/>
          <w:marTop w:val="0"/>
          <w:marBottom w:val="0"/>
          <w:divBdr>
            <w:top w:val="none" w:sz="0" w:space="0" w:color="auto"/>
            <w:left w:val="none" w:sz="0" w:space="0" w:color="auto"/>
            <w:bottom w:val="none" w:sz="0" w:space="0" w:color="auto"/>
            <w:right w:val="none" w:sz="0" w:space="0" w:color="auto"/>
          </w:divBdr>
        </w:div>
        <w:div w:id="2024701931">
          <w:marLeft w:val="0"/>
          <w:marRight w:val="0"/>
          <w:marTop w:val="0"/>
          <w:marBottom w:val="0"/>
          <w:divBdr>
            <w:top w:val="none" w:sz="0" w:space="0" w:color="auto"/>
            <w:left w:val="none" w:sz="0" w:space="0" w:color="auto"/>
            <w:bottom w:val="none" w:sz="0" w:space="0" w:color="auto"/>
            <w:right w:val="none" w:sz="0" w:space="0" w:color="auto"/>
          </w:divBdr>
        </w:div>
        <w:div w:id="2024701932">
          <w:marLeft w:val="0"/>
          <w:marRight w:val="0"/>
          <w:marTop w:val="0"/>
          <w:marBottom w:val="0"/>
          <w:divBdr>
            <w:top w:val="none" w:sz="0" w:space="0" w:color="auto"/>
            <w:left w:val="none" w:sz="0" w:space="0" w:color="auto"/>
            <w:bottom w:val="none" w:sz="0" w:space="0" w:color="auto"/>
            <w:right w:val="none" w:sz="0" w:space="0" w:color="auto"/>
          </w:divBdr>
        </w:div>
        <w:div w:id="2024701933">
          <w:marLeft w:val="0"/>
          <w:marRight w:val="0"/>
          <w:marTop w:val="0"/>
          <w:marBottom w:val="0"/>
          <w:divBdr>
            <w:top w:val="none" w:sz="0" w:space="0" w:color="auto"/>
            <w:left w:val="none" w:sz="0" w:space="0" w:color="auto"/>
            <w:bottom w:val="none" w:sz="0" w:space="0" w:color="auto"/>
            <w:right w:val="none" w:sz="0" w:space="0" w:color="auto"/>
          </w:divBdr>
        </w:div>
        <w:div w:id="2024701934">
          <w:marLeft w:val="0"/>
          <w:marRight w:val="0"/>
          <w:marTop w:val="0"/>
          <w:marBottom w:val="0"/>
          <w:divBdr>
            <w:top w:val="none" w:sz="0" w:space="0" w:color="auto"/>
            <w:left w:val="none" w:sz="0" w:space="0" w:color="auto"/>
            <w:bottom w:val="none" w:sz="0" w:space="0" w:color="auto"/>
            <w:right w:val="none" w:sz="0" w:space="0" w:color="auto"/>
          </w:divBdr>
        </w:div>
        <w:div w:id="2024701935">
          <w:marLeft w:val="0"/>
          <w:marRight w:val="0"/>
          <w:marTop w:val="0"/>
          <w:marBottom w:val="0"/>
          <w:divBdr>
            <w:top w:val="none" w:sz="0" w:space="0" w:color="auto"/>
            <w:left w:val="none" w:sz="0" w:space="0" w:color="auto"/>
            <w:bottom w:val="none" w:sz="0" w:space="0" w:color="auto"/>
            <w:right w:val="none" w:sz="0" w:space="0" w:color="auto"/>
          </w:divBdr>
        </w:div>
        <w:div w:id="2024701936">
          <w:marLeft w:val="0"/>
          <w:marRight w:val="0"/>
          <w:marTop w:val="0"/>
          <w:marBottom w:val="0"/>
          <w:divBdr>
            <w:top w:val="none" w:sz="0" w:space="0" w:color="auto"/>
            <w:left w:val="none" w:sz="0" w:space="0" w:color="auto"/>
            <w:bottom w:val="none" w:sz="0" w:space="0" w:color="auto"/>
            <w:right w:val="none" w:sz="0" w:space="0" w:color="auto"/>
          </w:divBdr>
        </w:div>
        <w:div w:id="2024701937">
          <w:marLeft w:val="0"/>
          <w:marRight w:val="0"/>
          <w:marTop w:val="0"/>
          <w:marBottom w:val="0"/>
          <w:divBdr>
            <w:top w:val="none" w:sz="0" w:space="0" w:color="auto"/>
            <w:left w:val="none" w:sz="0" w:space="0" w:color="auto"/>
            <w:bottom w:val="none" w:sz="0" w:space="0" w:color="auto"/>
            <w:right w:val="none" w:sz="0" w:space="0" w:color="auto"/>
          </w:divBdr>
        </w:div>
        <w:div w:id="2024701938">
          <w:marLeft w:val="0"/>
          <w:marRight w:val="0"/>
          <w:marTop w:val="0"/>
          <w:marBottom w:val="0"/>
          <w:divBdr>
            <w:top w:val="none" w:sz="0" w:space="0" w:color="auto"/>
            <w:left w:val="none" w:sz="0" w:space="0" w:color="auto"/>
            <w:bottom w:val="none" w:sz="0" w:space="0" w:color="auto"/>
            <w:right w:val="none" w:sz="0" w:space="0" w:color="auto"/>
          </w:divBdr>
        </w:div>
        <w:div w:id="2024701939">
          <w:marLeft w:val="0"/>
          <w:marRight w:val="0"/>
          <w:marTop w:val="0"/>
          <w:marBottom w:val="0"/>
          <w:divBdr>
            <w:top w:val="none" w:sz="0" w:space="0" w:color="auto"/>
            <w:left w:val="none" w:sz="0" w:space="0" w:color="auto"/>
            <w:bottom w:val="none" w:sz="0" w:space="0" w:color="auto"/>
            <w:right w:val="none" w:sz="0" w:space="0" w:color="auto"/>
          </w:divBdr>
        </w:div>
        <w:div w:id="2024701940">
          <w:marLeft w:val="0"/>
          <w:marRight w:val="0"/>
          <w:marTop w:val="0"/>
          <w:marBottom w:val="0"/>
          <w:divBdr>
            <w:top w:val="none" w:sz="0" w:space="0" w:color="auto"/>
            <w:left w:val="none" w:sz="0" w:space="0" w:color="auto"/>
            <w:bottom w:val="none" w:sz="0" w:space="0" w:color="auto"/>
            <w:right w:val="none" w:sz="0" w:space="0" w:color="auto"/>
          </w:divBdr>
        </w:div>
        <w:div w:id="2024701941">
          <w:marLeft w:val="0"/>
          <w:marRight w:val="0"/>
          <w:marTop w:val="0"/>
          <w:marBottom w:val="0"/>
          <w:divBdr>
            <w:top w:val="none" w:sz="0" w:space="0" w:color="auto"/>
            <w:left w:val="none" w:sz="0" w:space="0" w:color="auto"/>
            <w:bottom w:val="none" w:sz="0" w:space="0" w:color="auto"/>
            <w:right w:val="none" w:sz="0" w:space="0" w:color="auto"/>
          </w:divBdr>
        </w:div>
        <w:div w:id="2024701942">
          <w:marLeft w:val="0"/>
          <w:marRight w:val="0"/>
          <w:marTop w:val="0"/>
          <w:marBottom w:val="0"/>
          <w:divBdr>
            <w:top w:val="none" w:sz="0" w:space="0" w:color="auto"/>
            <w:left w:val="none" w:sz="0" w:space="0" w:color="auto"/>
            <w:bottom w:val="none" w:sz="0" w:space="0" w:color="auto"/>
            <w:right w:val="none" w:sz="0" w:space="0" w:color="auto"/>
          </w:divBdr>
        </w:div>
        <w:div w:id="2024701943">
          <w:marLeft w:val="0"/>
          <w:marRight w:val="0"/>
          <w:marTop w:val="0"/>
          <w:marBottom w:val="0"/>
          <w:divBdr>
            <w:top w:val="none" w:sz="0" w:space="0" w:color="auto"/>
            <w:left w:val="none" w:sz="0" w:space="0" w:color="auto"/>
            <w:bottom w:val="none" w:sz="0" w:space="0" w:color="auto"/>
            <w:right w:val="none" w:sz="0" w:space="0" w:color="auto"/>
          </w:divBdr>
        </w:div>
        <w:div w:id="2024701944">
          <w:marLeft w:val="0"/>
          <w:marRight w:val="0"/>
          <w:marTop w:val="0"/>
          <w:marBottom w:val="0"/>
          <w:divBdr>
            <w:top w:val="none" w:sz="0" w:space="0" w:color="auto"/>
            <w:left w:val="none" w:sz="0" w:space="0" w:color="auto"/>
            <w:bottom w:val="none" w:sz="0" w:space="0" w:color="auto"/>
            <w:right w:val="none" w:sz="0" w:space="0" w:color="auto"/>
          </w:divBdr>
        </w:div>
        <w:div w:id="2024701945">
          <w:marLeft w:val="0"/>
          <w:marRight w:val="0"/>
          <w:marTop w:val="0"/>
          <w:marBottom w:val="0"/>
          <w:divBdr>
            <w:top w:val="none" w:sz="0" w:space="0" w:color="auto"/>
            <w:left w:val="none" w:sz="0" w:space="0" w:color="auto"/>
            <w:bottom w:val="none" w:sz="0" w:space="0" w:color="auto"/>
            <w:right w:val="none" w:sz="0" w:space="0" w:color="auto"/>
          </w:divBdr>
        </w:div>
        <w:div w:id="2024701946">
          <w:marLeft w:val="0"/>
          <w:marRight w:val="0"/>
          <w:marTop w:val="0"/>
          <w:marBottom w:val="0"/>
          <w:divBdr>
            <w:top w:val="none" w:sz="0" w:space="0" w:color="auto"/>
            <w:left w:val="none" w:sz="0" w:space="0" w:color="auto"/>
            <w:bottom w:val="none" w:sz="0" w:space="0" w:color="auto"/>
            <w:right w:val="none" w:sz="0" w:space="0" w:color="auto"/>
          </w:divBdr>
        </w:div>
        <w:div w:id="2024701947">
          <w:marLeft w:val="0"/>
          <w:marRight w:val="0"/>
          <w:marTop w:val="0"/>
          <w:marBottom w:val="0"/>
          <w:divBdr>
            <w:top w:val="none" w:sz="0" w:space="0" w:color="auto"/>
            <w:left w:val="none" w:sz="0" w:space="0" w:color="auto"/>
            <w:bottom w:val="none" w:sz="0" w:space="0" w:color="auto"/>
            <w:right w:val="none" w:sz="0" w:space="0" w:color="auto"/>
          </w:divBdr>
        </w:div>
        <w:div w:id="2024701948">
          <w:marLeft w:val="0"/>
          <w:marRight w:val="0"/>
          <w:marTop w:val="0"/>
          <w:marBottom w:val="0"/>
          <w:divBdr>
            <w:top w:val="none" w:sz="0" w:space="0" w:color="auto"/>
            <w:left w:val="none" w:sz="0" w:space="0" w:color="auto"/>
            <w:bottom w:val="none" w:sz="0" w:space="0" w:color="auto"/>
            <w:right w:val="none" w:sz="0" w:space="0" w:color="auto"/>
          </w:divBdr>
        </w:div>
        <w:div w:id="2024701949">
          <w:marLeft w:val="0"/>
          <w:marRight w:val="0"/>
          <w:marTop w:val="0"/>
          <w:marBottom w:val="0"/>
          <w:divBdr>
            <w:top w:val="none" w:sz="0" w:space="0" w:color="auto"/>
            <w:left w:val="none" w:sz="0" w:space="0" w:color="auto"/>
            <w:bottom w:val="none" w:sz="0" w:space="0" w:color="auto"/>
            <w:right w:val="none" w:sz="0" w:space="0" w:color="auto"/>
          </w:divBdr>
        </w:div>
        <w:div w:id="2024701950">
          <w:marLeft w:val="0"/>
          <w:marRight w:val="0"/>
          <w:marTop w:val="0"/>
          <w:marBottom w:val="0"/>
          <w:divBdr>
            <w:top w:val="none" w:sz="0" w:space="0" w:color="auto"/>
            <w:left w:val="none" w:sz="0" w:space="0" w:color="auto"/>
            <w:bottom w:val="none" w:sz="0" w:space="0" w:color="auto"/>
            <w:right w:val="none" w:sz="0" w:space="0" w:color="auto"/>
          </w:divBdr>
        </w:div>
        <w:div w:id="2024701951">
          <w:marLeft w:val="0"/>
          <w:marRight w:val="0"/>
          <w:marTop w:val="0"/>
          <w:marBottom w:val="0"/>
          <w:divBdr>
            <w:top w:val="none" w:sz="0" w:space="0" w:color="auto"/>
            <w:left w:val="none" w:sz="0" w:space="0" w:color="auto"/>
            <w:bottom w:val="none" w:sz="0" w:space="0" w:color="auto"/>
            <w:right w:val="none" w:sz="0" w:space="0" w:color="auto"/>
          </w:divBdr>
        </w:div>
        <w:div w:id="2024701952">
          <w:marLeft w:val="0"/>
          <w:marRight w:val="0"/>
          <w:marTop w:val="0"/>
          <w:marBottom w:val="0"/>
          <w:divBdr>
            <w:top w:val="none" w:sz="0" w:space="0" w:color="auto"/>
            <w:left w:val="none" w:sz="0" w:space="0" w:color="auto"/>
            <w:bottom w:val="none" w:sz="0" w:space="0" w:color="auto"/>
            <w:right w:val="none" w:sz="0" w:space="0" w:color="auto"/>
          </w:divBdr>
        </w:div>
        <w:div w:id="2024701953">
          <w:marLeft w:val="0"/>
          <w:marRight w:val="0"/>
          <w:marTop w:val="0"/>
          <w:marBottom w:val="0"/>
          <w:divBdr>
            <w:top w:val="none" w:sz="0" w:space="0" w:color="auto"/>
            <w:left w:val="none" w:sz="0" w:space="0" w:color="auto"/>
            <w:bottom w:val="none" w:sz="0" w:space="0" w:color="auto"/>
            <w:right w:val="none" w:sz="0" w:space="0" w:color="auto"/>
          </w:divBdr>
        </w:div>
        <w:div w:id="2024701954">
          <w:marLeft w:val="0"/>
          <w:marRight w:val="0"/>
          <w:marTop w:val="0"/>
          <w:marBottom w:val="0"/>
          <w:divBdr>
            <w:top w:val="none" w:sz="0" w:space="0" w:color="auto"/>
            <w:left w:val="none" w:sz="0" w:space="0" w:color="auto"/>
            <w:bottom w:val="none" w:sz="0" w:space="0" w:color="auto"/>
            <w:right w:val="none" w:sz="0" w:space="0" w:color="auto"/>
          </w:divBdr>
        </w:div>
        <w:div w:id="2024701955">
          <w:marLeft w:val="0"/>
          <w:marRight w:val="0"/>
          <w:marTop w:val="0"/>
          <w:marBottom w:val="0"/>
          <w:divBdr>
            <w:top w:val="none" w:sz="0" w:space="0" w:color="auto"/>
            <w:left w:val="none" w:sz="0" w:space="0" w:color="auto"/>
            <w:bottom w:val="none" w:sz="0" w:space="0" w:color="auto"/>
            <w:right w:val="none" w:sz="0" w:space="0" w:color="auto"/>
          </w:divBdr>
        </w:div>
        <w:div w:id="2024701956">
          <w:marLeft w:val="0"/>
          <w:marRight w:val="0"/>
          <w:marTop w:val="0"/>
          <w:marBottom w:val="0"/>
          <w:divBdr>
            <w:top w:val="none" w:sz="0" w:space="0" w:color="auto"/>
            <w:left w:val="none" w:sz="0" w:space="0" w:color="auto"/>
            <w:bottom w:val="none" w:sz="0" w:space="0" w:color="auto"/>
            <w:right w:val="none" w:sz="0" w:space="0" w:color="auto"/>
          </w:divBdr>
        </w:div>
        <w:div w:id="2024701957">
          <w:marLeft w:val="0"/>
          <w:marRight w:val="0"/>
          <w:marTop w:val="0"/>
          <w:marBottom w:val="0"/>
          <w:divBdr>
            <w:top w:val="none" w:sz="0" w:space="0" w:color="auto"/>
            <w:left w:val="none" w:sz="0" w:space="0" w:color="auto"/>
            <w:bottom w:val="none" w:sz="0" w:space="0" w:color="auto"/>
            <w:right w:val="none" w:sz="0" w:space="0" w:color="auto"/>
          </w:divBdr>
        </w:div>
        <w:div w:id="2024701958">
          <w:marLeft w:val="0"/>
          <w:marRight w:val="0"/>
          <w:marTop w:val="0"/>
          <w:marBottom w:val="0"/>
          <w:divBdr>
            <w:top w:val="none" w:sz="0" w:space="0" w:color="auto"/>
            <w:left w:val="none" w:sz="0" w:space="0" w:color="auto"/>
            <w:bottom w:val="none" w:sz="0" w:space="0" w:color="auto"/>
            <w:right w:val="none" w:sz="0" w:space="0" w:color="auto"/>
          </w:divBdr>
        </w:div>
        <w:div w:id="2024701959">
          <w:marLeft w:val="0"/>
          <w:marRight w:val="0"/>
          <w:marTop w:val="0"/>
          <w:marBottom w:val="0"/>
          <w:divBdr>
            <w:top w:val="none" w:sz="0" w:space="0" w:color="auto"/>
            <w:left w:val="none" w:sz="0" w:space="0" w:color="auto"/>
            <w:bottom w:val="none" w:sz="0" w:space="0" w:color="auto"/>
            <w:right w:val="none" w:sz="0" w:space="0" w:color="auto"/>
          </w:divBdr>
        </w:div>
        <w:div w:id="2024701960">
          <w:marLeft w:val="0"/>
          <w:marRight w:val="0"/>
          <w:marTop w:val="0"/>
          <w:marBottom w:val="0"/>
          <w:divBdr>
            <w:top w:val="none" w:sz="0" w:space="0" w:color="auto"/>
            <w:left w:val="none" w:sz="0" w:space="0" w:color="auto"/>
            <w:bottom w:val="none" w:sz="0" w:space="0" w:color="auto"/>
            <w:right w:val="none" w:sz="0" w:space="0" w:color="auto"/>
          </w:divBdr>
        </w:div>
        <w:div w:id="2024701961">
          <w:marLeft w:val="0"/>
          <w:marRight w:val="0"/>
          <w:marTop w:val="0"/>
          <w:marBottom w:val="0"/>
          <w:divBdr>
            <w:top w:val="none" w:sz="0" w:space="0" w:color="auto"/>
            <w:left w:val="none" w:sz="0" w:space="0" w:color="auto"/>
            <w:bottom w:val="none" w:sz="0" w:space="0" w:color="auto"/>
            <w:right w:val="none" w:sz="0" w:space="0" w:color="auto"/>
          </w:divBdr>
        </w:div>
        <w:div w:id="2024701962">
          <w:marLeft w:val="0"/>
          <w:marRight w:val="0"/>
          <w:marTop w:val="0"/>
          <w:marBottom w:val="0"/>
          <w:divBdr>
            <w:top w:val="none" w:sz="0" w:space="0" w:color="auto"/>
            <w:left w:val="none" w:sz="0" w:space="0" w:color="auto"/>
            <w:bottom w:val="none" w:sz="0" w:space="0" w:color="auto"/>
            <w:right w:val="none" w:sz="0" w:space="0" w:color="auto"/>
          </w:divBdr>
        </w:div>
        <w:div w:id="2024701963">
          <w:marLeft w:val="0"/>
          <w:marRight w:val="0"/>
          <w:marTop w:val="0"/>
          <w:marBottom w:val="0"/>
          <w:divBdr>
            <w:top w:val="none" w:sz="0" w:space="0" w:color="auto"/>
            <w:left w:val="none" w:sz="0" w:space="0" w:color="auto"/>
            <w:bottom w:val="none" w:sz="0" w:space="0" w:color="auto"/>
            <w:right w:val="none" w:sz="0" w:space="0" w:color="auto"/>
          </w:divBdr>
        </w:div>
        <w:div w:id="2024701964">
          <w:marLeft w:val="0"/>
          <w:marRight w:val="0"/>
          <w:marTop w:val="0"/>
          <w:marBottom w:val="0"/>
          <w:divBdr>
            <w:top w:val="none" w:sz="0" w:space="0" w:color="auto"/>
            <w:left w:val="none" w:sz="0" w:space="0" w:color="auto"/>
            <w:bottom w:val="none" w:sz="0" w:space="0" w:color="auto"/>
            <w:right w:val="none" w:sz="0" w:space="0" w:color="auto"/>
          </w:divBdr>
        </w:div>
        <w:div w:id="2024701965">
          <w:marLeft w:val="0"/>
          <w:marRight w:val="0"/>
          <w:marTop w:val="0"/>
          <w:marBottom w:val="0"/>
          <w:divBdr>
            <w:top w:val="none" w:sz="0" w:space="0" w:color="auto"/>
            <w:left w:val="none" w:sz="0" w:space="0" w:color="auto"/>
            <w:bottom w:val="none" w:sz="0" w:space="0" w:color="auto"/>
            <w:right w:val="none" w:sz="0" w:space="0" w:color="auto"/>
          </w:divBdr>
        </w:div>
        <w:div w:id="2024701966">
          <w:marLeft w:val="0"/>
          <w:marRight w:val="0"/>
          <w:marTop w:val="0"/>
          <w:marBottom w:val="0"/>
          <w:divBdr>
            <w:top w:val="none" w:sz="0" w:space="0" w:color="auto"/>
            <w:left w:val="none" w:sz="0" w:space="0" w:color="auto"/>
            <w:bottom w:val="none" w:sz="0" w:space="0" w:color="auto"/>
            <w:right w:val="none" w:sz="0" w:space="0" w:color="auto"/>
          </w:divBdr>
        </w:div>
        <w:div w:id="2024701967">
          <w:marLeft w:val="0"/>
          <w:marRight w:val="0"/>
          <w:marTop w:val="0"/>
          <w:marBottom w:val="0"/>
          <w:divBdr>
            <w:top w:val="none" w:sz="0" w:space="0" w:color="auto"/>
            <w:left w:val="none" w:sz="0" w:space="0" w:color="auto"/>
            <w:bottom w:val="none" w:sz="0" w:space="0" w:color="auto"/>
            <w:right w:val="none" w:sz="0" w:space="0" w:color="auto"/>
          </w:divBdr>
        </w:div>
        <w:div w:id="2024701968">
          <w:marLeft w:val="0"/>
          <w:marRight w:val="0"/>
          <w:marTop w:val="0"/>
          <w:marBottom w:val="0"/>
          <w:divBdr>
            <w:top w:val="none" w:sz="0" w:space="0" w:color="auto"/>
            <w:left w:val="none" w:sz="0" w:space="0" w:color="auto"/>
            <w:bottom w:val="none" w:sz="0" w:space="0" w:color="auto"/>
            <w:right w:val="none" w:sz="0" w:space="0" w:color="auto"/>
          </w:divBdr>
        </w:div>
        <w:div w:id="2024701969">
          <w:marLeft w:val="0"/>
          <w:marRight w:val="0"/>
          <w:marTop w:val="0"/>
          <w:marBottom w:val="0"/>
          <w:divBdr>
            <w:top w:val="none" w:sz="0" w:space="0" w:color="auto"/>
            <w:left w:val="none" w:sz="0" w:space="0" w:color="auto"/>
            <w:bottom w:val="none" w:sz="0" w:space="0" w:color="auto"/>
            <w:right w:val="none" w:sz="0" w:space="0" w:color="auto"/>
          </w:divBdr>
        </w:div>
        <w:div w:id="2024701970">
          <w:marLeft w:val="0"/>
          <w:marRight w:val="0"/>
          <w:marTop w:val="0"/>
          <w:marBottom w:val="0"/>
          <w:divBdr>
            <w:top w:val="none" w:sz="0" w:space="0" w:color="auto"/>
            <w:left w:val="none" w:sz="0" w:space="0" w:color="auto"/>
            <w:bottom w:val="none" w:sz="0" w:space="0" w:color="auto"/>
            <w:right w:val="none" w:sz="0" w:space="0" w:color="auto"/>
          </w:divBdr>
        </w:div>
        <w:div w:id="2024701971">
          <w:marLeft w:val="0"/>
          <w:marRight w:val="0"/>
          <w:marTop w:val="0"/>
          <w:marBottom w:val="0"/>
          <w:divBdr>
            <w:top w:val="none" w:sz="0" w:space="0" w:color="auto"/>
            <w:left w:val="none" w:sz="0" w:space="0" w:color="auto"/>
            <w:bottom w:val="none" w:sz="0" w:space="0" w:color="auto"/>
            <w:right w:val="none" w:sz="0" w:space="0" w:color="auto"/>
          </w:divBdr>
        </w:div>
        <w:div w:id="2024701972">
          <w:marLeft w:val="0"/>
          <w:marRight w:val="0"/>
          <w:marTop w:val="0"/>
          <w:marBottom w:val="0"/>
          <w:divBdr>
            <w:top w:val="none" w:sz="0" w:space="0" w:color="auto"/>
            <w:left w:val="none" w:sz="0" w:space="0" w:color="auto"/>
            <w:bottom w:val="none" w:sz="0" w:space="0" w:color="auto"/>
            <w:right w:val="none" w:sz="0" w:space="0" w:color="auto"/>
          </w:divBdr>
        </w:div>
        <w:div w:id="2024701973">
          <w:marLeft w:val="0"/>
          <w:marRight w:val="0"/>
          <w:marTop w:val="0"/>
          <w:marBottom w:val="0"/>
          <w:divBdr>
            <w:top w:val="none" w:sz="0" w:space="0" w:color="auto"/>
            <w:left w:val="none" w:sz="0" w:space="0" w:color="auto"/>
            <w:bottom w:val="none" w:sz="0" w:space="0" w:color="auto"/>
            <w:right w:val="none" w:sz="0" w:space="0" w:color="auto"/>
          </w:divBdr>
        </w:div>
        <w:div w:id="2024701974">
          <w:marLeft w:val="0"/>
          <w:marRight w:val="0"/>
          <w:marTop w:val="0"/>
          <w:marBottom w:val="0"/>
          <w:divBdr>
            <w:top w:val="none" w:sz="0" w:space="0" w:color="auto"/>
            <w:left w:val="none" w:sz="0" w:space="0" w:color="auto"/>
            <w:bottom w:val="none" w:sz="0" w:space="0" w:color="auto"/>
            <w:right w:val="none" w:sz="0" w:space="0" w:color="auto"/>
          </w:divBdr>
        </w:div>
        <w:div w:id="2024701975">
          <w:marLeft w:val="0"/>
          <w:marRight w:val="0"/>
          <w:marTop w:val="0"/>
          <w:marBottom w:val="0"/>
          <w:divBdr>
            <w:top w:val="none" w:sz="0" w:space="0" w:color="auto"/>
            <w:left w:val="none" w:sz="0" w:space="0" w:color="auto"/>
            <w:bottom w:val="none" w:sz="0" w:space="0" w:color="auto"/>
            <w:right w:val="none" w:sz="0" w:space="0" w:color="auto"/>
          </w:divBdr>
        </w:div>
        <w:div w:id="2024701976">
          <w:marLeft w:val="0"/>
          <w:marRight w:val="0"/>
          <w:marTop w:val="0"/>
          <w:marBottom w:val="0"/>
          <w:divBdr>
            <w:top w:val="none" w:sz="0" w:space="0" w:color="auto"/>
            <w:left w:val="none" w:sz="0" w:space="0" w:color="auto"/>
            <w:bottom w:val="none" w:sz="0" w:space="0" w:color="auto"/>
            <w:right w:val="none" w:sz="0" w:space="0" w:color="auto"/>
          </w:divBdr>
        </w:div>
        <w:div w:id="2024701977">
          <w:marLeft w:val="0"/>
          <w:marRight w:val="0"/>
          <w:marTop w:val="0"/>
          <w:marBottom w:val="0"/>
          <w:divBdr>
            <w:top w:val="none" w:sz="0" w:space="0" w:color="auto"/>
            <w:left w:val="none" w:sz="0" w:space="0" w:color="auto"/>
            <w:bottom w:val="none" w:sz="0" w:space="0" w:color="auto"/>
            <w:right w:val="none" w:sz="0" w:space="0" w:color="auto"/>
          </w:divBdr>
        </w:div>
        <w:div w:id="2024701978">
          <w:marLeft w:val="0"/>
          <w:marRight w:val="0"/>
          <w:marTop w:val="0"/>
          <w:marBottom w:val="0"/>
          <w:divBdr>
            <w:top w:val="none" w:sz="0" w:space="0" w:color="auto"/>
            <w:left w:val="none" w:sz="0" w:space="0" w:color="auto"/>
            <w:bottom w:val="none" w:sz="0" w:space="0" w:color="auto"/>
            <w:right w:val="none" w:sz="0" w:space="0" w:color="auto"/>
          </w:divBdr>
        </w:div>
        <w:div w:id="2024701979">
          <w:marLeft w:val="0"/>
          <w:marRight w:val="0"/>
          <w:marTop w:val="0"/>
          <w:marBottom w:val="0"/>
          <w:divBdr>
            <w:top w:val="none" w:sz="0" w:space="0" w:color="auto"/>
            <w:left w:val="none" w:sz="0" w:space="0" w:color="auto"/>
            <w:bottom w:val="none" w:sz="0" w:space="0" w:color="auto"/>
            <w:right w:val="none" w:sz="0" w:space="0" w:color="auto"/>
          </w:divBdr>
        </w:div>
        <w:div w:id="2024701980">
          <w:marLeft w:val="0"/>
          <w:marRight w:val="0"/>
          <w:marTop w:val="0"/>
          <w:marBottom w:val="0"/>
          <w:divBdr>
            <w:top w:val="none" w:sz="0" w:space="0" w:color="auto"/>
            <w:left w:val="none" w:sz="0" w:space="0" w:color="auto"/>
            <w:bottom w:val="none" w:sz="0" w:space="0" w:color="auto"/>
            <w:right w:val="none" w:sz="0" w:space="0" w:color="auto"/>
          </w:divBdr>
        </w:div>
        <w:div w:id="2024701981">
          <w:marLeft w:val="0"/>
          <w:marRight w:val="0"/>
          <w:marTop w:val="0"/>
          <w:marBottom w:val="0"/>
          <w:divBdr>
            <w:top w:val="none" w:sz="0" w:space="0" w:color="auto"/>
            <w:left w:val="none" w:sz="0" w:space="0" w:color="auto"/>
            <w:bottom w:val="none" w:sz="0" w:space="0" w:color="auto"/>
            <w:right w:val="none" w:sz="0" w:space="0" w:color="auto"/>
          </w:divBdr>
        </w:div>
        <w:div w:id="2024701982">
          <w:marLeft w:val="0"/>
          <w:marRight w:val="0"/>
          <w:marTop w:val="0"/>
          <w:marBottom w:val="0"/>
          <w:divBdr>
            <w:top w:val="none" w:sz="0" w:space="0" w:color="auto"/>
            <w:left w:val="none" w:sz="0" w:space="0" w:color="auto"/>
            <w:bottom w:val="none" w:sz="0" w:space="0" w:color="auto"/>
            <w:right w:val="none" w:sz="0" w:space="0" w:color="auto"/>
          </w:divBdr>
        </w:div>
        <w:div w:id="2024701983">
          <w:marLeft w:val="0"/>
          <w:marRight w:val="0"/>
          <w:marTop w:val="0"/>
          <w:marBottom w:val="0"/>
          <w:divBdr>
            <w:top w:val="none" w:sz="0" w:space="0" w:color="auto"/>
            <w:left w:val="none" w:sz="0" w:space="0" w:color="auto"/>
            <w:bottom w:val="none" w:sz="0" w:space="0" w:color="auto"/>
            <w:right w:val="none" w:sz="0" w:space="0" w:color="auto"/>
          </w:divBdr>
        </w:div>
        <w:div w:id="2024701984">
          <w:marLeft w:val="0"/>
          <w:marRight w:val="0"/>
          <w:marTop w:val="0"/>
          <w:marBottom w:val="0"/>
          <w:divBdr>
            <w:top w:val="none" w:sz="0" w:space="0" w:color="auto"/>
            <w:left w:val="none" w:sz="0" w:space="0" w:color="auto"/>
            <w:bottom w:val="none" w:sz="0" w:space="0" w:color="auto"/>
            <w:right w:val="none" w:sz="0" w:space="0" w:color="auto"/>
          </w:divBdr>
        </w:div>
        <w:div w:id="2024701985">
          <w:marLeft w:val="0"/>
          <w:marRight w:val="0"/>
          <w:marTop w:val="0"/>
          <w:marBottom w:val="0"/>
          <w:divBdr>
            <w:top w:val="none" w:sz="0" w:space="0" w:color="auto"/>
            <w:left w:val="none" w:sz="0" w:space="0" w:color="auto"/>
            <w:bottom w:val="none" w:sz="0" w:space="0" w:color="auto"/>
            <w:right w:val="none" w:sz="0" w:space="0" w:color="auto"/>
          </w:divBdr>
        </w:div>
        <w:div w:id="2024701986">
          <w:marLeft w:val="0"/>
          <w:marRight w:val="0"/>
          <w:marTop w:val="0"/>
          <w:marBottom w:val="0"/>
          <w:divBdr>
            <w:top w:val="none" w:sz="0" w:space="0" w:color="auto"/>
            <w:left w:val="none" w:sz="0" w:space="0" w:color="auto"/>
            <w:bottom w:val="none" w:sz="0" w:space="0" w:color="auto"/>
            <w:right w:val="none" w:sz="0" w:space="0" w:color="auto"/>
          </w:divBdr>
        </w:div>
        <w:div w:id="2024701987">
          <w:marLeft w:val="0"/>
          <w:marRight w:val="0"/>
          <w:marTop w:val="0"/>
          <w:marBottom w:val="0"/>
          <w:divBdr>
            <w:top w:val="none" w:sz="0" w:space="0" w:color="auto"/>
            <w:left w:val="none" w:sz="0" w:space="0" w:color="auto"/>
            <w:bottom w:val="none" w:sz="0" w:space="0" w:color="auto"/>
            <w:right w:val="none" w:sz="0" w:space="0" w:color="auto"/>
          </w:divBdr>
        </w:div>
        <w:div w:id="2024701988">
          <w:marLeft w:val="0"/>
          <w:marRight w:val="0"/>
          <w:marTop w:val="0"/>
          <w:marBottom w:val="0"/>
          <w:divBdr>
            <w:top w:val="none" w:sz="0" w:space="0" w:color="auto"/>
            <w:left w:val="none" w:sz="0" w:space="0" w:color="auto"/>
            <w:bottom w:val="none" w:sz="0" w:space="0" w:color="auto"/>
            <w:right w:val="none" w:sz="0" w:space="0" w:color="auto"/>
          </w:divBdr>
        </w:div>
        <w:div w:id="2024701989">
          <w:marLeft w:val="0"/>
          <w:marRight w:val="0"/>
          <w:marTop w:val="0"/>
          <w:marBottom w:val="0"/>
          <w:divBdr>
            <w:top w:val="none" w:sz="0" w:space="0" w:color="auto"/>
            <w:left w:val="none" w:sz="0" w:space="0" w:color="auto"/>
            <w:bottom w:val="none" w:sz="0" w:space="0" w:color="auto"/>
            <w:right w:val="none" w:sz="0" w:space="0" w:color="auto"/>
          </w:divBdr>
        </w:div>
        <w:div w:id="2024701991">
          <w:marLeft w:val="0"/>
          <w:marRight w:val="0"/>
          <w:marTop w:val="0"/>
          <w:marBottom w:val="0"/>
          <w:divBdr>
            <w:top w:val="none" w:sz="0" w:space="0" w:color="auto"/>
            <w:left w:val="none" w:sz="0" w:space="0" w:color="auto"/>
            <w:bottom w:val="none" w:sz="0" w:space="0" w:color="auto"/>
            <w:right w:val="none" w:sz="0" w:space="0" w:color="auto"/>
          </w:divBdr>
        </w:div>
        <w:div w:id="2024701992">
          <w:marLeft w:val="0"/>
          <w:marRight w:val="0"/>
          <w:marTop w:val="0"/>
          <w:marBottom w:val="0"/>
          <w:divBdr>
            <w:top w:val="none" w:sz="0" w:space="0" w:color="auto"/>
            <w:left w:val="none" w:sz="0" w:space="0" w:color="auto"/>
            <w:bottom w:val="none" w:sz="0" w:space="0" w:color="auto"/>
            <w:right w:val="none" w:sz="0" w:space="0" w:color="auto"/>
          </w:divBdr>
        </w:div>
        <w:div w:id="2024701993">
          <w:marLeft w:val="0"/>
          <w:marRight w:val="0"/>
          <w:marTop w:val="0"/>
          <w:marBottom w:val="0"/>
          <w:divBdr>
            <w:top w:val="none" w:sz="0" w:space="0" w:color="auto"/>
            <w:left w:val="none" w:sz="0" w:space="0" w:color="auto"/>
            <w:bottom w:val="none" w:sz="0" w:space="0" w:color="auto"/>
            <w:right w:val="none" w:sz="0" w:space="0" w:color="auto"/>
          </w:divBdr>
        </w:div>
        <w:div w:id="2024701994">
          <w:marLeft w:val="0"/>
          <w:marRight w:val="0"/>
          <w:marTop w:val="0"/>
          <w:marBottom w:val="0"/>
          <w:divBdr>
            <w:top w:val="none" w:sz="0" w:space="0" w:color="auto"/>
            <w:left w:val="none" w:sz="0" w:space="0" w:color="auto"/>
            <w:bottom w:val="none" w:sz="0" w:space="0" w:color="auto"/>
            <w:right w:val="none" w:sz="0" w:space="0" w:color="auto"/>
          </w:divBdr>
        </w:div>
        <w:div w:id="2024701995">
          <w:marLeft w:val="0"/>
          <w:marRight w:val="0"/>
          <w:marTop w:val="0"/>
          <w:marBottom w:val="0"/>
          <w:divBdr>
            <w:top w:val="none" w:sz="0" w:space="0" w:color="auto"/>
            <w:left w:val="none" w:sz="0" w:space="0" w:color="auto"/>
            <w:bottom w:val="none" w:sz="0" w:space="0" w:color="auto"/>
            <w:right w:val="none" w:sz="0" w:space="0" w:color="auto"/>
          </w:divBdr>
        </w:div>
        <w:div w:id="2024701996">
          <w:marLeft w:val="0"/>
          <w:marRight w:val="0"/>
          <w:marTop w:val="0"/>
          <w:marBottom w:val="0"/>
          <w:divBdr>
            <w:top w:val="none" w:sz="0" w:space="0" w:color="auto"/>
            <w:left w:val="none" w:sz="0" w:space="0" w:color="auto"/>
            <w:bottom w:val="none" w:sz="0" w:space="0" w:color="auto"/>
            <w:right w:val="none" w:sz="0" w:space="0" w:color="auto"/>
          </w:divBdr>
        </w:div>
        <w:div w:id="2024701997">
          <w:marLeft w:val="0"/>
          <w:marRight w:val="0"/>
          <w:marTop w:val="0"/>
          <w:marBottom w:val="0"/>
          <w:divBdr>
            <w:top w:val="none" w:sz="0" w:space="0" w:color="auto"/>
            <w:left w:val="none" w:sz="0" w:space="0" w:color="auto"/>
            <w:bottom w:val="none" w:sz="0" w:space="0" w:color="auto"/>
            <w:right w:val="none" w:sz="0" w:space="0" w:color="auto"/>
          </w:divBdr>
        </w:div>
        <w:div w:id="2024701998">
          <w:marLeft w:val="0"/>
          <w:marRight w:val="0"/>
          <w:marTop w:val="0"/>
          <w:marBottom w:val="0"/>
          <w:divBdr>
            <w:top w:val="none" w:sz="0" w:space="0" w:color="auto"/>
            <w:left w:val="none" w:sz="0" w:space="0" w:color="auto"/>
            <w:bottom w:val="none" w:sz="0" w:space="0" w:color="auto"/>
            <w:right w:val="none" w:sz="0" w:space="0" w:color="auto"/>
          </w:divBdr>
        </w:div>
        <w:div w:id="2024701999">
          <w:marLeft w:val="0"/>
          <w:marRight w:val="0"/>
          <w:marTop w:val="0"/>
          <w:marBottom w:val="0"/>
          <w:divBdr>
            <w:top w:val="none" w:sz="0" w:space="0" w:color="auto"/>
            <w:left w:val="none" w:sz="0" w:space="0" w:color="auto"/>
            <w:bottom w:val="none" w:sz="0" w:space="0" w:color="auto"/>
            <w:right w:val="none" w:sz="0" w:space="0" w:color="auto"/>
          </w:divBdr>
        </w:div>
        <w:div w:id="2024702000">
          <w:marLeft w:val="0"/>
          <w:marRight w:val="0"/>
          <w:marTop w:val="0"/>
          <w:marBottom w:val="0"/>
          <w:divBdr>
            <w:top w:val="none" w:sz="0" w:space="0" w:color="auto"/>
            <w:left w:val="none" w:sz="0" w:space="0" w:color="auto"/>
            <w:bottom w:val="none" w:sz="0" w:space="0" w:color="auto"/>
            <w:right w:val="none" w:sz="0" w:space="0" w:color="auto"/>
          </w:divBdr>
        </w:div>
        <w:div w:id="2024702001">
          <w:marLeft w:val="0"/>
          <w:marRight w:val="0"/>
          <w:marTop w:val="0"/>
          <w:marBottom w:val="0"/>
          <w:divBdr>
            <w:top w:val="none" w:sz="0" w:space="0" w:color="auto"/>
            <w:left w:val="none" w:sz="0" w:space="0" w:color="auto"/>
            <w:bottom w:val="none" w:sz="0" w:space="0" w:color="auto"/>
            <w:right w:val="none" w:sz="0" w:space="0" w:color="auto"/>
          </w:divBdr>
        </w:div>
        <w:div w:id="2024702002">
          <w:marLeft w:val="0"/>
          <w:marRight w:val="0"/>
          <w:marTop w:val="0"/>
          <w:marBottom w:val="0"/>
          <w:divBdr>
            <w:top w:val="none" w:sz="0" w:space="0" w:color="auto"/>
            <w:left w:val="none" w:sz="0" w:space="0" w:color="auto"/>
            <w:bottom w:val="none" w:sz="0" w:space="0" w:color="auto"/>
            <w:right w:val="none" w:sz="0" w:space="0" w:color="auto"/>
          </w:divBdr>
        </w:div>
        <w:div w:id="2024702003">
          <w:marLeft w:val="0"/>
          <w:marRight w:val="0"/>
          <w:marTop w:val="0"/>
          <w:marBottom w:val="0"/>
          <w:divBdr>
            <w:top w:val="none" w:sz="0" w:space="0" w:color="auto"/>
            <w:left w:val="none" w:sz="0" w:space="0" w:color="auto"/>
            <w:bottom w:val="none" w:sz="0" w:space="0" w:color="auto"/>
            <w:right w:val="none" w:sz="0" w:space="0" w:color="auto"/>
          </w:divBdr>
        </w:div>
        <w:div w:id="2024702005">
          <w:marLeft w:val="0"/>
          <w:marRight w:val="0"/>
          <w:marTop w:val="0"/>
          <w:marBottom w:val="0"/>
          <w:divBdr>
            <w:top w:val="none" w:sz="0" w:space="0" w:color="auto"/>
            <w:left w:val="none" w:sz="0" w:space="0" w:color="auto"/>
            <w:bottom w:val="none" w:sz="0" w:space="0" w:color="auto"/>
            <w:right w:val="none" w:sz="0" w:space="0" w:color="auto"/>
          </w:divBdr>
        </w:div>
        <w:div w:id="2024702006">
          <w:marLeft w:val="0"/>
          <w:marRight w:val="0"/>
          <w:marTop w:val="0"/>
          <w:marBottom w:val="0"/>
          <w:divBdr>
            <w:top w:val="none" w:sz="0" w:space="0" w:color="auto"/>
            <w:left w:val="none" w:sz="0" w:space="0" w:color="auto"/>
            <w:bottom w:val="none" w:sz="0" w:space="0" w:color="auto"/>
            <w:right w:val="none" w:sz="0" w:space="0" w:color="auto"/>
          </w:divBdr>
        </w:div>
        <w:div w:id="2024702007">
          <w:marLeft w:val="0"/>
          <w:marRight w:val="0"/>
          <w:marTop w:val="0"/>
          <w:marBottom w:val="0"/>
          <w:divBdr>
            <w:top w:val="none" w:sz="0" w:space="0" w:color="auto"/>
            <w:left w:val="none" w:sz="0" w:space="0" w:color="auto"/>
            <w:bottom w:val="none" w:sz="0" w:space="0" w:color="auto"/>
            <w:right w:val="none" w:sz="0" w:space="0" w:color="auto"/>
          </w:divBdr>
        </w:div>
        <w:div w:id="2024702008">
          <w:marLeft w:val="0"/>
          <w:marRight w:val="0"/>
          <w:marTop w:val="0"/>
          <w:marBottom w:val="0"/>
          <w:divBdr>
            <w:top w:val="none" w:sz="0" w:space="0" w:color="auto"/>
            <w:left w:val="none" w:sz="0" w:space="0" w:color="auto"/>
            <w:bottom w:val="none" w:sz="0" w:space="0" w:color="auto"/>
            <w:right w:val="none" w:sz="0" w:space="0" w:color="auto"/>
          </w:divBdr>
        </w:div>
        <w:div w:id="2024702009">
          <w:marLeft w:val="0"/>
          <w:marRight w:val="0"/>
          <w:marTop w:val="0"/>
          <w:marBottom w:val="0"/>
          <w:divBdr>
            <w:top w:val="none" w:sz="0" w:space="0" w:color="auto"/>
            <w:left w:val="none" w:sz="0" w:space="0" w:color="auto"/>
            <w:bottom w:val="none" w:sz="0" w:space="0" w:color="auto"/>
            <w:right w:val="none" w:sz="0" w:space="0" w:color="auto"/>
          </w:divBdr>
        </w:div>
        <w:div w:id="2024702010">
          <w:marLeft w:val="0"/>
          <w:marRight w:val="0"/>
          <w:marTop w:val="0"/>
          <w:marBottom w:val="0"/>
          <w:divBdr>
            <w:top w:val="none" w:sz="0" w:space="0" w:color="auto"/>
            <w:left w:val="none" w:sz="0" w:space="0" w:color="auto"/>
            <w:bottom w:val="none" w:sz="0" w:space="0" w:color="auto"/>
            <w:right w:val="none" w:sz="0" w:space="0" w:color="auto"/>
          </w:divBdr>
        </w:div>
        <w:div w:id="2024702011">
          <w:marLeft w:val="0"/>
          <w:marRight w:val="0"/>
          <w:marTop w:val="0"/>
          <w:marBottom w:val="0"/>
          <w:divBdr>
            <w:top w:val="none" w:sz="0" w:space="0" w:color="auto"/>
            <w:left w:val="none" w:sz="0" w:space="0" w:color="auto"/>
            <w:bottom w:val="none" w:sz="0" w:space="0" w:color="auto"/>
            <w:right w:val="none" w:sz="0" w:space="0" w:color="auto"/>
          </w:divBdr>
        </w:div>
        <w:div w:id="2024702012">
          <w:marLeft w:val="0"/>
          <w:marRight w:val="0"/>
          <w:marTop w:val="0"/>
          <w:marBottom w:val="0"/>
          <w:divBdr>
            <w:top w:val="none" w:sz="0" w:space="0" w:color="auto"/>
            <w:left w:val="none" w:sz="0" w:space="0" w:color="auto"/>
            <w:bottom w:val="none" w:sz="0" w:space="0" w:color="auto"/>
            <w:right w:val="none" w:sz="0" w:space="0" w:color="auto"/>
          </w:divBdr>
        </w:div>
        <w:div w:id="2024702013">
          <w:marLeft w:val="0"/>
          <w:marRight w:val="0"/>
          <w:marTop w:val="0"/>
          <w:marBottom w:val="0"/>
          <w:divBdr>
            <w:top w:val="none" w:sz="0" w:space="0" w:color="auto"/>
            <w:left w:val="none" w:sz="0" w:space="0" w:color="auto"/>
            <w:bottom w:val="none" w:sz="0" w:space="0" w:color="auto"/>
            <w:right w:val="none" w:sz="0" w:space="0" w:color="auto"/>
          </w:divBdr>
        </w:div>
        <w:div w:id="2024702014">
          <w:marLeft w:val="0"/>
          <w:marRight w:val="0"/>
          <w:marTop w:val="0"/>
          <w:marBottom w:val="0"/>
          <w:divBdr>
            <w:top w:val="none" w:sz="0" w:space="0" w:color="auto"/>
            <w:left w:val="none" w:sz="0" w:space="0" w:color="auto"/>
            <w:bottom w:val="none" w:sz="0" w:space="0" w:color="auto"/>
            <w:right w:val="none" w:sz="0" w:space="0" w:color="auto"/>
          </w:divBdr>
        </w:div>
        <w:div w:id="2024702015">
          <w:marLeft w:val="0"/>
          <w:marRight w:val="0"/>
          <w:marTop w:val="0"/>
          <w:marBottom w:val="0"/>
          <w:divBdr>
            <w:top w:val="none" w:sz="0" w:space="0" w:color="auto"/>
            <w:left w:val="none" w:sz="0" w:space="0" w:color="auto"/>
            <w:bottom w:val="none" w:sz="0" w:space="0" w:color="auto"/>
            <w:right w:val="none" w:sz="0" w:space="0" w:color="auto"/>
          </w:divBdr>
        </w:div>
        <w:div w:id="2024702016">
          <w:marLeft w:val="0"/>
          <w:marRight w:val="0"/>
          <w:marTop w:val="0"/>
          <w:marBottom w:val="0"/>
          <w:divBdr>
            <w:top w:val="none" w:sz="0" w:space="0" w:color="auto"/>
            <w:left w:val="none" w:sz="0" w:space="0" w:color="auto"/>
            <w:bottom w:val="none" w:sz="0" w:space="0" w:color="auto"/>
            <w:right w:val="none" w:sz="0" w:space="0" w:color="auto"/>
          </w:divBdr>
        </w:div>
        <w:div w:id="2024702017">
          <w:marLeft w:val="0"/>
          <w:marRight w:val="0"/>
          <w:marTop w:val="0"/>
          <w:marBottom w:val="0"/>
          <w:divBdr>
            <w:top w:val="none" w:sz="0" w:space="0" w:color="auto"/>
            <w:left w:val="none" w:sz="0" w:space="0" w:color="auto"/>
            <w:bottom w:val="none" w:sz="0" w:space="0" w:color="auto"/>
            <w:right w:val="none" w:sz="0" w:space="0" w:color="auto"/>
          </w:divBdr>
        </w:div>
        <w:div w:id="2024702018">
          <w:marLeft w:val="0"/>
          <w:marRight w:val="0"/>
          <w:marTop w:val="0"/>
          <w:marBottom w:val="0"/>
          <w:divBdr>
            <w:top w:val="none" w:sz="0" w:space="0" w:color="auto"/>
            <w:left w:val="none" w:sz="0" w:space="0" w:color="auto"/>
            <w:bottom w:val="none" w:sz="0" w:space="0" w:color="auto"/>
            <w:right w:val="none" w:sz="0" w:space="0" w:color="auto"/>
          </w:divBdr>
        </w:div>
        <w:div w:id="2024702019">
          <w:marLeft w:val="0"/>
          <w:marRight w:val="0"/>
          <w:marTop w:val="0"/>
          <w:marBottom w:val="0"/>
          <w:divBdr>
            <w:top w:val="none" w:sz="0" w:space="0" w:color="auto"/>
            <w:left w:val="none" w:sz="0" w:space="0" w:color="auto"/>
            <w:bottom w:val="none" w:sz="0" w:space="0" w:color="auto"/>
            <w:right w:val="none" w:sz="0" w:space="0" w:color="auto"/>
          </w:divBdr>
        </w:div>
        <w:div w:id="2024702020">
          <w:marLeft w:val="0"/>
          <w:marRight w:val="0"/>
          <w:marTop w:val="0"/>
          <w:marBottom w:val="0"/>
          <w:divBdr>
            <w:top w:val="none" w:sz="0" w:space="0" w:color="auto"/>
            <w:left w:val="none" w:sz="0" w:space="0" w:color="auto"/>
            <w:bottom w:val="none" w:sz="0" w:space="0" w:color="auto"/>
            <w:right w:val="none" w:sz="0" w:space="0" w:color="auto"/>
          </w:divBdr>
        </w:div>
        <w:div w:id="2024702021">
          <w:marLeft w:val="0"/>
          <w:marRight w:val="0"/>
          <w:marTop w:val="0"/>
          <w:marBottom w:val="0"/>
          <w:divBdr>
            <w:top w:val="none" w:sz="0" w:space="0" w:color="auto"/>
            <w:left w:val="none" w:sz="0" w:space="0" w:color="auto"/>
            <w:bottom w:val="none" w:sz="0" w:space="0" w:color="auto"/>
            <w:right w:val="none" w:sz="0" w:space="0" w:color="auto"/>
          </w:divBdr>
        </w:div>
        <w:div w:id="2024702022">
          <w:marLeft w:val="0"/>
          <w:marRight w:val="0"/>
          <w:marTop w:val="0"/>
          <w:marBottom w:val="0"/>
          <w:divBdr>
            <w:top w:val="none" w:sz="0" w:space="0" w:color="auto"/>
            <w:left w:val="none" w:sz="0" w:space="0" w:color="auto"/>
            <w:bottom w:val="none" w:sz="0" w:space="0" w:color="auto"/>
            <w:right w:val="none" w:sz="0" w:space="0" w:color="auto"/>
          </w:divBdr>
        </w:div>
        <w:div w:id="2024702023">
          <w:marLeft w:val="0"/>
          <w:marRight w:val="0"/>
          <w:marTop w:val="0"/>
          <w:marBottom w:val="0"/>
          <w:divBdr>
            <w:top w:val="none" w:sz="0" w:space="0" w:color="auto"/>
            <w:left w:val="none" w:sz="0" w:space="0" w:color="auto"/>
            <w:bottom w:val="none" w:sz="0" w:space="0" w:color="auto"/>
            <w:right w:val="none" w:sz="0" w:space="0" w:color="auto"/>
          </w:divBdr>
        </w:div>
        <w:div w:id="2024702024">
          <w:marLeft w:val="0"/>
          <w:marRight w:val="0"/>
          <w:marTop w:val="0"/>
          <w:marBottom w:val="0"/>
          <w:divBdr>
            <w:top w:val="none" w:sz="0" w:space="0" w:color="auto"/>
            <w:left w:val="none" w:sz="0" w:space="0" w:color="auto"/>
            <w:bottom w:val="none" w:sz="0" w:space="0" w:color="auto"/>
            <w:right w:val="none" w:sz="0" w:space="0" w:color="auto"/>
          </w:divBdr>
        </w:div>
        <w:div w:id="2024702025">
          <w:marLeft w:val="0"/>
          <w:marRight w:val="0"/>
          <w:marTop w:val="0"/>
          <w:marBottom w:val="0"/>
          <w:divBdr>
            <w:top w:val="none" w:sz="0" w:space="0" w:color="auto"/>
            <w:left w:val="none" w:sz="0" w:space="0" w:color="auto"/>
            <w:bottom w:val="none" w:sz="0" w:space="0" w:color="auto"/>
            <w:right w:val="none" w:sz="0" w:space="0" w:color="auto"/>
          </w:divBdr>
        </w:div>
        <w:div w:id="2024702026">
          <w:marLeft w:val="0"/>
          <w:marRight w:val="0"/>
          <w:marTop w:val="0"/>
          <w:marBottom w:val="0"/>
          <w:divBdr>
            <w:top w:val="none" w:sz="0" w:space="0" w:color="auto"/>
            <w:left w:val="none" w:sz="0" w:space="0" w:color="auto"/>
            <w:bottom w:val="none" w:sz="0" w:space="0" w:color="auto"/>
            <w:right w:val="none" w:sz="0" w:space="0" w:color="auto"/>
          </w:divBdr>
        </w:div>
        <w:div w:id="2024702027">
          <w:marLeft w:val="0"/>
          <w:marRight w:val="0"/>
          <w:marTop w:val="0"/>
          <w:marBottom w:val="0"/>
          <w:divBdr>
            <w:top w:val="none" w:sz="0" w:space="0" w:color="auto"/>
            <w:left w:val="none" w:sz="0" w:space="0" w:color="auto"/>
            <w:bottom w:val="none" w:sz="0" w:space="0" w:color="auto"/>
            <w:right w:val="none" w:sz="0" w:space="0" w:color="auto"/>
          </w:divBdr>
        </w:div>
        <w:div w:id="2024702028">
          <w:marLeft w:val="0"/>
          <w:marRight w:val="0"/>
          <w:marTop w:val="0"/>
          <w:marBottom w:val="0"/>
          <w:divBdr>
            <w:top w:val="none" w:sz="0" w:space="0" w:color="auto"/>
            <w:left w:val="none" w:sz="0" w:space="0" w:color="auto"/>
            <w:bottom w:val="none" w:sz="0" w:space="0" w:color="auto"/>
            <w:right w:val="none" w:sz="0" w:space="0" w:color="auto"/>
          </w:divBdr>
        </w:div>
        <w:div w:id="2024702029">
          <w:marLeft w:val="0"/>
          <w:marRight w:val="0"/>
          <w:marTop w:val="0"/>
          <w:marBottom w:val="0"/>
          <w:divBdr>
            <w:top w:val="none" w:sz="0" w:space="0" w:color="auto"/>
            <w:left w:val="none" w:sz="0" w:space="0" w:color="auto"/>
            <w:bottom w:val="none" w:sz="0" w:space="0" w:color="auto"/>
            <w:right w:val="none" w:sz="0" w:space="0" w:color="auto"/>
          </w:divBdr>
        </w:div>
        <w:div w:id="2024702030">
          <w:marLeft w:val="0"/>
          <w:marRight w:val="0"/>
          <w:marTop w:val="0"/>
          <w:marBottom w:val="0"/>
          <w:divBdr>
            <w:top w:val="none" w:sz="0" w:space="0" w:color="auto"/>
            <w:left w:val="none" w:sz="0" w:space="0" w:color="auto"/>
            <w:bottom w:val="none" w:sz="0" w:space="0" w:color="auto"/>
            <w:right w:val="none" w:sz="0" w:space="0" w:color="auto"/>
          </w:divBdr>
        </w:div>
        <w:div w:id="2024702031">
          <w:marLeft w:val="0"/>
          <w:marRight w:val="0"/>
          <w:marTop w:val="0"/>
          <w:marBottom w:val="0"/>
          <w:divBdr>
            <w:top w:val="none" w:sz="0" w:space="0" w:color="auto"/>
            <w:left w:val="none" w:sz="0" w:space="0" w:color="auto"/>
            <w:bottom w:val="none" w:sz="0" w:space="0" w:color="auto"/>
            <w:right w:val="none" w:sz="0" w:space="0" w:color="auto"/>
          </w:divBdr>
        </w:div>
        <w:div w:id="2024702032">
          <w:marLeft w:val="0"/>
          <w:marRight w:val="0"/>
          <w:marTop w:val="0"/>
          <w:marBottom w:val="0"/>
          <w:divBdr>
            <w:top w:val="none" w:sz="0" w:space="0" w:color="auto"/>
            <w:left w:val="none" w:sz="0" w:space="0" w:color="auto"/>
            <w:bottom w:val="none" w:sz="0" w:space="0" w:color="auto"/>
            <w:right w:val="none" w:sz="0" w:space="0" w:color="auto"/>
          </w:divBdr>
        </w:div>
        <w:div w:id="2024702033">
          <w:marLeft w:val="0"/>
          <w:marRight w:val="0"/>
          <w:marTop w:val="0"/>
          <w:marBottom w:val="0"/>
          <w:divBdr>
            <w:top w:val="none" w:sz="0" w:space="0" w:color="auto"/>
            <w:left w:val="none" w:sz="0" w:space="0" w:color="auto"/>
            <w:bottom w:val="none" w:sz="0" w:space="0" w:color="auto"/>
            <w:right w:val="none" w:sz="0" w:space="0" w:color="auto"/>
          </w:divBdr>
        </w:div>
        <w:div w:id="2024702034">
          <w:marLeft w:val="0"/>
          <w:marRight w:val="0"/>
          <w:marTop w:val="0"/>
          <w:marBottom w:val="0"/>
          <w:divBdr>
            <w:top w:val="none" w:sz="0" w:space="0" w:color="auto"/>
            <w:left w:val="none" w:sz="0" w:space="0" w:color="auto"/>
            <w:bottom w:val="none" w:sz="0" w:space="0" w:color="auto"/>
            <w:right w:val="none" w:sz="0" w:space="0" w:color="auto"/>
          </w:divBdr>
        </w:div>
        <w:div w:id="2024702035">
          <w:marLeft w:val="0"/>
          <w:marRight w:val="0"/>
          <w:marTop w:val="0"/>
          <w:marBottom w:val="0"/>
          <w:divBdr>
            <w:top w:val="none" w:sz="0" w:space="0" w:color="auto"/>
            <w:left w:val="none" w:sz="0" w:space="0" w:color="auto"/>
            <w:bottom w:val="none" w:sz="0" w:space="0" w:color="auto"/>
            <w:right w:val="none" w:sz="0" w:space="0" w:color="auto"/>
          </w:divBdr>
        </w:div>
        <w:div w:id="2024702036">
          <w:marLeft w:val="0"/>
          <w:marRight w:val="0"/>
          <w:marTop w:val="0"/>
          <w:marBottom w:val="0"/>
          <w:divBdr>
            <w:top w:val="none" w:sz="0" w:space="0" w:color="auto"/>
            <w:left w:val="none" w:sz="0" w:space="0" w:color="auto"/>
            <w:bottom w:val="none" w:sz="0" w:space="0" w:color="auto"/>
            <w:right w:val="none" w:sz="0" w:space="0" w:color="auto"/>
          </w:divBdr>
        </w:div>
        <w:div w:id="2024702037">
          <w:marLeft w:val="0"/>
          <w:marRight w:val="0"/>
          <w:marTop w:val="0"/>
          <w:marBottom w:val="0"/>
          <w:divBdr>
            <w:top w:val="none" w:sz="0" w:space="0" w:color="auto"/>
            <w:left w:val="none" w:sz="0" w:space="0" w:color="auto"/>
            <w:bottom w:val="none" w:sz="0" w:space="0" w:color="auto"/>
            <w:right w:val="none" w:sz="0" w:space="0" w:color="auto"/>
          </w:divBdr>
        </w:div>
        <w:div w:id="2024702038">
          <w:marLeft w:val="0"/>
          <w:marRight w:val="0"/>
          <w:marTop w:val="0"/>
          <w:marBottom w:val="0"/>
          <w:divBdr>
            <w:top w:val="none" w:sz="0" w:space="0" w:color="auto"/>
            <w:left w:val="none" w:sz="0" w:space="0" w:color="auto"/>
            <w:bottom w:val="none" w:sz="0" w:space="0" w:color="auto"/>
            <w:right w:val="none" w:sz="0" w:space="0" w:color="auto"/>
          </w:divBdr>
        </w:div>
        <w:div w:id="2024702039">
          <w:marLeft w:val="0"/>
          <w:marRight w:val="0"/>
          <w:marTop w:val="0"/>
          <w:marBottom w:val="0"/>
          <w:divBdr>
            <w:top w:val="none" w:sz="0" w:space="0" w:color="auto"/>
            <w:left w:val="none" w:sz="0" w:space="0" w:color="auto"/>
            <w:bottom w:val="none" w:sz="0" w:space="0" w:color="auto"/>
            <w:right w:val="none" w:sz="0" w:space="0" w:color="auto"/>
          </w:divBdr>
        </w:div>
        <w:div w:id="2024702040">
          <w:marLeft w:val="0"/>
          <w:marRight w:val="0"/>
          <w:marTop w:val="0"/>
          <w:marBottom w:val="0"/>
          <w:divBdr>
            <w:top w:val="none" w:sz="0" w:space="0" w:color="auto"/>
            <w:left w:val="none" w:sz="0" w:space="0" w:color="auto"/>
            <w:bottom w:val="none" w:sz="0" w:space="0" w:color="auto"/>
            <w:right w:val="none" w:sz="0" w:space="0" w:color="auto"/>
          </w:divBdr>
        </w:div>
        <w:div w:id="2024702041">
          <w:marLeft w:val="0"/>
          <w:marRight w:val="0"/>
          <w:marTop w:val="0"/>
          <w:marBottom w:val="0"/>
          <w:divBdr>
            <w:top w:val="none" w:sz="0" w:space="0" w:color="auto"/>
            <w:left w:val="none" w:sz="0" w:space="0" w:color="auto"/>
            <w:bottom w:val="none" w:sz="0" w:space="0" w:color="auto"/>
            <w:right w:val="none" w:sz="0" w:space="0" w:color="auto"/>
          </w:divBdr>
        </w:div>
        <w:div w:id="2024702042">
          <w:marLeft w:val="0"/>
          <w:marRight w:val="0"/>
          <w:marTop w:val="0"/>
          <w:marBottom w:val="0"/>
          <w:divBdr>
            <w:top w:val="none" w:sz="0" w:space="0" w:color="auto"/>
            <w:left w:val="none" w:sz="0" w:space="0" w:color="auto"/>
            <w:bottom w:val="none" w:sz="0" w:space="0" w:color="auto"/>
            <w:right w:val="none" w:sz="0" w:space="0" w:color="auto"/>
          </w:divBdr>
        </w:div>
        <w:div w:id="2024702043">
          <w:marLeft w:val="0"/>
          <w:marRight w:val="0"/>
          <w:marTop w:val="0"/>
          <w:marBottom w:val="0"/>
          <w:divBdr>
            <w:top w:val="none" w:sz="0" w:space="0" w:color="auto"/>
            <w:left w:val="none" w:sz="0" w:space="0" w:color="auto"/>
            <w:bottom w:val="none" w:sz="0" w:space="0" w:color="auto"/>
            <w:right w:val="none" w:sz="0" w:space="0" w:color="auto"/>
          </w:divBdr>
        </w:div>
        <w:div w:id="2024702044">
          <w:marLeft w:val="0"/>
          <w:marRight w:val="0"/>
          <w:marTop w:val="0"/>
          <w:marBottom w:val="0"/>
          <w:divBdr>
            <w:top w:val="none" w:sz="0" w:space="0" w:color="auto"/>
            <w:left w:val="none" w:sz="0" w:space="0" w:color="auto"/>
            <w:bottom w:val="none" w:sz="0" w:space="0" w:color="auto"/>
            <w:right w:val="none" w:sz="0" w:space="0" w:color="auto"/>
          </w:divBdr>
        </w:div>
        <w:div w:id="2024702045">
          <w:marLeft w:val="0"/>
          <w:marRight w:val="0"/>
          <w:marTop w:val="0"/>
          <w:marBottom w:val="0"/>
          <w:divBdr>
            <w:top w:val="none" w:sz="0" w:space="0" w:color="auto"/>
            <w:left w:val="none" w:sz="0" w:space="0" w:color="auto"/>
            <w:bottom w:val="none" w:sz="0" w:space="0" w:color="auto"/>
            <w:right w:val="none" w:sz="0" w:space="0" w:color="auto"/>
          </w:divBdr>
        </w:div>
        <w:div w:id="2024702046">
          <w:marLeft w:val="0"/>
          <w:marRight w:val="0"/>
          <w:marTop w:val="0"/>
          <w:marBottom w:val="0"/>
          <w:divBdr>
            <w:top w:val="none" w:sz="0" w:space="0" w:color="auto"/>
            <w:left w:val="none" w:sz="0" w:space="0" w:color="auto"/>
            <w:bottom w:val="none" w:sz="0" w:space="0" w:color="auto"/>
            <w:right w:val="none" w:sz="0" w:space="0" w:color="auto"/>
          </w:divBdr>
        </w:div>
        <w:div w:id="2024702047">
          <w:marLeft w:val="0"/>
          <w:marRight w:val="0"/>
          <w:marTop w:val="0"/>
          <w:marBottom w:val="0"/>
          <w:divBdr>
            <w:top w:val="none" w:sz="0" w:space="0" w:color="auto"/>
            <w:left w:val="none" w:sz="0" w:space="0" w:color="auto"/>
            <w:bottom w:val="none" w:sz="0" w:space="0" w:color="auto"/>
            <w:right w:val="none" w:sz="0" w:space="0" w:color="auto"/>
          </w:divBdr>
        </w:div>
        <w:div w:id="2024702048">
          <w:marLeft w:val="0"/>
          <w:marRight w:val="0"/>
          <w:marTop w:val="0"/>
          <w:marBottom w:val="0"/>
          <w:divBdr>
            <w:top w:val="none" w:sz="0" w:space="0" w:color="auto"/>
            <w:left w:val="none" w:sz="0" w:space="0" w:color="auto"/>
            <w:bottom w:val="none" w:sz="0" w:space="0" w:color="auto"/>
            <w:right w:val="none" w:sz="0" w:space="0" w:color="auto"/>
          </w:divBdr>
        </w:div>
        <w:div w:id="2024702049">
          <w:marLeft w:val="0"/>
          <w:marRight w:val="0"/>
          <w:marTop w:val="0"/>
          <w:marBottom w:val="0"/>
          <w:divBdr>
            <w:top w:val="none" w:sz="0" w:space="0" w:color="auto"/>
            <w:left w:val="none" w:sz="0" w:space="0" w:color="auto"/>
            <w:bottom w:val="none" w:sz="0" w:space="0" w:color="auto"/>
            <w:right w:val="none" w:sz="0" w:space="0" w:color="auto"/>
          </w:divBdr>
        </w:div>
        <w:div w:id="2024702050">
          <w:marLeft w:val="0"/>
          <w:marRight w:val="0"/>
          <w:marTop w:val="0"/>
          <w:marBottom w:val="0"/>
          <w:divBdr>
            <w:top w:val="none" w:sz="0" w:space="0" w:color="auto"/>
            <w:left w:val="none" w:sz="0" w:space="0" w:color="auto"/>
            <w:bottom w:val="none" w:sz="0" w:space="0" w:color="auto"/>
            <w:right w:val="none" w:sz="0" w:space="0" w:color="auto"/>
          </w:divBdr>
        </w:div>
        <w:div w:id="2024702051">
          <w:marLeft w:val="0"/>
          <w:marRight w:val="0"/>
          <w:marTop w:val="0"/>
          <w:marBottom w:val="0"/>
          <w:divBdr>
            <w:top w:val="none" w:sz="0" w:space="0" w:color="auto"/>
            <w:left w:val="none" w:sz="0" w:space="0" w:color="auto"/>
            <w:bottom w:val="none" w:sz="0" w:space="0" w:color="auto"/>
            <w:right w:val="none" w:sz="0" w:space="0" w:color="auto"/>
          </w:divBdr>
        </w:div>
        <w:div w:id="2024702052">
          <w:marLeft w:val="0"/>
          <w:marRight w:val="0"/>
          <w:marTop w:val="0"/>
          <w:marBottom w:val="0"/>
          <w:divBdr>
            <w:top w:val="none" w:sz="0" w:space="0" w:color="auto"/>
            <w:left w:val="none" w:sz="0" w:space="0" w:color="auto"/>
            <w:bottom w:val="none" w:sz="0" w:space="0" w:color="auto"/>
            <w:right w:val="none" w:sz="0" w:space="0" w:color="auto"/>
          </w:divBdr>
        </w:div>
        <w:div w:id="2024702053">
          <w:marLeft w:val="0"/>
          <w:marRight w:val="0"/>
          <w:marTop w:val="0"/>
          <w:marBottom w:val="0"/>
          <w:divBdr>
            <w:top w:val="none" w:sz="0" w:space="0" w:color="auto"/>
            <w:left w:val="none" w:sz="0" w:space="0" w:color="auto"/>
            <w:bottom w:val="none" w:sz="0" w:space="0" w:color="auto"/>
            <w:right w:val="none" w:sz="0" w:space="0" w:color="auto"/>
          </w:divBdr>
        </w:div>
        <w:div w:id="2024702054">
          <w:marLeft w:val="0"/>
          <w:marRight w:val="0"/>
          <w:marTop w:val="0"/>
          <w:marBottom w:val="0"/>
          <w:divBdr>
            <w:top w:val="none" w:sz="0" w:space="0" w:color="auto"/>
            <w:left w:val="none" w:sz="0" w:space="0" w:color="auto"/>
            <w:bottom w:val="none" w:sz="0" w:space="0" w:color="auto"/>
            <w:right w:val="none" w:sz="0" w:space="0" w:color="auto"/>
          </w:divBdr>
        </w:div>
        <w:div w:id="2024702055">
          <w:marLeft w:val="0"/>
          <w:marRight w:val="0"/>
          <w:marTop w:val="0"/>
          <w:marBottom w:val="0"/>
          <w:divBdr>
            <w:top w:val="none" w:sz="0" w:space="0" w:color="auto"/>
            <w:left w:val="none" w:sz="0" w:space="0" w:color="auto"/>
            <w:bottom w:val="none" w:sz="0" w:space="0" w:color="auto"/>
            <w:right w:val="none" w:sz="0" w:space="0" w:color="auto"/>
          </w:divBdr>
        </w:div>
        <w:div w:id="2024702056">
          <w:marLeft w:val="0"/>
          <w:marRight w:val="0"/>
          <w:marTop w:val="0"/>
          <w:marBottom w:val="0"/>
          <w:divBdr>
            <w:top w:val="none" w:sz="0" w:space="0" w:color="auto"/>
            <w:left w:val="none" w:sz="0" w:space="0" w:color="auto"/>
            <w:bottom w:val="none" w:sz="0" w:space="0" w:color="auto"/>
            <w:right w:val="none" w:sz="0" w:space="0" w:color="auto"/>
          </w:divBdr>
        </w:div>
        <w:div w:id="2024702057">
          <w:marLeft w:val="0"/>
          <w:marRight w:val="0"/>
          <w:marTop w:val="0"/>
          <w:marBottom w:val="0"/>
          <w:divBdr>
            <w:top w:val="none" w:sz="0" w:space="0" w:color="auto"/>
            <w:left w:val="none" w:sz="0" w:space="0" w:color="auto"/>
            <w:bottom w:val="none" w:sz="0" w:space="0" w:color="auto"/>
            <w:right w:val="none" w:sz="0" w:space="0" w:color="auto"/>
          </w:divBdr>
        </w:div>
        <w:div w:id="2024702058">
          <w:marLeft w:val="0"/>
          <w:marRight w:val="0"/>
          <w:marTop w:val="0"/>
          <w:marBottom w:val="0"/>
          <w:divBdr>
            <w:top w:val="none" w:sz="0" w:space="0" w:color="auto"/>
            <w:left w:val="none" w:sz="0" w:space="0" w:color="auto"/>
            <w:bottom w:val="none" w:sz="0" w:space="0" w:color="auto"/>
            <w:right w:val="none" w:sz="0" w:space="0" w:color="auto"/>
          </w:divBdr>
        </w:div>
        <w:div w:id="2024702059">
          <w:marLeft w:val="0"/>
          <w:marRight w:val="0"/>
          <w:marTop w:val="0"/>
          <w:marBottom w:val="0"/>
          <w:divBdr>
            <w:top w:val="none" w:sz="0" w:space="0" w:color="auto"/>
            <w:left w:val="none" w:sz="0" w:space="0" w:color="auto"/>
            <w:bottom w:val="none" w:sz="0" w:space="0" w:color="auto"/>
            <w:right w:val="none" w:sz="0" w:space="0" w:color="auto"/>
          </w:divBdr>
        </w:div>
        <w:div w:id="2024702060">
          <w:marLeft w:val="0"/>
          <w:marRight w:val="0"/>
          <w:marTop w:val="0"/>
          <w:marBottom w:val="0"/>
          <w:divBdr>
            <w:top w:val="none" w:sz="0" w:space="0" w:color="auto"/>
            <w:left w:val="none" w:sz="0" w:space="0" w:color="auto"/>
            <w:bottom w:val="none" w:sz="0" w:space="0" w:color="auto"/>
            <w:right w:val="none" w:sz="0" w:space="0" w:color="auto"/>
          </w:divBdr>
        </w:div>
        <w:div w:id="2024702061">
          <w:marLeft w:val="0"/>
          <w:marRight w:val="0"/>
          <w:marTop w:val="0"/>
          <w:marBottom w:val="0"/>
          <w:divBdr>
            <w:top w:val="none" w:sz="0" w:space="0" w:color="auto"/>
            <w:left w:val="none" w:sz="0" w:space="0" w:color="auto"/>
            <w:bottom w:val="none" w:sz="0" w:space="0" w:color="auto"/>
            <w:right w:val="none" w:sz="0" w:space="0" w:color="auto"/>
          </w:divBdr>
        </w:div>
        <w:div w:id="2024702062">
          <w:marLeft w:val="0"/>
          <w:marRight w:val="0"/>
          <w:marTop w:val="0"/>
          <w:marBottom w:val="0"/>
          <w:divBdr>
            <w:top w:val="none" w:sz="0" w:space="0" w:color="auto"/>
            <w:left w:val="none" w:sz="0" w:space="0" w:color="auto"/>
            <w:bottom w:val="none" w:sz="0" w:space="0" w:color="auto"/>
            <w:right w:val="none" w:sz="0" w:space="0" w:color="auto"/>
          </w:divBdr>
        </w:div>
        <w:div w:id="2024702063">
          <w:marLeft w:val="0"/>
          <w:marRight w:val="0"/>
          <w:marTop w:val="0"/>
          <w:marBottom w:val="0"/>
          <w:divBdr>
            <w:top w:val="none" w:sz="0" w:space="0" w:color="auto"/>
            <w:left w:val="none" w:sz="0" w:space="0" w:color="auto"/>
            <w:bottom w:val="none" w:sz="0" w:space="0" w:color="auto"/>
            <w:right w:val="none" w:sz="0" w:space="0" w:color="auto"/>
          </w:divBdr>
        </w:div>
        <w:div w:id="2024702064">
          <w:marLeft w:val="0"/>
          <w:marRight w:val="0"/>
          <w:marTop w:val="0"/>
          <w:marBottom w:val="0"/>
          <w:divBdr>
            <w:top w:val="none" w:sz="0" w:space="0" w:color="auto"/>
            <w:left w:val="none" w:sz="0" w:space="0" w:color="auto"/>
            <w:bottom w:val="none" w:sz="0" w:space="0" w:color="auto"/>
            <w:right w:val="none" w:sz="0" w:space="0" w:color="auto"/>
          </w:divBdr>
        </w:div>
        <w:div w:id="2024702065">
          <w:marLeft w:val="0"/>
          <w:marRight w:val="0"/>
          <w:marTop w:val="0"/>
          <w:marBottom w:val="0"/>
          <w:divBdr>
            <w:top w:val="none" w:sz="0" w:space="0" w:color="auto"/>
            <w:left w:val="none" w:sz="0" w:space="0" w:color="auto"/>
            <w:bottom w:val="none" w:sz="0" w:space="0" w:color="auto"/>
            <w:right w:val="none" w:sz="0" w:space="0" w:color="auto"/>
          </w:divBdr>
        </w:div>
        <w:div w:id="2024702066">
          <w:marLeft w:val="0"/>
          <w:marRight w:val="0"/>
          <w:marTop w:val="0"/>
          <w:marBottom w:val="0"/>
          <w:divBdr>
            <w:top w:val="none" w:sz="0" w:space="0" w:color="auto"/>
            <w:left w:val="none" w:sz="0" w:space="0" w:color="auto"/>
            <w:bottom w:val="none" w:sz="0" w:space="0" w:color="auto"/>
            <w:right w:val="none" w:sz="0" w:space="0" w:color="auto"/>
          </w:divBdr>
        </w:div>
        <w:div w:id="2024702067">
          <w:marLeft w:val="0"/>
          <w:marRight w:val="0"/>
          <w:marTop w:val="0"/>
          <w:marBottom w:val="0"/>
          <w:divBdr>
            <w:top w:val="none" w:sz="0" w:space="0" w:color="auto"/>
            <w:left w:val="none" w:sz="0" w:space="0" w:color="auto"/>
            <w:bottom w:val="none" w:sz="0" w:space="0" w:color="auto"/>
            <w:right w:val="none" w:sz="0" w:space="0" w:color="auto"/>
          </w:divBdr>
        </w:div>
        <w:div w:id="2024702068">
          <w:marLeft w:val="0"/>
          <w:marRight w:val="0"/>
          <w:marTop w:val="0"/>
          <w:marBottom w:val="0"/>
          <w:divBdr>
            <w:top w:val="none" w:sz="0" w:space="0" w:color="auto"/>
            <w:left w:val="none" w:sz="0" w:space="0" w:color="auto"/>
            <w:bottom w:val="none" w:sz="0" w:space="0" w:color="auto"/>
            <w:right w:val="none" w:sz="0" w:space="0" w:color="auto"/>
          </w:divBdr>
        </w:div>
        <w:div w:id="2024702069">
          <w:marLeft w:val="0"/>
          <w:marRight w:val="0"/>
          <w:marTop w:val="0"/>
          <w:marBottom w:val="0"/>
          <w:divBdr>
            <w:top w:val="none" w:sz="0" w:space="0" w:color="auto"/>
            <w:left w:val="none" w:sz="0" w:space="0" w:color="auto"/>
            <w:bottom w:val="none" w:sz="0" w:space="0" w:color="auto"/>
            <w:right w:val="none" w:sz="0" w:space="0" w:color="auto"/>
          </w:divBdr>
        </w:div>
        <w:div w:id="2024702070">
          <w:marLeft w:val="0"/>
          <w:marRight w:val="0"/>
          <w:marTop w:val="0"/>
          <w:marBottom w:val="0"/>
          <w:divBdr>
            <w:top w:val="none" w:sz="0" w:space="0" w:color="auto"/>
            <w:left w:val="none" w:sz="0" w:space="0" w:color="auto"/>
            <w:bottom w:val="none" w:sz="0" w:space="0" w:color="auto"/>
            <w:right w:val="none" w:sz="0" w:space="0" w:color="auto"/>
          </w:divBdr>
        </w:div>
        <w:div w:id="2024702071">
          <w:marLeft w:val="0"/>
          <w:marRight w:val="0"/>
          <w:marTop w:val="0"/>
          <w:marBottom w:val="0"/>
          <w:divBdr>
            <w:top w:val="none" w:sz="0" w:space="0" w:color="auto"/>
            <w:left w:val="none" w:sz="0" w:space="0" w:color="auto"/>
            <w:bottom w:val="none" w:sz="0" w:space="0" w:color="auto"/>
            <w:right w:val="none" w:sz="0" w:space="0" w:color="auto"/>
          </w:divBdr>
        </w:div>
        <w:div w:id="2024702072">
          <w:marLeft w:val="0"/>
          <w:marRight w:val="0"/>
          <w:marTop w:val="0"/>
          <w:marBottom w:val="0"/>
          <w:divBdr>
            <w:top w:val="none" w:sz="0" w:space="0" w:color="auto"/>
            <w:left w:val="none" w:sz="0" w:space="0" w:color="auto"/>
            <w:bottom w:val="none" w:sz="0" w:space="0" w:color="auto"/>
            <w:right w:val="none" w:sz="0" w:space="0" w:color="auto"/>
          </w:divBdr>
        </w:div>
        <w:div w:id="2024702073">
          <w:marLeft w:val="0"/>
          <w:marRight w:val="0"/>
          <w:marTop w:val="0"/>
          <w:marBottom w:val="0"/>
          <w:divBdr>
            <w:top w:val="none" w:sz="0" w:space="0" w:color="auto"/>
            <w:left w:val="none" w:sz="0" w:space="0" w:color="auto"/>
            <w:bottom w:val="none" w:sz="0" w:space="0" w:color="auto"/>
            <w:right w:val="none" w:sz="0" w:space="0" w:color="auto"/>
          </w:divBdr>
        </w:div>
        <w:div w:id="2024702074">
          <w:marLeft w:val="0"/>
          <w:marRight w:val="0"/>
          <w:marTop w:val="0"/>
          <w:marBottom w:val="0"/>
          <w:divBdr>
            <w:top w:val="none" w:sz="0" w:space="0" w:color="auto"/>
            <w:left w:val="none" w:sz="0" w:space="0" w:color="auto"/>
            <w:bottom w:val="none" w:sz="0" w:space="0" w:color="auto"/>
            <w:right w:val="none" w:sz="0" w:space="0" w:color="auto"/>
          </w:divBdr>
        </w:div>
        <w:div w:id="2024702075">
          <w:marLeft w:val="0"/>
          <w:marRight w:val="0"/>
          <w:marTop w:val="0"/>
          <w:marBottom w:val="0"/>
          <w:divBdr>
            <w:top w:val="none" w:sz="0" w:space="0" w:color="auto"/>
            <w:left w:val="none" w:sz="0" w:space="0" w:color="auto"/>
            <w:bottom w:val="none" w:sz="0" w:space="0" w:color="auto"/>
            <w:right w:val="none" w:sz="0" w:space="0" w:color="auto"/>
          </w:divBdr>
        </w:div>
        <w:div w:id="2024702076">
          <w:marLeft w:val="0"/>
          <w:marRight w:val="0"/>
          <w:marTop w:val="0"/>
          <w:marBottom w:val="0"/>
          <w:divBdr>
            <w:top w:val="none" w:sz="0" w:space="0" w:color="auto"/>
            <w:left w:val="none" w:sz="0" w:space="0" w:color="auto"/>
            <w:bottom w:val="none" w:sz="0" w:space="0" w:color="auto"/>
            <w:right w:val="none" w:sz="0" w:space="0" w:color="auto"/>
          </w:divBdr>
        </w:div>
        <w:div w:id="2024702077">
          <w:marLeft w:val="0"/>
          <w:marRight w:val="0"/>
          <w:marTop w:val="0"/>
          <w:marBottom w:val="0"/>
          <w:divBdr>
            <w:top w:val="none" w:sz="0" w:space="0" w:color="auto"/>
            <w:left w:val="none" w:sz="0" w:space="0" w:color="auto"/>
            <w:bottom w:val="none" w:sz="0" w:space="0" w:color="auto"/>
            <w:right w:val="none" w:sz="0" w:space="0" w:color="auto"/>
          </w:divBdr>
        </w:div>
        <w:div w:id="2024702078">
          <w:marLeft w:val="0"/>
          <w:marRight w:val="0"/>
          <w:marTop w:val="0"/>
          <w:marBottom w:val="0"/>
          <w:divBdr>
            <w:top w:val="none" w:sz="0" w:space="0" w:color="auto"/>
            <w:left w:val="none" w:sz="0" w:space="0" w:color="auto"/>
            <w:bottom w:val="none" w:sz="0" w:space="0" w:color="auto"/>
            <w:right w:val="none" w:sz="0" w:space="0" w:color="auto"/>
          </w:divBdr>
        </w:div>
        <w:div w:id="2024702079">
          <w:marLeft w:val="0"/>
          <w:marRight w:val="0"/>
          <w:marTop w:val="0"/>
          <w:marBottom w:val="0"/>
          <w:divBdr>
            <w:top w:val="none" w:sz="0" w:space="0" w:color="auto"/>
            <w:left w:val="none" w:sz="0" w:space="0" w:color="auto"/>
            <w:bottom w:val="none" w:sz="0" w:space="0" w:color="auto"/>
            <w:right w:val="none" w:sz="0" w:space="0" w:color="auto"/>
          </w:divBdr>
        </w:div>
        <w:div w:id="2024702080">
          <w:marLeft w:val="0"/>
          <w:marRight w:val="0"/>
          <w:marTop w:val="0"/>
          <w:marBottom w:val="0"/>
          <w:divBdr>
            <w:top w:val="none" w:sz="0" w:space="0" w:color="auto"/>
            <w:left w:val="none" w:sz="0" w:space="0" w:color="auto"/>
            <w:bottom w:val="none" w:sz="0" w:space="0" w:color="auto"/>
            <w:right w:val="none" w:sz="0" w:space="0" w:color="auto"/>
          </w:divBdr>
        </w:div>
        <w:div w:id="2024702081">
          <w:marLeft w:val="0"/>
          <w:marRight w:val="0"/>
          <w:marTop w:val="0"/>
          <w:marBottom w:val="0"/>
          <w:divBdr>
            <w:top w:val="none" w:sz="0" w:space="0" w:color="auto"/>
            <w:left w:val="none" w:sz="0" w:space="0" w:color="auto"/>
            <w:bottom w:val="none" w:sz="0" w:space="0" w:color="auto"/>
            <w:right w:val="none" w:sz="0" w:space="0" w:color="auto"/>
          </w:divBdr>
        </w:div>
        <w:div w:id="2024702082">
          <w:marLeft w:val="0"/>
          <w:marRight w:val="0"/>
          <w:marTop w:val="0"/>
          <w:marBottom w:val="0"/>
          <w:divBdr>
            <w:top w:val="none" w:sz="0" w:space="0" w:color="auto"/>
            <w:left w:val="none" w:sz="0" w:space="0" w:color="auto"/>
            <w:bottom w:val="none" w:sz="0" w:space="0" w:color="auto"/>
            <w:right w:val="none" w:sz="0" w:space="0" w:color="auto"/>
          </w:divBdr>
        </w:div>
        <w:div w:id="2024702083">
          <w:marLeft w:val="0"/>
          <w:marRight w:val="0"/>
          <w:marTop w:val="0"/>
          <w:marBottom w:val="0"/>
          <w:divBdr>
            <w:top w:val="none" w:sz="0" w:space="0" w:color="auto"/>
            <w:left w:val="none" w:sz="0" w:space="0" w:color="auto"/>
            <w:bottom w:val="none" w:sz="0" w:space="0" w:color="auto"/>
            <w:right w:val="none" w:sz="0" w:space="0" w:color="auto"/>
          </w:divBdr>
        </w:div>
        <w:div w:id="2024702084">
          <w:marLeft w:val="0"/>
          <w:marRight w:val="0"/>
          <w:marTop w:val="0"/>
          <w:marBottom w:val="0"/>
          <w:divBdr>
            <w:top w:val="none" w:sz="0" w:space="0" w:color="auto"/>
            <w:left w:val="none" w:sz="0" w:space="0" w:color="auto"/>
            <w:bottom w:val="none" w:sz="0" w:space="0" w:color="auto"/>
            <w:right w:val="none" w:sz="0" w:space="0" w:color="auto"/>
          </w:divBdr>
        </w:div>
        <w:div w:id="2024702085">
          <w:marLeft w:val="0"/>
          <w:marRight w:val="0"/>
          <w:marTop w:val="0"/>
          <w:marBottom w:val="0"/>
          <w:divBdr>
            <w:top w:val="none" w:sz="0" w:space="0" w:color="auto"/>
            <w:left w:val="none" w:sz="0" w:space="0" w:color="auto"/>
            <w:bottom w:val="none" w:sz="0" w:space="0" w:color="auto"/>
            <w:right w:val="none" w:sz="0" w:space="0" w:color="auto"/>
          </w:divBdr>
        </w:div>
        <w:div w:id="2024702086">
          <w:marLeft w:val="0"/>
          <w:marRight w:val="0"/>
          <w:marTop w:val="0"/>
          <w:marBottom w:val="0"/>
          <w:divBdr>
            <w:top w:val="none" w:sz="0" w:space="0" w:color="auto"/>
            <w:left w:val="none" w:sz="0" w:space="0" w:color="auto"/>
            <w:bottom w:val="none" w:sz="0" w:space="0" w:color="auto"/>
            <w:right w:val="none" w:sz="0" w:space="0" w:color="auto"/>
          </w:divBdr>
        </w:div>
        <w:div w:id="2024702087">
          <w:marLeft w:val="0"/>
          <w:marRight w:val="0"/>
          <w:marTop w:val="0"/>
          <w:marBottom w:val="0"/>
          <w:divBdr>
            <w:top w:val="none" w:sz="0" w:space="0" w:color="auto"/>
            <w:left w:val="none" w:sz="0" w:space="0" w:color="auto"/>
            <w:bottom w:val="none" w:sz="0" w:space="0" w:color="auto"/>
            <w:right w:val="none" w:sz="0" w:space="0" w:color="auto"/>
          </w:divBdr>
        </w:div>
        <w:div w:id="2024702088">
          <w:marLeft w:val="0"/>
          <w:marRight w:val="0"/>
          <w:marTop w:val="0"/>
          <w:marBottom w:val="0"/>
          <w:divBdr>
            <w:top w:val="none" w:sz="0" w:space="0" w:color="auto"/>
            <w:left w:val="none" w:sz="0" w:space="0" w:color="auto"/>
            <w:bottom w:val="none" w:sz="0" w:space="0" w:color="auto"/>
            <w:right w:val="none" w:sz="0" w:space="0" w:color="auto"/>
          </w:divBdr>
        </w:div>
        <w:div w:id="2024702089">
          <w:marLeft w:val="0"/>
          <w:marRight w:val="0"/>
          <w:marTop w:val="0"/>
          <w:marBottom w:val="0"/>
          <w:divBdr>
            <w:top w:val="none" w:sz="0" w:space="0" w:color="auto"/>
            <w:left w:val="none" w:sz="0" w:space="0" w:color="auto"/>
            <w:bottom w:val="none" w:sz="0" w:space="0" w:color="auto"/>
            <w:right w:val="none" w:sz="0" w:space="0" w:color="auto"/>
          </w:divBdr>
        </w:div>
        <w:div w:id="2024702090">
          <w:marLeft w:val="0"/>
          <w:marRight w:val="0"/>
          <w:marTop w:val="0"/>
          <w:marBottom w:val="0"/>
          <w:divBdr>
            <w:top w:val="none" w:sz="0" w:space="0" w:color="auto"/>
            <w:left w:val="none" w:sz="0" w:space="0" w:color="auto"/>
            <w:bottom w:val="none" w:sz="0" w:space="0" w:color="auto"/>
            <w:right w:val="none" w:sz="0" w:space="0" w:color="auto"/>
          </w:divBdr>
        </w:div>
        <w:div w:id="2024702091">
          <w:marLeft w:val="0"/>
          <w:marRight w:val="0"/>
          <w:marTop w:val="0"/>
          <w:marBottom w:val="0"/>
          <w:divBdr>
            <w:top w:val="none" w:sz="0" w:space="0" w:color="auto"/>
            <w:left w:val="none" w:sz="0" w:space="0" w:color="auto"/>
            <w:bottom w:val="none" w:sz="0" w:space="0" w:color="auto"/>
            <w:right w:val="none" w:sz="0" w:space="0" w:color="auto"/>
          </w:divBdr>
        </w:div>
        <w:div w:id="2024702092">
          <w:marLeft w:val="0"/>
          <w:marRight w:val="0"/>
          <w:marTop w:val="0"/>
          <w:marBottom w:val="0"/>
          <w:divBdr>
            <w:top w:val="none" w:sz="0" w:space="0" w:color="auto"/>
            <w:left w:val="none" w:sz="0" w:space="0" w:color="auto"/>
            <w:bottom w:val="none" w:sz="0" w:space="0" w:color="auto"/>
            <w:right w:val="none" w:sz="0" w:space="0" w:color="auto"/>
          </w:divBdr>
        </w:div>
        <w:div w:id="2024702093">
          <w:marLeft w:val="0"/>
          <w:marRight w:val="0"/>
          <w:marTop w:val="0"/>
          <w:marBottom w:val="0"/>
          <w:divBdr>
            <w:top w:val="none" w:sz="0" w:space="0" w:color="auto"/>
            <w:left w:val="none" w:sz="0" w:space="0" w:color="auto"/>
            <w:bottom w:val="none" w:sz="0" w:space="0" w:color="auto"/>
            <w:right w:val="none" w:sz="0" w:space="0" w:color="auto"/>
          </w:divBdr>
        </w:div>
        <w:div w:id="2024702094">
          <w:marLeft w:val="0"/>
          <w:marRight w:val="0"/>
          <w:marTop w:val="0"/>
          <w:marBottom w:val="0"/>
          <w:divBdr>
            <w:top w:val="none" w:sz="0" w:space="0" w:color="auto"/>
            <w:left w:val="none" w:sz="0" w:space="0" w:color="auto"/>
            <w:bottom w:val="none" w:sz="0" w:space="0" w:color="auto"/>
            <w:right w:val="none" w:sz="0" w:space="0" w:color="auto"/>
          </w:divBdr>
        </w:div>
        <w:div w:id="2024702095">
          <w:marLeft w:val="0"/>
          <w:marRight w:val="0"/>
          <w:marTop w:val="0"/>
          <w:marBottom w:val="0"/>
          <w:divBdr>
            <w:top w:val="none" w:sz="0" w:space="0" w:color="auto"/>
            <w:left w:val="none" w:sz="0" w:space="0" w:color="auto"/>
            <w:bottom w:val="none" w:sz="0" w:space="0" w:color="auto"/>
            <w:right w:val="none" w:sz="0" w:space="0" w:color="auto"/>
          </w:divBdr>
        </w:div>
        <w:div w:id="2024702096">
          <w:marLeft w:val="0"/>
          <w:marRight w:val="0"/>
          <w:marTop w:val="0"/>
          <w:marBottom w:val="0"/>
          <w:divBdr>
            <w:top w:val="none" w:sz="0" w:space="0" w:color="auto"/>
            <w:left w:val="none" w:sz="0" w:space="0" w:color="auto"/>
            <w:bottom w:val="none" w:sz="0" w:space="0" w:color="auto"/>
            <w:right w:val="none" w:sz="0" w:space="0" w:color="auto"/>
          </w:divBdr>
        </w:div>
        <w:div w:id="2024702097">
          <w:marLeft w:val="0"/>
          <w:marRight w:val="0"/>
          <w:marTop w:val="0"/>
          <w:marBottom w:val="0"/>
          <w:divBdr>
            <w:top w:val="none" w:sz="0" w:space="0" w:color="auto"/>
            <w:left w:val="none" w:sz="0" w:space="0" w:color="auto"/>
            <w:bottom w:val="none" w:sz="0" w:space="0" w:color="auto"/>
            <w:right w:val="none" w:sz="0" w:space="0" w:color="auto"/>
          </w:divBdr>
        </w:div>
        <w:div w:id="2024702098">
          <w:marLeft w:val="0"/>
          <w:marRight w:val="0"/>
          <w:marTop w:val="0"/>
          <w:marBottom w:val="0"/>
          <w:divBdr>
            <w:top w:val="none" w:sz="0" w:space="0" w:color="auto"/>
            <w:left w:val="none" w:sz="0" w:space="0" w:color="auto"/>
            <w:bottom w:val="none" w:sz="0" w:space="0" w:color="auto"/>
            <w:right w:val="none" w:sz="0" w:space="0" w:color="auto"/>
          </w:divBdr>
        </w:div>
        <w:div w:id="2024702099">
          <w:marLeft w:val="0"/>
          <w:marRight w:val="0"/>
          <w:marTop w:val="0"/>
          <w:marBottom w:val="0"/>
          <w:divBdr>
            <w:top w:val="none" w:sz="0" w:space="0" w:color="auto"/>
            <w:left w:val="none" w:sz="0" w:space="0" w:color="auto"/>
            <w:bottom w:val="none" w:sz="0" w:space="0" w:color="auto"/>
            <w:right w:val="none" w:sz="0" w:space="0" w:color="auto"/>
          </w:divBdr>
        </w:div>
        <w:div w:id="2024702100">
          <w:marLeft w:val="0"/>
          <w:marRight w:val="0"/>
          <w:marTop w:val="0"/>
          <w:marBottom w:val="0"/>
          <w:divBdr>
            <w:top w:val="none" w:sz="0" w:space="0" w:color="auto"/>
            <w:left w:val="none" w:sz="0" w:space="0" w:color="auto"/>
            <w:bottom w:val="none" w:sz="0" w:space="0" w:color="auto"/>
            <w:right w:val="none" w:sz="0" w:space="0" w:color="auto"/>
          </w:divBdr>
        </w:div>
        <w:div w:id="2024702101">
          <w:marLeft w:val="0"/>
          <w:marRight w:val="0"/>
          <w:marTop w:val="0"/>
          <w:marBottom w:val="0"/>
          <w:divBdr>
            <w:top w:val="none" w:sz="0" w:space="0" w:color="auto"/>
            <w:left w:val="none" w:sz="0" w:space="0" w:color="auto"/>
            <w:bottom w:val="none" w:sz="0" w:space="0" w:color="auto"/>
            <w:right w:val="none" w:sz="0" w:space="0" w:color="auto"/>
          </w:divBdr>
        </w:div>
        <w:div w:id="2024702102">
          <w:marLeft w:val="0"/>
          <w:marRight w:val="0"/>
          <w:marTop w:val="0"/>
          <w:marBottom w:val="0"/>
          <w:divBdr>
            <w:top w:val="none" w:sz="0" w:space="0" w:color="auto"/>
            <w:left w:val="none" w:sz="0" w:space="0" w:color="auto"/>
            <w:bottom w:val="none" w:sz="0" w:space="0" w:color="auto"/>
            <w:right w:val="none" w:sz="0" w:space="0" w:color="auto"/>
          </w:divBdr>
        </w:div>
        <w:div w:id="2024702103">
          <w:marLeft w:val="0"/>
          <w:marRight w:val="0"/>
          <w:marTop w:val="0"/>
          <w:marBottom w:val="0"/>
          <w:divBdr>
            <w:top w:val="none" w:sz="0" w:space="0" w:color="auto"/>
            <w:left w:val="none" w:sz="0" w:space="0" w:color="auto"/>
            <w:bottom w:val="none" w:sz="0" w:space="0" w:color="auto"/>
            <w:right w:val="none" w:sz="0" w:space="0" w:color="auto"/>
          </w:divBdr>
        </w:div>
        <w:div w:id="2024702105">
          <w:marLeft w:val="0"/>
          <w:marRight w:val="0"/>
          <w:marTop w:val="0"/>
          <w:marBottom w:val="0"/>
          <w:divBdr>
            <w:top w:val="none" w:sz="0" w:space="0" w:color="auto"/>
            <w:left w:val="none" w:sz="0" w:space="0" w:color="auto"/>
            <w:bottom w:val="none" w:sz="0" w:space="0" w:color="auto"/>
            <w:right w:val="none" w:sz="0" w:space="0" w:color="auto"/>
          </w:divBdr>
        </w:div>
        <w:div w:id="2024702106">
          <w:marLeft w:val="0"/>
          <w:marRight w:val="0"/>
          <w:marTop w:val="0"/>
          <w:marBottom w:val="0"/>
          <w:divBdr>
            <w:top w:val="none" w:sz="0" w:space="0" w:color="auto"/>
            <w:left w:val="none" w:sz="0" w:space="0" w:color="auto"/>
            <w:bottom w:val="none" w:sz="0" w:space="0" w:color="auto"/>
            <w:right w:val="none" w:sz="0" w:space="0" w:color="auto"/>
          </w:divBdr>
        </w:div>
        <w:div w:id="2024702107">
          <w:marLeft w:val="0"/>
          <w:marRight w:val="0"/>
          <w:marTop w:val="0"/>
          <w:marBottom w:val="0"/>
          <w:divBdr>
            <w:top w:val="none" w:sz="0" w:space="0" w:color="auto"/>
            <w:left w:val="none" w:sz="0" w:space="0" w:color="auto"/>
            <w:bottom w:val="none" w:sz="0" w:space="0" w:color="auto"/>
            <w:right w:val="none" w:sz="0" w:space="0" w:color="auto"/>
          </w:divBdr>
        </w:div>
        <w:div w:id="2024702108">
          <w:marLeft w:val="0"/>
          <w:marRight w:val="0"/>
          <w:marTop w:val="0"/>
          <w:marBottom w:val="0"/>
          <w:divBdr>
            <w:top w:val="none" w:sz="0" w:space="0" w:color="auto"/>
            <w:left w:val="none" w:sz="0" w:space="0" w:color="auto"/>
            <w:bottom w:val="none" w:sz="0" w:space="0" w:color="auto"/>
            <w:right w:val="none" w:sz="0" w:space="0" w:color="auto"/>
          </w:divBdr>
        </w:div>
        <w:div w:id="2024702109">
          <w:marLeft w:val="0"/>
          <w:marRight w:val="0"/>
          <w:marTop w:val="0"/>
          <w:marBottom w:val="0"/>
          <w:divBdr>
            <w:top w:val="none" w:sz="0" w:space="0" w:color="auto"/>
            <w:left w:val="none" w:sz="0" w:space="0" w:color="auto"/>
            <w:bottom w:val="none" w:sz="0" w:space="0" w:color="auto"/>
            <w:right w:val="none" w:sz="0" w:space="0" w:color="auto"/>
          </w:divBdr>
        </w:div>
        <w:div w:id="2024702110">
          <w:marLeft w:val="0"/>
          <w:marRight w:val="0"/>
          <w:marTop w:val="0"/>
          <w:marBottom w:val="0"/>
          <w:divBdr>
            <w:top w:val="none" w:sz="0" w:space="0" w:color="auto"/>
            <w:left w:val="none" w:sz="0" w:space="0" w:color="auto"/>
            <w:bottom w:val="none" w:sz="0" w:space="0" w:color="auto"/>
            <w:right w:val="none" w:sz="0" w:space="0" w:color="auto"/>
          </w:divBdr>
        </w:div>
        <w:div w:id="2024702111">
          <w:marLeft w:val="0"/>
          <w:marRight w:val="0"/>
          <w:marTop w:val="0"/>
          <w:marBottom w:val="0"/>
          <w:divBdr>
            <w:top w:val="none" w:sz="0" w:space="0" w:color="auto"/>
            <w:left w:val="none" w:sz="0" w:space="0" w:color="auto"/>
            <w:bottom w:val="none" w:sz="0" w:space="0" w:color="auto"/>
            <w:right w:val="none" w:sz="0" w:space="0" w:color="auto"/>
          </w:divBdr>
        </w:div>
        <w:div w:id="2024702112">
          <w:marLeft w:val="0"/>
          <w:marRight w:val="0"/>
          <w:marTop w:val="0"/>
          <w:marBottom w:val="0"/>
          <w:divBdr>
            <w:top w:val="none" w:sz="0" w:space="0" w:color="auto"/>
            <w:left w:val="none" w:sz="0" w:space="0" w:color="auto"/>
            <w:bottom w:val="none" w:sz="0" w:space="0" w:color="auto"/>
            <w:right w:val="none" w:sz="0" w:space="0" w:color="auto"/>
          </w:divBdr>
        </w:div>
        <w:div w:id="2024702113">
          <w:marLeft w:val="0"/>
          <w:marRight w:val="0"/>
          <w:marTop w:val="0"/>
          <w:marBottom w:val="0"/>
          <w:divBdr>
            <w:top w:val="none" w:sz="0" w:space="0" w:color="auto"/>
            <w:left w:val="none" w:sz="0" w:space="0" w:color="auto"/>
            <w:bottom w:val="none" w:sz="0" w:space="0" w:color="auto"/>
            <w:right w:val="none" w:sz="0" w:space="0" w:color="auto"/>
          </w:divBdr>
        </w:div>
        <w:div w:id="2024702114">
          <w:marLeft w:val="0"/>
          <w:marRight w:val="0"/>
          <w:marTop w:val="0"/>
          <w:marBottom w:val="0"/>
          <w:divBdr>
            <w:top w:val="none" w:sz="0" w:space="0" w:color="auto"/>
            <w:left w:val="none" w:sz="0" w:space="0" w:color="auto"/>
            <w:bottom w:val="none" w:sz="0" w:space="0" w:color="auto"/>
            <w:right w:val="none" w:sz="0" w:space="0" w:color="auto"/>
          </w:divBdr>
        </w:div>
        <w:div w:id="2024702115">
          <w:marLeft w:val="0"/>
          <w:marRight w:val="0"/>
          <w:marTop w:val="0"/>
          <w:marBottom w:val="0"/>
          <w:divBdr>
            <w:top w:val="none" w:sz="0" w:space="0" w:color="auto"/>
            <w:left w:val="none" w:sz="0" w:space="0" w:color="auto"/>
            <w:bottom w:val="none" w:sz="0" w:space="0" w:color="auto"/>
            <w:right w:val="none" w:sz="0" w:space="0" w:color="auto"/>
          </w:divBdr>
        </w:div>
        <w:div w:id="2024702116">
          <w:marLeft w:val="0"/>
          <w:marRight w:val="0"/>
          <w:marTop w:val="0"/>
          <w:marBottom w:val="0"/>
          <w:divBdr>
            <w:top w:val="none" w:sz="0" w:space="0" w:color="auto"/>
            <w:left w:val="none" w:sz="0" w:space="0" w:color="auto"/>
            <w:bottom w:val="none" w:sz="0" w:space="0" w:color="auto"/>
            <w:right w:val="none" w:sz="0" w:space="0" w:color="auto"/>
          </w:divBdr>
        </w:div>
        <w:div w:id="2024702117">
          <w:marLeft w:val="0"/>
          <w:marRight w:val="0"/>
          <w:marTop w:val="0"/>
          <w:marBottom w:val="0"/>
          <w:divBdr>
            <w:top w:val="none" w:sz="0" w:space="0" w:color="auto"/>
            <w:left w:val="none" w:sz="0" w:space="0" w:color="auto"/>
            <w:bottom w:val="none" w:sz="0" w:space="0" w:color="auto"/>
            <w:right w:val="none" w:sz="0" w:space="0" w:color="auto"/>
          </w:divBdr>
        </w:div>
        <w:div w:id="2024702118">
          <w:marLeft w:val="0"/>
          <w:marRight w:val="0"/>
          <w:marTop w:val="0"/>
          <w:marBottom w:val="0"/>
          <w:divBdr>
            <w:top w:val="none" w:sz="0" w:space="0" w:color="auto"/>
            <w:left w:val="none" w:sz="0" w:space="0" w:color="auto"/>
            <w:bottom w:val="none" w:sz="0" w:space="0" w:color="auto"/>
            <w:right w:val="none" w:sz="0" w:space="0" w:color="auto"/>
          </w:divBdr>
        </w:div>
        <w:div w:id="2024702120">
          <w:marLeft w:val="0"/>
          <w:marRight w:val="0"/>
          <w:marTop w:val="0"/>
          <w:marBottom w:val="0"/>
          <w:divBdr>
            <w:top w:val="none" w:sz="0" w:space="0" w:color="auto"/>
            <w:left w:val="none" w:sz="0" w:space="0" w:color="auto"/>
            <w:bottom w:val="none" w:sz="0" w:space="0" w:color="auto"/>
            <w:right w:val="none" w:sz="0" w:space="0" w:color="auto"/>
          </w:divBdr>
        </w:div>
        <w:div w:id="2024702121">
          <w:marLeft w:val="0"/>
          <w:marRight w:val="0"/>
          <w:marTop w:val="0"/>
          <w:marBottom w:val="0"/>
          <w:divBdr>
            <w:top w:val="none" w:sz="0" w:space="0" w:color="auto"/>
            <w:left w:val="none" w:sz="0" w:space="0" w:color="auto"/>
            <w:bottom w:val="none" w:sz="0" w:space="0" w:color="auto"/>
            <w:right w:val="none" w:sz="0" w:space="0" w:color="auto"/>
          </w:divBdr>
        </w:div>
        <w:div w:id="2024702122">
          <w:marLeft w:val="0"/>
          <w:marRight w:val="0"/>
          <w:marTop w:val="0"/>
          <w:marBottom w:val="0"/>
          <w:divBdr>
            <w:top w:val="none" w:sz="0" w:space="0" w:color="auto"/>
            <w:left w:val="none" w:sz="0" w:space="0" w:color="auto"/>
            <w:bottom w:val="none" w:sz="0" w:space="0" w:color="auto"/>
            <w:right w:val="none" w:sz="0" w:space="0" w:color="auto"/>
          </w:divBdr>
        </w:div>
        <w:div w:id="2024702123">
          <w:marLeft w:val="0"/>
          <w:marRight w:val="0"/>
          <w:marTop w:val="0"/>
          <w:marBottom w:val="0"/>
          <w:divBdr>
            <w:top w:val="none" w:sz="0" w:space="0" w:color="auto"/>
            <w:left w:val="none" w:sz="0" w:space="0" w:color="auto"/>
            <w:bottom w:val="none" w:sz="0" w:space="0" w:color="auto"/>
            <w:right w:val="none" w:sz="0" w:space="0" w:color="auto"/>
          </w:divBdr>
        </w:div>
        <w:div w:id="2024702124">
          <w:marLeft w:val="0"/>
          <w:marRight w:val="0"/>
          <w:marTop w:val="0"/>
          <w:marBottom w:val="0"/>
          <w:divBdr>
            <w:top w:val="none" w:sz="0" w:space="0" w:color="auto"/>
            <w:left w:val="none" w:sz="0" w:space="0" w:color="auto"/>
            <w:bottom w:val="none" w:sz="0" w:space="0" w:color="auto"/>
            <w:right w:val="none" w:sz="0" w:space="0" w:color="auto"/>
          </w:divBdr>
        </w:div>
        <w:div w:id="2024702125">
          <w:marLeft w:val="0"/>
          <w:marRight w:val="0"/>
          <w:marTop w:val="0"/>
          <w:marBottom w:val="0"/>
          <w:divBdr>
            <w:top w:val="none" w:sz="0" w:space="0" w:color="auto"/>
            <w:left w:val="none" w:sz="0" w:space="0" w:color="auto"/>
            <w:bottom w:val="none" w:sz="0" w:space="0" w:color="auto"/>
            <w:right w:val="none" w:sz="0" w:space="0" w:color="auto"/>
          </w:divBdr>
        </w:div>
        <w:div w:id="2024702126">
          <w:marLeft w:val="0"/>
          <w:marRight w:val="0"/>
          <w:marTop w:val="0"/>
          <w:marBottom w:val="0"/>
          <w:divBdr>
            <w:top w:val="none" w:sz="0" w:space="0" w:color="auto"/>
            <w:left w:val="none" w:sz="0" w:space="0" w:color="auto"/>
            <w:bottom w:val="none" w:sz="0" w:space="0" w:color="auto"/>
            <w:right w:val="none" w:sz="0" w:space="0" w:color="auto"/>
          </w:divBdr>
        </w:div>
        <w:div w:id="2024702127">
          <w:marLeft w:val="0"/>
          <w:marRight w:val="0"/>
          <w:marTop w:val="0"/>
          <w:marBottom w:val="0"/>
          <w:divBdr>
            <w:top w:val="none" w:sz="0" w:space="0" w:color="auto"/>
            <w:left w:val="none" w:sz="0" w:space="0" w:color="auto"/>
            <w:bottom w:val="none" w:sz="0" w:space="0" w:color="auto"/>
            <w:right w:val="none" w:sz="0" w:space="0" w:color="auto"/>
          </w:divBdr>
        </w:div>
        <w:div w:id="2024702128">
          <w:marLeft w:val="0"/>
          <w:marRight w:val="0"/>
          <w:marTop w:val="0"/>
          <w:marBottom w:val="0"/>
          <w:divBdr>
            <w:top w:val="none" w:sz="0" w:space="0" w:color="auto"/>
            <w:left w:val="none" w:sz="0" w:space="0" w:color="auto"/>
            <w:bottom w:val="none" w:sz="0" w:space="0" w:color="auto"/>
            <w:right w:val="none" w:sz="0" w:space="0" w:color="auto"/>
          </w:divBdr>
        </w:div>
        <w:div w:id="2024702130">
          <w:marLeft w:val="0"/>
          <w:marRight w:val="0"/>
          <w:marTop w:val="0"/>
          <w:marBottom w:val="0"/>
          <w:divBdr>
            <w:top w:val="none" w:sz="0" w:space="0" w:color="auto"/>
            <w:left w:val="none" w:sz="0" w:space="0" w:color="auto"/>
            <w:bottom w:val="none" w:sz="0" w:space="0" w:color="auto"/>
            <w:right w:val="none" w:sz="0" w:space="0" w:color="auto"/>
          </w:divBdr>
        </w:div>
        <w:div w:id="2024702131">
          <w:marLeft w:val="0"/>
          <w:marRight w:val="0"/>
          <w:marTop w:val="0"/>
          <w:marBottom w:val="0"/>
          <w:divBdr>
            <w:top w:val="none" w:sz="0" w:space="0" w:color="auto"/>
            <w:left w:val="none" w:sz="0" w:space="0" w:color="auto"/>
            <w:bottom w:val="none" w:sz="0" w:space="0" w:color="auto"/>
            <w:right w:val="none" w:sz="0" w:space="0" w:color="auto"/>
          </w:divBdr>
        </w:div>
        <w:div w:id="2024702132">
          <w:marLeft w:val="0"/>
          <w:marRight w:val="0"/>
          <w:marTop w:val="0"/>
          <w:marBottom w:val="0"/>
          <w:divBdr>
            <w:top w:val="none" w:sz="0" w:space="0" w:color="auto"/>
            <w:left w:val="none" w:sz="0" w:space="0" w:color="auto"/>
            <w:bottom w:val="none" w:sz="0" w:space="0" w:color="auto"/>
            <w:right w:val="none" w:sz="0" w:space="0" w:color="auto"/>
          </w:divBdr>
        </w:div>
        <w:div w:id="2024702133">
          <w:marLeft w:val="0"/>
          <w:marRight w:val="0"/>
          <w:marTop w:val="0"/>
          <w:marBottom w:val="0"/>
          <w:divBdr>
            <w:top w:val="none" w:sz="0" w:space="0" w:color="auto"/>
            <w:left w:val="none" w:sz="0" w:space="0" w:color="auto"/>
            <w:bottom w:val="none" w:sz="0" w:space="0" w:color="auto"/>
            <w:right w:val="none" w:sz="0" w:space="0" w:color="auto"/>
          </w:divBdr>
        </w:div>
        <w:div w:id="2024702134">
          <w:marLeft w:val="0"/>
          <w:marRight w:val="0"/>
          <w:marTop w:val="0"/>
          <w:marBottom w:val="0"/>
          <w:divBdr>
            <w:top w:val="none" w:sz="0" w:space="0" w:color="auto"/>
            <w:left w:val="none" w:sz="0" w:space="0" w:color="auto"/>
            <w:bottom w:val="none" w:sz="0" w:space="0" w:color="auto"/>
            <w:right w:val="none" w:sz="0" w:space="0" w:color="auto"/>
          </w:divBdr>
        </w:div>
        <w:div w:id="2024702135">
          <w:marLeft w:val="0"/>
          <w:marRight w:val="0"/>
          <w:marTop w:val="0"/>
          <w:marBottom w:val="0"/>
          <w:divBdr>
            <w:top w:val="none" w:sz="0" w:space="0" w:color="auto"/>
            <w:left w:val="none" w:sz="0" w:space="0" w:color="auto"/>
            <w:bottom w:val="none" w:sz="0" w:space="0" w:color="auto"/>
            <w:right w:val="none" w:sz="0" w:space="0" w:color="auto"/>
          </w:divBdr>
        </w:div>
        <w:div w:id="2024702136">
          <w:marLeft w:val="0"/>
          <w:marRight w:val="0"/>
          <w:marTop w:val="0"/>
          <w:marBottom w:val="0"/>
          <w:divBdr>
            <w:top w:val="none" w:sz="0" w:space="0" w:color="auto"/>
            <w:left w:val="none" w:sz="0" w:space="0" w:color="auto"/>
            <w:bottom w:val="none" w:sz="0" w:space="0" w:color="auto"/>
            <w:right w:val="none" w:sz="0" w:space="0" w:color="auto"/>
          </w:divBdr>
        </w:div>
        <w:div w:id="2024702137">
          <w:marLeft w:val="0"/>
          <w:marRight w:val="0"/>
          <w:marTop w:val="0"/>
          <w:marBottom w:val="0"/>
          <w:divBdr>
            <w:top w:val="none" w:sz="0" w:space="0" w:color="auto"/>
            <w:left w:val="none" w:sz="0" w:space="0" w:color="auto"/>
            <w:bottom w:val="none" w:sz="0" w:space="0" w:color="auto"/>
            <w:right w:val="none" w:sz="0" w:space="0" w:color="auto"/>
          </w:divBdr>
        </w:div>
        <w:div w:id="2024702138">
          <w:marLeft w:val="0"/>
          <w:marRight w:val="0"/>
          <w:marTop w:val="0"/>
          <w:marBottom w:val="0"/>
          <w:divBdr>
            <w:top w:val="none" w:sz="0" w:space="0" w:color="auto"/>
            <w:left w:val="none" w:sz="0" w:space="0" w:color="auto"/>
            <w:bottom w:val="none" w:sz="0" w:space="0" w:color="auto"/>
            <w:right w:val="none" w:sz="0" w:space="0" w:color="auto"/>
          </w:divBdr>
        </w:div>
        <w:div w:id="2024702139">
          <w:marLeft w:val="0"/>
          <w:marRight w:val="0"/>
          <w:marTop w:val="0"/>
          <w:marBottom w:val="0"/>
          <w:divBdr>
            <w:top w:val="none" w:sz="0" w:space="0" w:color="auto"/>
            <w:left w:val="none" w:sz="0" w:space="0" w:color="auto"/>
            <w:bottom w:val="none" w:sz="0" w:space="0" w:color="auto"/>
            <w:right w:val="none" w:sz="0" w:space="0" w:color="auto"/>
          </w:divBdr>
        </w:div>
        <w:div w:id="2024702140">
          <w:marLeft w:val="0"/>
          <w:marRight w:val="0"/>
          <w:marTop w:val="0"/>
          <w:marBottom w:val="0"/>
          <w:divBdr>
            <w:top w:val="none" w:sz="0" w:space="0" w:color="auto"/>
            <w:left w:val="none" w:sz="0" w:space="0" w:color="auto"/>
            <w:bottom w:val="none" w:sz="0" w:space="0" w:color="auto"/>
            <w:right w:val="none" w:sz="0" w:space="0" w:color="auto"/>
          </w:divBdr>
        </w:div>
        <w:div w:id="2024702141">
          <w:marLeft w:val="0"/>
          <w:marRight w:val="0"/>
          <w:marTop w:val="0"/>
          <w:marBottom w:val="0"/>
          <w:divBdr>
            <w:top w:val="none" w:sz="0" w:space="0" w:color="auto"/>
            <w:left w:val="none" w:sz="0" w:space="0" w:color="auto"/>
            <w:bottom w:val="none" w:sz="0" w:space="0" w:color="auto"/>
            <w:right w:val="none" w:sz="0" w:space="0" w:color="auto"/>
          </w:divBdr>
        </w:div>
        <w:div w:id="2024702142">
          <w:marLeft w:val="0"/>
          <w:marRight w:val="0"/>
          <w:marTop w:val="0"/>
          <w:marBottom w:val="0"/>
          <w:divBdr>
            <w:top w:val="none" w:sz="0" w:space="0" w:color="auto"/>
            <w:left w:val="none" w:sz="0" w:space="0" w:color="auto"/>
            <w:bottom w:val="none" w:sz="0" w:space="0" w:color="auto"/>
            <w:right w:val="none" w:sz="0" w:space="0" w:color="auto"/>
          </w:divBdr>
        </w:div>
        <w:div w:id="2024702143">
          <w:marLeft w:val="0"/>
          <w:marRight w:val="0"/>
          <w:marTop w:val="0"/>
          <w:marBottom w:val="0"/>
          <w:divBdr>
            <w:top w:val="none" w:sz="0" w:space="0" w:color="auto"/>
            <w:left w:val="none" w:sz="0" w:space="0" w:color="auto"/>
            <w:bottom w:val="none" w:sz="0" w:space="0" w:color="auto"/>
            <w:right w:val="none" w:sz="0" w:space="0" w:color="auto"/>
          </w:divBdr>
        </w:div>
        <w:div w:id="2024702144">
          <w:marLeft w:val="0"/>
          <w:marRight w:val="0"/>
          <w:marTop w:val="0"/>
          <w:marBottom w:val="0"/>
          <w:divBdr>
            <w:top w:val="none" w:sz="0" w:space="0" w:color="auto"/>
            <w:left w:val="none" w:sz="0" w:space="0" w:color="auto"/>
            <w:bottom w:val="none" w:sz="0" w:space="0" w:color="auto"/>
            <w:right w:val="none" w:sz="0" w:space="0" w:color="auto"/>
          </w:divBdr>
        </w:div>
        <w:div w:id="2024702145">
          <w:marLeft w:val="0"/>
          <w:marRight w:val="0"/>
          <w:marTop w:val="0"/>
          <w:marBottom w:val="0"/>
          <w:divBdr>
            <w:top w:val="none" w:sz="0" w:space="0" w:color="auto"/>
            <w:left w:val="none" w:sz="0" w:space="0" w:color="auto"/>
            <w:bottom w:val="none" w:sz="0" w:space="0" w:color="auto"/>
            <w:right w:val="none" w:sz="0" w:space="0" w:color="auto"/>
          </w:divBdr>
        </w:div>
        <w:div w:id="2024702146">
          <w:marLeft w:val="0"/>
          <w:marRight w:val="0"/>
          <w:marTop w:val="0"/>
          <w:marBottom w:val="0"/>
          <w:divBdr>
            <w:top w:val="none" w:sz="0" w:space="0" w:color="auto"/>
            <w:left w:val="none" w:sz="0" w:space="0" w:color="auto"/>
            <w:bottom w:val="none" w:sz="0" w:space="0" w:color="auto"/>
            <w:right w:val="none" w:sz="0" w:space="0" w:color="auto"/>
          </w:divBdr>
        </w:div>
        <w:div w:id="2024702147">
          <w:marLeft w:val="0"/>
          <w:marRight w:val="0"/>
          <w:marTop w:val="0"/>
          <w:marBottom w:val="0"/>
          <w:divBdr>
            <w:top w:val="none" w:sz="0" w:space="0" w:color="auto"/>
            <w:left w:val="none" w:sz="0" w:space="0" w:color="auto"/>
            <w:bottom w:val="none" w:sz="0" w:space="0" w:color="auto"/>
            <w:right w:val="none" w:sz="0" w:space="0" w:color="auto"/>
          </w:divBdr>
        </w:div>
        <w:div w:id="2024702148">
          <w:marLeft w:val="0"/>
          <w:marRight w:val="0"/>
          <w:marTop w:val="0"/>
          <w:marBottom w:val="0"/>
          <w:divBdr>
            <w:top w:val="none" w:sz="0" w:space="0" w:color="auto"/>
            <w:left w:val="none" w:sz="0" w:space="0" w:color="auto"/>
            <w:bottom w:val="none" w:sz="0" w:space="0" w:color="auto"/>
            <w:right w:val="none" w:sz="0" w:space="0" w:color="auto"/>
          </w:divBdr>
        </w:div>
        <w:div w:id="2024702149">
          <w:marLeft w:val="0"/>
          <w:marRight w:val="0"/>
          <w:marTop w:val="0"/>
          <w:marBottom w:val="0"/>
          <w:divBdr>
            <w:top w:val="none" w:sz="0" w:space="0" w:color="auto"/>
            <w:left w:val="none" w:sz="0" w:space="0" w:color="auto"/>
            <w:bottom w:val="none" w:sz="0" w:space="0" w:color="auto"/>
            <w:right w:val="none" w:sz="0" w:space="0" w:color="auto"/>
          </w:divBdr>
        </w:div>
        <w:div w:id="2024702150">
          <w:marLeft w:val="0"/>
          <w:marRight w:val="0"/>
          <w:marTop w:val="0"/>
          <w:marBottom w:val="0"/>
          <w:divBdr>
            <w:top w:val="none" w:sz="0" w:space="0" w:color="auto"/>
            <w:left w:val="none" w:sz="0" w:space="0" w:color="auto"/>
            <w:bottom w:val="none" w:sz="0" w:space="0" w:color="auto"/>
            <w:right w:val="none" w:sz="0" w:space="0" w:color="auto"/>
          </w:divBdr>
        </w:div>
        <w:div w:id="2024702151">
          <w:marLeft w:val="0"/>
          <w:marRight w:val="0"/>
          <w:marTop w:val="0"/>
          <w:marBottom w:val="0"/>
          <w:divBdr>
            <w:top w:val="none" w:sz="0" w:space="0" w:color="auto"/>
            <w:left w:val="none" w:sz="0" w:space="0" w:color="auto"/>
            <w:bottom w:val="none" w:sz="0" w:space="0" w:color="auto"/>
            <w:right w:val="none" w:sz="0" w:space="0" w:color="auto"/>
          </w:divBdr>
        </w:div>
        <w:div w:id="2024702152">
          <w:marLeft w:val="0"/>
          <w:marRight w:val="0"/>
          <w:marTop w:val="0"/>
          <w:marBottom w:val="0"/>
          <w:divBdr>
            <w:top w:val="none" w:sz="0" w:space="0" w:color="auto"/>
            <w:left w:val="none" w:sz="0" w:space="0" w:color="auto"/>
            <w:bottom w:val="none" w:sz="0" w:space="0" w:color="auto"/>
            <w:right w:val="none" w:sz="0" w:space="0" w:color="auto"/>
          </w:divBdr>
        </w:div>
        <w:div w:id="2024702153">
          <w:marLeft w:val="0"/>
          <w:marRight w:val="0"/>
          <w:marTop w:val="0"/>
          <w:marBottom w:val="0"/>
          <w:divBdr>
            <w:top w:val="none" w:sz="0" w:space="0" w:color="auto"/>
            <w:left w:val="none" w:sz="0" w:space="0" w:color="auto"/>
            <w:bottom w:val="none" w:sz="0" w:space="0" w:color="auto"/>
            <w:right w:val="none" w:sz="0" w:space="0" w:color="auto"/>
          </w:divBdr>
        </w:div>
        <w:div w:id="2024702154">
          <w:marLeft w:val="0"/>
          <w:marRight w:val="0"/>
          <w:marTop w:val="0"/>
          <w:marBottom w:val="0"/>
          <w:divBdr>
            <w:top w:val="none" w:sz="0" w:space="0" w:color="auto"/>
            <w:left w:val="none" w:sz="0" w:space="0" w:color="auto"/>
            <w:bottom w:val="none" w:sz="0" w:space="0" w:color="auto"/>
            <w:right w:val="none" w:sz="0" w:space="0" w:color="auto"/>
          </w:divBdr>
        </w:div>
        <w:div w:id="2024702156">
          <w:marLeft w:val="0"/>
          <w:marRight w:val="0"/>
          <w:marTop w:val="0"/>
          <w:marBottom w:val="0"/>
          <w:divBdr>
            <w:top w:val="none" w:sz="0" w:space="0" w:color="auto"/>
            <w:left w:val="none" w:sz="0" w:space="0" w:color="auto"/>
            <w:bottom w:val="none" w:sz="0" w:space="0" w:color="auto"/>
            <w:right w:val="none" w:sz="0" w:space="0" w:color="auto"/>
          </w:divBdr>
        </w:div>
        <w:div w:id="2024702157">
          <w:marLeft w:val="0"/>
          <w:marRight w:val="0"/>
          <w:marTop w:val="0"/>
          <w:marBottom w:val="0"/>
          <w:divBdr>
            <w:top w:val="none" w:sz="0" w:space="0" w:color="auto"/>
            <w:left w:val="none" w:sz="0" w:space="0" w:color="auto"/>
            <w:bottom w:val="none" w:sz="0" w:space="0" w:color="auto"/>
            <w:right w:val="none" w:sz="0" w:space="0" w:color="auto"/>
          </w:divBdr>
        </w:div>
        <w:div w:id="2024702158">
          <w:marLeft w:val="0"/>
          <w:marRight w:val="0"/>
          <w:marTop w:val="0"/>
          <w:marBottom w:val="0"/>
          <w:divBdr>
            <w:top w:val="none" w:sz="0" w:space="0" w:color="auto"/>
            <w:left w:val="none" w:sz="0" w:space="0" w:color="auto"/>
            <w:bottom w:val="none" w:sz="0" w:space="0" w:color="auto"/>
            <w:right w:val="none" w:sz="0" w:space="0" w:color="auto"/>
          </w:divBdr>
        </w:div>
        <w:div w:id="2024702160">
          <w:marLeft w:val="0"/>
          <w:marRight w:val="0"/>
          <w:marTop w:val="0"/>
          <w:marBottom w:val="0"/>
          <w:divBdr>
            <w:top w:val="none" w:sz="0" w:space="0" w:color="auto"/>
            <w:left w:val="none" w:sz="0" w:space="0" w:color="auto"/>
            <w:bottom w:val="none" w:sz="0" w:space="0" w:color="auto"/>
            <w:right w:val="none" w:sz="0" w:space="0" w:color="auto"/>
          </w:divBdr>
        </w:div>
        <w:div w:id="2024702161">
          <w:marLeft w:val="0"/>
          <w:marRight w:val="0"/>
          <w:marTop w:val="0"/>
          <w:marBottom w:val="0"/>
          <w:divBdr>
            <w:top w:val="none" w:sz="0" w:space="0" w:color="auto"/>
            <w:left w:val="none" w:sz="0" w:space="0" w:color="auto"/>
            <w:bottom w:val="none" w:sz="0" w:space="0" w:color="auto"/>
            <w:right w:val="none" w:sz="0" w:space="0" w:color="auto"/>
          </w:divBdr>
        </w:div>
        <w:div w:id="2024702162">
          <w:marLeft w:val="0"/>
          <w:marRight w:val="0"/>
          <w:marTop w:val="0"/>
          <w:marBottom w:val="0"/>
          <w:divBdr>
            <w:top w:val="none" w:sz="0" w:space="0" w:color="auto"/>
            <w:left w:val="none" w:sz="0" w:space="0" w:color="auto"/>
            <w:bottom w:val="none" w:sz="0" w:space="0" w:color="auto"/>
            <w:right w:val="none" w:sz="0" w:space="0" w:color="auto"/>
          </w:divBdr>
        </w:div>
        <w:div w:id="2024702163">
          <w:marLeft w:val="0"/>
          <w:marRight w:val="0"/>
          <w:marTop w:val="0"/>
          <w:marBottom w:val="0"/>
          <w:divBdr>
            <w:top w:val="none" w:sz="0" w:space="0" w:color="auto"/>
            <w:left w:val="none" w:sz="0" w:space="0" w:color="auto"/>
            <w:bottom w:val="none" w:sz="0" w:space="0" w:color="auto"/>
            <w:right w:val="none" w:sz="0" w:space="0" w:color="auto"/>
          </w:divBdr>
        </w:div>
        <w:div w:id="2024702164">
          <w:marLeft w:val="0"/>
          <w:marRight w:val="0"/>
          <w:marTop w:val="0"/>
          <w:marBottom w:val="0"/>
          <w:divBdr>
            <w:top w:val="none" w:sz="0" w:space="0" w:color="auto"/>
            <w:left w:val="none" w:sz="0" w:space="0" w:color="auto"/>
            <w:bottom w:val="none" w:sz="0" w:space="0" w:color="auto"/>
            <w:right w:val="none" w:sz="0" w:space="0" w:color="auto"/>
          </w:divBdr>
        </w:div>
        <w:div w:id="2024702165">
          <w:marLeft w:val="0"/>
          <w:marRight w:val="0"/>
          <w:marTop w:val="0"/>
          <w:marBottom w:val="0"/>
          <w:divBdr>
            <w:top w:val="none" w:sz="0" w:space="0" w:color="auto"/>
            <w:left w:val="none" w:sz="0" w:space="0" w:color="auto"/>
            <w:bottom w:val="none" w:sz="0" w:space="0" w:color="auto"/>
            <w:right w:val="none" w:sz="0" w:space="0" w:color="auto"/>
          </w:divBdr>
        </w:div>
        <w:div w:id="2024702166">
          <w:marLeft w:val="0"/>
          <w:marRight w:val="0"/>
          <w:marTop w:val="0"/>
          <w:marBottom w:val="0"/>
          <w:divBdr>
            <w:top w:val="none" w:sz="0" w:space="0" w:color="auto"/>
            <w:left w:val="none" w:sz="0" w:space="0" w:color="auto"/>
            <w:bottom w:val="none" w:sz="0" w:space="0" w:color="auto"/>
            <w:right w:val="none" w:sz="0" w:space="0" w:color="auto"/>
          </w:divBdr>
        </w:div>
        <w:div w:id="2024702167">
          <w:marLeft w:val="0"/>
          <w:marRight w:val="0"/>
          <w:marTop w:val="0"/>
          <w:marBottom w:val="0"/>
          <w:divBdr>
            <w:top w:val="none" w:sz="0" w:space="0" w:color="auto"/>
            <w:left w:val="none" w:sz="0" w:space="0" w:color="auto"/>
            <w:bottom w:val="none" w:sz="0" w:space="0" w:color="auto"/>
            <w:right w:val="none" w:sz="0" w:space="0" w:color="auto"/>
          </w:divBdr>
        </w:div>
        <w:div w:id="2024702168">
          <w:marLeft w:val="0"/>
          <w:marRight w:val="0"/>
          <w:marTop w:val="0"/>
          <w:marBottom w:val="0"/>
          <w:divBdr>
            <w:top w:val="none" w:sz="0" w:space="0" w:color="auto"/>
            <w:left w:val="none" w:sz="0" w:space="0" w:color="auto"/>
            <w:bottom w:val="none" w:sz="0" w:space="0" w:color="auto"/>
            <w:right w:val="none" w:sz="0" w:space="0" w:color="auto"/>
          </w:divBdr>
        </w:div>
        <w:div w:id="2024702169">
          <w:marLeft w:val="0"/>
          <w:marRight w:val="0"/>
          <w:marTop w:val="0"/>
          <w:marBottom w:val="0"/>
          <w:divBdr>
            <w:top w:val="none" w:sz="0" w:space="0" w:color="auto"/>
            <w:left w:val="none" w:sz="0" w:space="0" w:color="auto"/>
            <w:bottom w:val="none" w:sz="0" w:space="0" w:color="auto"/>
            <w:right w:val="none" w:sz="0" w:space="0" w:color="auto"/>
          </w:divBdr>
        </w:div>
        <w:div w:id="2024702170">
          <w:marLeft w:val="0"/>
          <w:marRight w:val="0"/>
          <w:marTop w:val="0"/>
          <w:marBottom w:val="0"/>
          <w:divBdr>
            <w:top w:val="none" w:sz="0" w:space="0" w:color="auto"/>
            <w:left w:val="none" w:sz="0" w:space="0" w:color="auto"/>
            <w:bottom w:val="none" w:sz="0" w:space="0" w:color="auto"/>
            <w:right w:val="none" w:sz="0" w:space="0" w:color="auto"/>
          </w:divBdr>
        </w:div>
        <w:div w:id="2024702171">
          <w:marLeft w:val="0"/>
          <w:marRight w:val="0"/>
          <w:marTop w:val="0"/>
          <w:marBottom w:val="0"/>
          <w:divBdr>
            <w:top w:val="none" w:sz="0" w:space="0" w:color="auto"/>
            <w:left w:val="none" w:sz="0" w:space="0" w:color="auto"/>
            <w:bottom w:val="none" w:sz="0" w:space="0" w:color="auto"/>
            <w:right w:val="none" w:sz="0" w:space="0" w:color="auto"/>
          </w:divBdr>
        </w:div>
        <w:div w:id="2024702172">
          <w:marLeft w:val="0"/>
          <w:marRight w:val="0"/>
          <w:marTop w:val="0"/>
          <w:marBottom w:val="0"/>
          <w:divBdr>
            <w:top w:val="none" w:sz="0" w:space="0" w:color="auto"/>
            <w:left w:val="none" w:sz="0" w:space="0" w:color="auto"/>
            <w:bottom w:val="none" w:sz="0" w:space="0" w:color="auto"/>
            <w:right w:val="none" w:sz="0" w:space="0" w:color="auto"/>
          </w:divBdr>
        </w:div>
        <w:div w:id="2024702173">
          <w:marLeft w:val="0"/>
          <w:marRight w:val="0"/>
          <w:marTop w:val="0"/>
          <w:marBottom w:val="0"/>
          <w:divBdr>
            <w:top w:val="none" w:sz="0" w:space="0" w:color="auto"/>
            <w:left w:val="none" w:sz="0" w:space="0" w:color="auto"/>
            <w:bottom w:val="none" w:sz="0" w:space="0" w:color="auto"/>
            <w:right w:val="none" w:sz="0" w:space="0" w:color="auto"/>
          </w:divBdr>
        </w:div>
        <w:div w:id="2024702174">
          <w:marLeft w:val="0"/>
          <w:marRight w:val="0"/>
          <w:marTop w:val="0"/>
          <w:marBottom w:val="0"/>
          <w:divBdr>
            <w:top w:val="none" w:sz="0" w:space="0" w:color="auto"/>
            <w:left w:val="none" w:sz="0" w:space="0" w:color="auto"/>
            <w:bottom w:val="none" w:sz="0" w:space="0" w:color="auto"/>
            <w:right w:val="none" w:sz="0" w:space="0" w:color="auto"/>
          </w:divBdr>
        </w:div>
        <w:div w:id="2024702175">
          <w:marLeft w:val="0"/>
          <w:marRight w:val="0"/>
          <w:marTop w:val="0"/>
          <w:marBottom w:val="0"/>
          <w:divBdr>
            <w:top w:val="none" w:sz="0" w:space="0" w:color="auto"/>
            <w:left w:val="none" w:sz="0" w:space="0" w:color="auto"/>
            <w:bottom w:val="none" w:sz="0" w:space="0" w:color="auto"/>
            <w:right w:val="none" w:sz="0" w:space="0" w:color="auto"/>
          </w:divBdr>
        </w:div>
        <w:div w:id="2024702176">
          <w:marLeft w:val="0"/>
          <w:marRight w:val="0"/>
          <w:marTop w:val="0"/>
          <w:marBottom w:val="0"/>
          <w:divBdr>
            <w:top w:val="none" w:sz="0" w:space="0" w:color="auto"/>
            <w:left w:val="none" w:sz="0" w:space="0" w:color="auto"/>
            <w:bottom w:val="none" w:sz="0" w:space="0" w:color="auto"/>
            <w:right w:val="none" w:sz="0" w:space="0" w:color="auto"/>
          </w:divBdr>
        </w:div>
        <w:div w:id="2024702177">
          <w:marLeft w:val="0"/>
          <w:marRight w:val="0"/>
          <w:marTop w:val="0"/>
          <w:marBottom w:val="0"/>
          <w:divBdr>
            <w:top w:val="none" w:sz="0" w:space="0" w:color="auto"/>
            <w:left w:val="none" w:sz="0" w:space="0" w:color="auto"/>
            <w:bottom w:val="none" w:sz="0" w:space="0" w:color="auto"/>
            <w:right w:val="none" w:sz="0" w:space="0" w:color="auto"/>
          </w:divBdr>
        </w:div>
        <w:div w:id="2024702178">
          <w:marLeft w:val="0"/>
          <w:marRight w:val="0"/>
          <w:marTop w:val="0"/>
          <w:marBottom w:val="0"/>
          <w:divBdr>
            <w:top w:val="none" w:sz="0" w:space="0" w:color="auto"/>
            <w:left w:val="none" w:sz="0" w:space="0" w:color="auto"/>
            <w:bottom w:val="none" w:sz="0" w:space="0" w:color="auto"/>
            <w:right w:val="none" w:sz="0" w:space="0" w:color="auto"/>
          </w:divBdr>
        </w:div>
        <w:div w:id="2024702179">
          <w:marLeft w:val="0"/>
          <w:marRight w:val="0"/>
          <w:marTop w:val="0"/>
          <w:marBottom w:val="0"/>
          <w:divBdr>
            <w:top w:val="none" w:sz="0" w:space="0" w:color="auto"/>
            <w:left w:val="none" w:sz="0" w:space="0" w:color="auto"/>
            <w:bottom w:val="none" w:sz="0" w:space="0" w:color="auto"/>
            <w:right w:val="none" w:sz="0" w:space="0" w:color="auto"/>
          </w:divBdr>
        </w:div>
        <w:div w:id="2024702180">
          <w:marLeft w:val="0"/>
          <w:marRight w:val="0"/>
          <w:marTop w:val="0"/>
          <w:marBottom w:val="0"/>
          <w:divBdr>
            <w:top w:val="single" w:sz="6" w:space="9" w:color="EEEEEE"/>
            <w:left w:val="single" w:sz="6" w:space="9" w:color="EEEEEE"/>
            <w:bottom w:val="single" w:sz="6" w:space="9" w:color="EEEEEE"/>
            <w:right w:val="single" w:sz="6" w:space="9" w:color="EEEEEE"/>
          </w:divBdr>
        </w:div>
        <w:div w:id="2024702181">
          <w:marLeft w:val="0"/>
          <w:marRight w:val="0"/>
          <w:marTop w:val="0"/>
          <w:marBottom w:val="0"/>
          <w:divBdr>
            <w:top w:val="none" w:sz="0" w:space="0" w:color="auto"/>
            <w:left w:val="none" w:sz="0" w:space="0" w:color="auto"/>
            <w:bottom w:val="none" w:sz="0" w:space="0" w:color="auto"/>
            <w:right w:val="none" w:sz="0" w:space="0" w:color="auto"/>
          </w:divBdr>
        </w:div>
        <w:div w:id="2024702182">
          <w:marLeft w:val="0"/>
          <w:marRight w:val="0"/>
          <w:marTop w:val="0"/>
          <w:marBottom w:val="0"/>
          <w:divBdr>
            <w:top w:val="none" w:sz="0" w:space="0" w:color="auto"/>
            <w:left w:val="none" w:sz="0" w:space="0" w:color="auto"/>
            <w:bottom w:val="none" w:sz="0" w:space="0" w:color="auto"/>
            <w:right w:val="none" w:sz="0" w:space="0" w:color="auto"/>
          </w:divBdr>
        </w:div>
        <w:div w:id="2024702183">
          <w:marLeft w:val="0"/>
          <w:marRight w:val="0"/>
          <w:marTop w:val="0"/>
          <w:marBottom w:val="0"/>
          <w:divBdr>
            <w:top w:val="none" w:sz="0" w:space="0" w:color="auto"/>
            <w:left w:val="none" w:sz="0" w:space="0" w:color="auto"/>
            <w:bottom w:val="none" w:sz="0" w:space="0" w:color="auto"/>
            <w:right w:val="none" w:sz="0" w:space="0" w:color="auto"/>
          </w:divBdr>
        </w:div>
        <w:div w:id="2024702184">
          <w:marLeft w:val="0"/>
          <w:marRight w:val="0"/>
          <w:marTop w:val="0"/>
          <w:marBottom w:val="0"/>
          <w:divBdr>
            <w:top w:val="none" w:sz="0" w:space="0" w:color="auto"/>
            <w:left w:val="none" w:sz="0" w:space="0" w:color="auto"/>
            <w:bottom w:val="none" w:sz="0" w:space="0" w:color="auto"/>
            <w:right w:val="none" w:sz="0" w:space="0" w:color="auto"/>
          </w:divBdr>
        </w:div>
        <w:div w:id="2024702185">
          <w:marLeft w:val="0"/>
          <w:marRight w:val="0"/>
          <w:marTop w:val="0"/>
          <w:marBottom w:val="0"/>
          <w:divBdr>
            <w:top w:val="none" w:sz="0" w:space="0" w:color="auto"/>
            <w:left w:val="none" w:sz="0" w:space="0" w:color="auto"/>
            <w:bottom w:val="none" w:sz="0" w:space="0" w:color="auto"/>
            <w:right w:val="none" w:sz="0" w:space="0" w:color="auto"/>
          </w:divBdr>
        </w:div>
        <w:div w:id="2024702186">
          <w:marLeft w:val="0"/>
          <w:marRight w:val="0"/>
          <w:marTop w:val="0"/>
          <w:marBottom w:val="0"/>
          <w:divBdr>
            <w:top w:val="none" w:sz="0" w:space="0" w:color="auto"/>
            <w:left w:val="none" w:sz="0" w:space="0" w:color="auto"/>
            <w:bottom w:val="none" w:sz="0" w:space="0" w:color="auto"/>
            <w:right w:val="none" w:sz="0" w:space="0" w:color="auto"/>
          </w:divBdr>
        </w:div>
        <w:div w:id="2024702187">
          <w:marLeft w:val="0"/>
          <w:marRight w:val="0"/>
          <w:marTop w:val="0"/>
          <w:marBottom w:val="0"/>
          <w:divBdr>
            <w:top w:val="none" w:sz="0" w:space="0" w:color="auto"/>
            <w:left w:val="none" w:sz="0" w:space="0" w:color="auto"/>
            <w:bottom w:val="none" w:sz="0" w:space="0" w:color="auto"/>
            <w:right w:val="none" w:sz="0" w:space="0" w:color="auto"/>
          </w:divBdr>
        </w:div>
        <w:div w:id="2024702188">
          <w:marLeft w:val="0"/>
          <w:marRight w:val="0"/>
          <w:marTop w:val="0"/>
          <w:marBottom w:val="0"/>
          <w:divBdr>
            <w:top w:val="none" w:sz="0" w:space="0" w:color="auto"/>
            <w:left w:val="none" w:sz="0" w:space="0" w:color="auto"/>
            <w:bottom w:val="none" w:sz="0" w:space="0" w:color="auto"/>
            <w:right w:val="none" w:sz="0" w:space="0" w:color="auto"/>
          </w:divBdr>
        </w:div>
        <w:div w:id="2024702189">
          <w:marLeft w:val="0"/>
          <w:marRight w:val="0"/>
          <w:marTop w:val="0"/>
          <w:marBottom w:val="0"/>
          <w:divBdr>
            <w:top w:val="none" w:sz="0" w:space="0" w:color="auto"/>
            <w:left w:val="none" w:sz="0" w:space="0" w:color="auto"/>
            <w:bottom w:val="none" w:sz="0" w:space="0" w:color="auto"/>
            <w:right w:val="none" w:sz="0" w:space="0" w:color="auto"/>
          </w:divBdr>
        </w:div>
        <w:div w:id="2024702190">
          <w:marLeft w:val="0"/>
          <w:marRight w:val="0"/>
          <w:marTop w:val="0"/>
          <w:marBottom w:val="0"/>
          <w:divBdr>
            <w:top w:val="none" w:sz="0" w:space="0" w:color="auto"/>
            <w:left w:val="none" w:sz="0" w:space="0" w:color="auto"/>
            <w:bottom w:val="none" w:sz="0" w:space="0" w:color="auto"/>
            <w:right w:val="none" w:sz="0" w:space="0" w:color="auto"/>
          </w:divBdr>
        </w:div>
        <w:div w:id="2024702191">
          <w:marLeft w:val="0"/>
          <w:marRight w:val="0"/>
          <w:marTop w:val="0"/>
          <w:marBottom w:val="0"/>
          <w:divBdr>
            <w:top w:val="none" w:sz="0" w:space="0" w:color="auto"/>
            <w:left w:val="none" w:sz="0" w:space="0" w:color="auto"/>
            <w:bottom w:val="none" w:sz="0" w:space="0" w:color="auto"/>
            <w:right w:val="none" w:sz="0" w:space="0" w:color="auto"/>
          </w:divBdr>
        </w:div>
        <w:div w:id="2024702192">
          <w:marLeft w:val="0"/>
          <w:marRight w:val="0"/>
          <w:marTop w:val="0"/>
          <w:marBottom w:val="0"/>
          <w:divBdr>
            <w:top w:val="none" w:sz="0" w:space="0" w:color="auto"/>
            <w:left w:val="none" w:sz="0" w:space="0" w:color="auto"/>
            <w:bottom w:val="none" w:sz="0" w:space="0" w:color="auto"/>
            <w:right w:val="none" w:sz="0" w:space="0" w:color="auto"/>
          </w:divBdr>
        </w:div>
        <w:div w:id="2024702194">
          <w:marLeft w:val="0"/>
          <w:marRight w:val="0"/>
          <w:marTop w:val="0"/>
          <w:marBottom w:val="0"/>
          <w:divBdr>
            <w:top w:val="none" w:sz="0" w:space="0" w:color="auto"/>
            <w:left w:val="none" w:sz="0" w:space="0" w:color="auto"/>
            <w:bottom w:val="none" w:sz="0" w:space="0" w:color="auto"/>
            <w:right w:val="none" w:sz="0" w:space="0" w:color="auto"/>
          </w:divBdr>
        </w:div>
        <w:div w:id="2024702195">
          <w:marLeft w:val="0"/>
          <w:marRight w:val="0"/>
          <w:marTop w:val="0"/>
          <w:marBottom w:val="0"/>
          <w:divBdr>
            <w:top w:val="none" w:sz="0" w:space="0" w:color="auto"/>
            <w:left w:val="none" w:sz="0" w:space="0" w:color="auto"/>
            <w:bottom w:val="none" w:sz="0" w:space="0" w:color="auto"/>
            <w:right w:val="none" w:sz="0" w:space="0" w:color="auto"/>
          </w:divBdr>
        </w:div>
        <w:div w:id="2024702196">
          <w:marLeft w:val="0"/>
          <w:marRight w:val="0"/>
          <w:marTop w:val="0"/>
          <w:marBottom w:val="0"/>
          <w:divBdr>
            <w:top w:val="none" w:sz="0" w:space="0" w:color="auto"/>
            <w:left w:val="none" w:sz="0" w:space="0" w:color="auto"/>
            <w:bottom w:val="none" w:sz="0" w:space="0" w:color="auto"/>
            <w:right w:val="none" w:sz="0" w:space="0" w:color="auto"/>
          </w:divBdr>
        </w:div>
        <w:div w:id="2024702197">
          <w:marLeft w:val="0"/>
          <w:marRight w:val="0"/>
          <w:marTop w:val="0"/>
          <w:marBottom w:val="0"/>
          <w:divBdr>
            <w:top w:val="none" w:sz="0" w:space="0" w:color="auto"/>
            <w:left w:val="none" w:sz="0" w:space="0" w:color="auto"/>
            <w:bottom w:val="none" w:sz="0" w:space="0" w:color="auto"/>
            <w:right w:val="none" w:sz="0" w:space="0" w:color="auto"/>
          </w:divBdr>
        </w:div>
        <w:div w:id="2024702198">
          <w:marLeft w:val="0"/>
          <w:marRight w:val="0"/>
          <w:marTop w:val="0"/>
          <w:marBottom w:val="0"/>
          <w:divBdr>
            <w:top w:val="none" w:sz="0" w:space="0" w:color="auto"/>
            <w:left w:val="none" w:sz="0" w:space="0" w:color="auto"/>
            <w:bottom w:val="none" w:sz="0" w:space="0" w:color="auto"/>
            <w:right w:val="none" w:sz="0" w:space="0" w:color="auto"/>
          </w:divBdr>
        </w:div>
        <w:div w:id="2024702199">
          <w:marLeft w:val="0"/>
          <w:marRight w:val="0"/>
          <w:marTop w:val="0"/>
          <w:marBottom w:val="0"/>
          <w:divBdr>
            <w:top w:val="none" w:sz="0" w:space="0" w:color="auto"/>
            <w:left w:val="none" w:sz="0" w:space="0" w:color="auto"/>
            <w:bottom w:val="none" w:sz="0" w:space="0" w:color="auto"/>
            <w:right w:val="none" w:sz="0" w:space="0" w:color="auto"/>
          </w:divBdr>
        </w:div>
        <w:div w:id="2024702200">
          <w:marLeft w:val="0"/>
          <w:marRight w:val="0"/>
          <w:marTop w:val="0"/>
          <w:marBottom w:val="0"/>
          <w:divBdr>
            <w:top w:val="none" w:sz="0" w:space="0" w:color="auto"/>
            <w:left w:val="none" w:sz="0" w:space="0" w:color="auto"/>
            <w:bottom w:val="none" w:sz="0" w:space="0" w:color="auto"/>
            <w:right w:val="none" w:sz="0" w:space="0" w:color="auto"/>
          </w:divBdr>
        </w:div>
        <w:div w:id="2024702201">
          <w:marLeft w:val="0"/>
          <w:marRight w:val="0"/>
          <w:marTop w:val="0"/>
          <w:marBottom w:val="0"/>
          <w:divBdr>
            <w:top w:val="none" w:sz="0" w:space="0" w:color="auto"/>
            <w:left w:val="none" w:sz="0" w:space="0" w:color="auto"/>
            <w:bottom w:val="none" w:sz="0" w:space="0" w:color="auto"/>
            <w:right w:val="none" w:sz="0" w:space="0" w:color="auto"/>
          </w:divBdr>
        </w:div>
        <w:div w:id="2024702202">
          <w:marLeft w:val="0"/>
          <w:marRight w:val="0"/>
          <w:marTop w:val="0"/>
          <w:marBottom w:val="0"/>
          <w:divBdr>
            <w:top w:val="none" w:sz="0" w:space="0" w:color="auto"/>
            <w:left w:val="none" w:sz="0" w:space="0" w:color="auto"/>
            <w:bottom w:val="none" w:sz="0" w:space="0" w:color="auto"/>
            <w:right w:val="none" w:sz="0" w:space="0" w:color="auto"/>
          </w:divBdr>
        </w:div>
        <w:div w:id="2024702203">
          <w:marLeft w:val="0"/>
          <w:marRight w:val="0"/>
          <w:marTop w:val="0"/>
          <w:marBottom w:val="0"/>
          <w:divBdr>
            <w:top w:val="none" w:sz="0" w:space="0" w:color="auto"/>
            <w:left w:val="none" w:sz="0" w:space="0" w:color="auto"/>
            <w:bottom w:val="none" w:sz="0" w:space="0" w:color="auto"/>
            <w:right w:val="none" w:sz="0" w:space="0" w:color="auto"/>
          </w:divBdr>
        </w:div>
        <w:div w:id="2024702204">
          <w:marLeft w:val="0"/>
          <w:marRight w:val="0"/>
          <w:marTop w:val="0"/>
          <w:marBottom w:val="0"/>
          <w:divBdr>
            <w:top w:val="none" w:sz="0" w:space="0" w:color="auto"/>
            <w:left w:val="none" w:sz="0" w:space="0" w:color="auto"/>
            <w:bottom w:val="none" w:sz="0" w:space="0" w:color="auto"/>
            <w:right w:val="none" w:sz="0" w:space="0" w:color="auto"/>
          </w:divBdr>
        </w:div>
        <w:div w:id="2024702205">
          <w:marLeft w:val="0"/>
          <w:marRight w:val="0"/>
          <w:marTop w:val="0"/>
          <w:marBottom w:val="0"/>
          <w:divBdr>
            <w:top w:val="none" w:sz="0" w:space="0" w:color="auto"/>
            <w:left w:val="none" w:sz="0" w:space="0" w:color="auto"/>
            <w:bottom w:val="none" w:sz="0" w:space="0" w:color="auto"/>
            <w:right w:val="none" w:sz="0" w:space="0" w:color="auto"/>
          </w:divBdr>
        </w:div>
        <w:div w:id="2024702206">
          <w:marLeft w:val="0"/>
          <w:marRight w:val="0"/>
          <w:marTop w:val="0"/>
          <w:marBottom w:val="0"/>
          <w:divBdr>
            <w:top w:val="none" w:sz="0" w:space="0" w:color="auto"/>
            <w:left w:val="none" w:sz="0" w:space="0" w:color="auto"/>
            <w:bottom w:val="none" w:sz="0" w:space="0" w:color="auto"/>
            <w:right w:val="none" w:sz="0" w:space="0" w:color="auto"/>
          </w:divBdr>
        </w:div>
        <w:div w:id="2024702207">
          <w:marLeft w:val="0"/>
          <w:marRight w:val="0"/>
          <w:marTop w:val="0"/>
          <w:marBottom w:val="0"/>
          <w:divBdr>
            <w:top w:val="none" w:sz="0" w:space="0" w:color="auto"/>
            <w:left w:val="none" w:sz="0" w:space="0" w:color="auto"/>
            <w:bottom w:val="none" w:sz="0" w:space="0" w:color="auto"/>
            <w:right w:val="none" w:sz="0" w:space="0" w:color="auto"/>
          </w:divBdr>
        </w:div>
        <w:div w:id="2024702208">
          <w:marLeft w:val="0"/>
          <w:marRight w:val="0"/>
          <w:marTop w:val="0"/>
          <w:marBottom w:val="0"/>
          <w:divBdr>
            <w:top w:val="none" w:sz="0" w:space="0" w:color="auto"/>
            <w:left w:val="none" w:sz="0" w:space="0" w:color="auto"/>
            <w:bottom w:val="none" w:sz="0" w:space="0" w:color="auto"/>
            <w:right w:val="none" w:sz="0" w:space="0" w:color="auto"/>
          </w:divBdr>
        </w:div>
        <w:div w:id="2024702209">
          <w:marLeft w:val="0"/>
          <w:marRight w:val="0"/>
          <w:marTop w:val="0"/>
          <w:marBottom w:val="0"/>
          <w:divBdr>
            <w:top w:val="none" w:sz="0" w:space="0" w:color="auto"/>
            <w:left w:val="none" w:sz="0" w:space="0" w:color="auto"/>
            <w:bottom w:val="none" w:sz="0" w:space="0" w:color="auto"/>
            <w:right w:val="none" w:sz="0" w:space="0" w:color="auto"/>
          </w:divBdr>
        </w:div>
        <w:div w:id="2024702210">
          <w:marLeft w:val="0"/>
          <w:marRight w:val="0"/>
          <w:marTop w:val="0"/>
          <w:marBottom w:val="0"/>
          <w:divBdr>
            <w:top w:val="none" w:sz="0" w:space="0" w:color="auto"/>
            <w:left w:val="none" w:sz="0" w:space="0" w:color="auto"/>
            <w:bottom w:val="none" w:sz="0" w:space="0" w:color="auto"/>
            <w:right w:val="none" w:sz="0" w:space="0" w:color="auto"/>
          </w:divBdr>
        </w:div>
        <w:div w:id="2024702212">
          <w:marLeft w:val="0"/>
          <w:marRight w:val="0"/>
          <w:marTop w:val="0"/>
          <w:marBottom w:val="0"/>
          <w:divBdr>
            <w:top w:val="none" w:sz="0" w:space="0" w:color="auto"/>
            <w:left w:val="none" w:sz="0" w:space="0" w:color="auto"/>
            <w:bottom w:val="none" w:sz="0" w:space="0" w:color="auto"/>
            <w:right w:val="none" w:sz="0" w:space="0" w:color="auto"/>
          </w:divBdr>
        </w:div>
        <w:div w:id="2024702213">
          <w:marLeft w:val="0"/>
          <w:marRight w:val="0"/>
          <w:marTop w:val="0"/>
          <w:marBottom w:val="0"/>
          <w:divBdr>
            <w:top w:val="none" w:sz="0" w:space="0" w:color="auto"/>
            <w:left w:val="none" w:sz="0" w:space="0" w:color="auto"/>
            <w:bottom w:val="none" w:sz="0" w:space="0" w:color="auto"/>
            <w:right w:val="none" w:sz="0" w:space="0" w:color="auto"/>
          </w:divBdr>
        </w:div>
        <w:div w:id="2024702214">
          <w:marLeft w:val="0"/>
          <w:marRight w:val="0"/>
          <w:marTop w:val="0"/>
          <w:marBottom w:val="0"/>
          <w:divBdr>
            <w:top w:val="none" w:sz="0" w:space="0" w:color="auto"/>
            <w:left w:val="none" w:sz="0" w:space="0" w:color="auto"/>
            <w:bottom w:val="none" w:sz="0" w:space="0" w:color="auto"/>
            <w:right w:val="none" w:sz="0" w:space="0" w:color="auto"/>
          </w:divBdr>
        </w:div>
        <w:div w:id="2024702215">
          <w:marLeft w:val="0"/>
          <w:marRight w:val="0"/>
          <w:marTop w:val="0"/>
          <w:marBottom w:val="0"/>
          <w:divBdr>
            <w:top w:val="none" w:sz="0" w:space="0" w:color="auto"/>
            <w:left w:val="none" w:sz="0" w:space="0" w:color="auto"/>
            <w:bottom w:val="none" w:sz="0" w:space="0" w:color="auto"/>
            <w:right w:val="none" w:sz="0" w:space="0" w:color="auto"/>
          </w:divBdr>
        </w:div>
        <w:div w:id="2024702216">
          <w:marLeft w:val="0"/>
          <w:marRight w:val="0"/>
          <w:marTop w:val="0"/>
          <w:marBottom w:val="0"/>
          <w:divBdr>
            <w:top w:val="none" w:sz="0" w:space="0" w:color="auto"/>
            <w:left w:val="none" w:sz="0" w:space="0" w:color="auto"/>
            <w:bottom w:val="none" w:sz="0" w:space="0" w:color="auto"/>
            <w:right w:val="none" w:sz="0" w:space="0" w:color="auto"/>
          </w:divBdr>
        </w:div>
        <w:div w:id="2024702217">
          <w:marLeft w:val="0"/>
          <w:marRight w:val="0"/>
          <w:marTop w:val="0"/>
          <w:marBottom w:val="0"/>
          <w:divBdr>
            <w:top w:val="none" w:sz="0" w:space="0" w:color="auto"/>
            <w:left w:val="none" w:sz="0" w:space="0" w:color="auto"/>
            <w:bottom w:val="none" w:sz="0" w:space="0" w:color="auto"/>
            <w:right w:val="none" w:sz="0" w:space="0" w:color="auto"/>
          </w:divBdr>
        </w:div>
        <w:div w:id="2024702218">
          <w:marLeft w:val="0"/>
          <w:marRight w:val="0"/>
          <w:marTop w:val="0"/>
          <w:marBottom w:val="0"/>
          <w:divBdr>
            <w:top w:val="none" w:sz="0" w:space="0" w:color="auto"/>
            <w:left w:val="none" w:sz="0" w:space="0" w:color="auto"/>
            <w:bottom w:val="none" w:sz="0" w:space="0" w:color="auto"/>
            <w:right w:val="none" w:sz="0" w:space="0" w:color="auto"/>
          </w:divBdr>
        </w:div>
        <w:div w:id="2024702219">
          <w:marLeft w:val="0"/>
          <w:marRight w:val="0"/>
          <w:marTop w:val="0"/>
          <w:marBottom w:val="0"/>
          <w:divBdr>
            <w:top w:val="none" w:sz="0" w:space="0" w:color="auto"/>
            <w:left w:val="none" w:sz="0" w:space="0" w:color="auto"/>
            <w:bottom w:val="none" w:sz="0" w:space="0" w:color="auto"/>
            <w:right w:val="none" w:sz="0" w:space="0" w:color="auto"/>
          </w:divBdr>
        </w:div>
        <w:div w:id="2024702220">
          <w:marLeft w:val="0"/>
          <w:marRight w:val="0"/>
          <w:marTop w:val="0"/>
          <w:marBottom w:val="0"/>
          <w:divBdr>
            <w:top w:val="none" w:sz="0" w:space="0" w:color="auto"/>
            <w:left w:val="none" w:sz="0" w:space="0" w:color="auto"/>
            <w:bottom w:val="none" w:sz="0" w:space="0" w:color="auto"/>
            <w:right w:val="none" w:sz="0" w:space="0" w:color="auto"/>
          </w:divBdr>
        </w:div>
        <w:div w:id="2024702221">
          <w:marLeft w:val="0"/>
          <w:marRight w:val="0"/>
          <w:marTop w:val="0"/>
          <w:marBottom w:val="0"/>
          <w:divBdr>
            <w:top w:val="none" w:sz="0" w:space="0" w:color="auto"/>
            <w:left w:val="none" w:sz="0" w:space="0" w:color="auto"/>
            <w:bottom w:val="none" w:sz="0" w:space="0" w:color="auto"/>
            <w:right w:val="none" w:sz="0" w:space="0" w:color="auto"/>
          </w:divBdr>
        </w:div>
        <w:div w:id="2024702222">
          <w:marLeft w:val="0"/>
          <w:marRight w:val="0"/>
          <w:marTop w:val="0"/>
          <w:marBottom w:val="0"/>
          <w:divBdr>
            <w:top w:val="none" w:sz="0" w:space="0" w:color="auto"/>
            <w:left w:val="none" w:sz="0" w:space="0" w:color="auto"/>
            <w:bottom w:val="none" w:sz="0" w:space="0" w:color="auto"/>
            <w:right w:val="none" w:sz="0" w:space="0" w:color="auto"/>
          </w:divBdr>
        </w:div>
        <w:div w:id="2024702223">
          <w:marLeft w:val="0"/>
          <w:marRight w:val="0"/>
          <w:marTop w:val="0"/>
          <w:marBottom w:val="0"/>
          <w:divBdr>
            <w:top w:val="none" w:sz="0" w:space="0" w:color="auto"/>
            <w:left w:val="none" w:sz="0" w:space="0" w:color="auto"/>
            <w:bottom w:val="none" w:sz="0" w:space="0" w:color="auto"/>
            <w:right w:val="none" w:sz="0" w:space="0" w:color="auto"/>
          </w:divBdr>
        </w:div>
        <w:div w:id="2024702224">
          <w:marLeft w:val="0"/>
          <w:marRight w:val="0"/>
          <w:marTop w:val="0"/>
          <w:marBottom w:val="0"/>
          <w:divBdr>
            <w:top w:val="none" w:sz="0" w:space="0" w:color="auto"/>
            <w:left w:val="none" w:sz="0" w:space="0" w:color="auto"/>
            <w:bottom w:val="none" w:sz="0" w:space="0" w:color="auto"/>
            <w:right w:val="none" w:sz="0" w:space="0" w:color="auto"/>
          </w:divBdr>
        </w:div>
        <w:div w:id="2024702225">
          <w:marLeft w:val="0"/>
          <w:marRight w:val="0"/>
          <w:marTop w:val="0"/>
          <w:marBottom w:val="0"/>
          <w:divBdr>
            <w:top w:val="none" w:sz="0" w:space="0" w:color="auto"/>
            <w:left w:val="none" w:sz="0" w:space="0" w:color="auto"/>
            <w:bottom w:val="none" w:sz="0" w:space="0" w:color="auto"/>
            <w:right w:val="none" w:sz="0" w:space="0" w:color="auto"/>
          </w:divBdr>
        </w:div>
        <w:div w:id="2024702227">
          <w:marLeft w:val="0"/>
          <w:marRight w:val="0"/>
          <w:marTop w:val="0"/>
          <w:marBottom w:val="0"/>
          <w:divBdr>
            <w:top w:val="none" w:sz="0" w:space="0" w:color="auto"/>
            <w:left w:val="none" w:sz="0" w:space="0" w:color="auto"/>
            <w:bottom w:val="none" w:sz="0" w:space="0" w:color="auto"/>
            <w:right w:val="none" w:sz="0" w:space="0" w:color="auto"/>
          </w:divBdr>
        </w:div>
        <w:div w:id="2024702228">
          <w:marLeft w:val="0"/>
          <w:marRight w:val="0"/>
          <w:marTop w:val="0"/>
          <w:marBottom w:val="0"/>
          <w:divBdr>
            <w:top w:val="none" w:sz="0" w:space="0" w:color="auto"/>
            <w:left w:val="none" w:sz="0" w:space="0" w:color="auto"/>
            <w:bottom w:val="none" w:sz="0" w:space="0" w:color="auto"/>
            <w:right w:val="none" w:sz="0" w:space="0" w:color="auto"/>
          </w:divBdr>
        </w:div>
        <w:div w:id="2024702230">
          <w:marLeft w:val="0"/>
          <w:marRight w:val="0"/>
          <w:marTop w:val="0"/>
          <w:marBottom w:val="0"/>
          <w:divBdr>
            <w:top w:val="none" w:sz="0" w:space="0" w:color="auto"/>
            <w:left w:val="none" w:sz="0" w:space="0" w:color="auto"/>
            <w:bottom w:val="none" w:sz="0" w:space="0" w:color="auto"/>
            <w:right w:val="none" w:sz="0" w:space="0" w:color="auto"/>
          </w:divBdr>
        </w:div>
        <w:div w:id="2024702231">
          <w:marLeft w:val="0"/>
          <w:marRight w:val="0"/>
          <w:marTop w:val="0"/>
          <w:marBottom w:val="0"/>
          <w:divBdr>
            <w:top w:val="none" w:sz="0" w:space="0" w:color="auto"/>
            <w:left w:val="none" w:sz="0" w:space="0" w:color="auto"/>
            <w:bottom w:val="none" w:sz="0" w:space="0" w:color="auto"/>
            <w:right w:val="none" w:sz="0" w:space="0" w:color="auto"/>
          </w:divBdr>
        </w:div>
        <w:div w:id="2024702232">
          <w:marLeft w:val="0"/>
          <w:marRight w:val="0"/>
          <w:marTop w:val="0"/>
          <w:marBottom w:val="0"/>
          <w:divBdr>
            <w:top w:val="none" w:sz="0" w:space="0" w:color="auto"/>
            <w:left w:val="none" w:sz="0" w:space="0" w:color="auto"/>
            <w:bottom w:val="none" w:sz="0" w:space="0" w:color="auto"/>
            <w:right w:val="none" w:sz="0" w:space="0" w:color="auto"/>
          </w:divBdr>
        </w:div>
        <w:div w:id="2024702233">
          <w:marLeft w:val="0"/>
          <w:marRight w:val="0"/>
          <w:marTop w:val="0"/>
          <w:marBottom w:val="0"/>
          <w:divBdr>
            <w:top w:val="none" w:sz="0" w:space="0" w:color="auto"/>
            <w:left w:val="none" w:sz="0" w:space="0" w:color="auto"/>
            <w:bottom w:val="none" w:sz="0" w:space="0" w:color="auto"/>
            <w:right w:val="none" w:sz="0" w:space="0" w:color="auto"/>
          </w:divBdr>
        </w:div>
        <w:div w:id="2024702234">
          <w:marLeft w:val="0"/>
          <w:marRight w:val="0"/>
          <w:marTop w:val="0"/>
          <w:marBottom w:val="0"/>
          <w:divBdr>
            <w:top w:val="none" w:sz="0" w:space="0" w:color="auto"/>
            <w:left w:val="none" w:sz="0" w:space="0" w:color="auto"/>
            <w:bottom w:val="none" w:sz="0" w:space="0" w:color="auto"/>
            <w:right w:val="none" w:sz="0" w:space="0" w:color="auto"/>
          </w:divBdr>
        </w:div>
        <w:div w:id="2024702235">
          <w:marLeft w:val="0"/>
          <w:marRight w:val="0"/>
          <w:marTop w:val="0"/>
          <w:marBottom w:val="0"/>
          <w:divBdr>
            <w:top w:val="none" w:sz="0" w:space="0" w:color="auto"/>
            <w:left w:val="none" w:sz="0" w:space="0" w:color="auto"/>
            <w:bottom w:val="none" w:sz="0" w:space="0" w:color="auto"/>
            <w:right w:val="none" w:sz="0" w:space="0" w:color="auto"/>
          </w:divBdr>
        </w:div>
        <w:div w:id="2024702237">
          <w:marLeft w:val="0"/>
          <w:marRight w:val="0"/>
          <w:marTop w:val="0"/>
          <w:marBottom w:val="0"/>
          <w:divBdr>
            <w:top w:val="none" w:sz="0" w:space="0" w:color="auto"/>
            <w:left w:val="none" w:sz="0" w:space="0" w:color="auto"/>
            <w:bottom w:val="none" w:sz="0" w:space="0" w:color="auto"/>
            <w:right w:val="none" w:sz="0" w:space="0" w:color="auto"/>
          </w:divBdr>
        </w:div>
        <w:div w:id="2024702238">
          <w:marLeft w:val="0"/>
          <w:marRight w:val="0"/>
          <w:marTop w:val="0"/>
          <w:marBottom w:val="0"/>
          <w:divBdr>
            <w:top w:val="none" w:sz="0" w:space="0" w:color="auto"/>
            <w:left w:val="none" w:sz="0" w:space="0" w:color="auto"/>
            <w:bottom w:val="none" w:sz="0" w:space="0" w:color="auto"/>
            <w:right w:val="none" w:sz="0" w:space="0" w:color="auto"/>
          </w:divBdr>
        </w:div>
        <w:div w:id="2024702239">
          <w:marLeft w:val="0"/>
          <w:marRight w:val="0"/>
          <w:marTop w:val="0"/>
          <w:marBottom w:val="0"/>
          <w:divBdr>
            <w:top w:val="none" w:sz="0" w:space="0" w:color="auto"/>
            <w:left w:val="none" w:sz="0" w:space="0" w:color="auto"/>
            <w:bottom w:val="none" w:sz="0" w:space="0" w:color="auto"/>
            <w:right w:val="none" w:sz="0" w:space="0" w:color="auto"/>
          </w:divBdr>
        </w:div>
        <w:div w:id="2024702240">
          <w:marLeft w:val="0"/>
          <w:marRight w:val="0"/>
          <w:marTop w:val="0"/>
          <w:marBottom w:val="0"/>
          <w:divBdr>
            <w:top w:val="none" w:sz="0" w:space="0" w:color="auto"/>
            <w:left w:val="none" w:sz="0" w:space="0" w:color="auto"/>
            <w:bottom w:val="none" w:sz="0" w:space="0" w:color="auto"/>
            <w:right w:val="none" w:sz="0" w:space="0" w:color="auto"/>
          </w:divBdr>
        </w:div>
        <w:div w:id="2024702241">
          <w:marLeft w:val="0"/>
          <w:marRight w:val="0"/>
          <w:marTop w:val="0"/>
          <w:marBottom w:val="0"/>
          <w:divBdr>
            <w:top w:val="none" w:sz="0" w:space="0" w:color="auto"/>
            <w:left w:val="none" w:sz="0" w:space="0" w:color="auto"/>
            <w:bottom w:val="none" w:sz="0" w:space="0" w:color="auto"/>
            <w:right w:val="none" w:sz="0" w:space="0" w:color="auto"/>
          </w:divBdr>
        </w:div>
        <w:div w:id="2024702242">
          <w:marLeft w:val="0"/>
          <w:marRight w:val="0"/>
          <w:marTop w:val="0"/>
          <w:marBottom w:val="0"/>
          <w:divBdr>
            <w:top w:val="none" w:sz="0" w:space="0" w:color="auto"/>
            <w:left w:val="none" w:sz="0" w:space="0" w:color="auto"/>
            <w:bottom w:val="none" w:sz="0" w:space="0" w:color="auto"/>
            <w:right w:val="none" w:sz="0" w:space="0" w:color="auto"/>
          </w:divBdr>
        </w:div>
        <w:div w:id="2024702243">
          <w:marLeft w:val="0"/>
          <w:marRight w:val="0"/>
          <w:marTop w:val="0"/>
          <w:marBottom w:val="0"/>
          <w:divBdr>
            <w:top w:val="none" w:sz="0" w:space="0" w:color="auto"/>
            <w:left w:val="none" w:sz="0" w:space="0" w:color="auto"/>
            <w:bottom w:val="none" w:sz="0" w:space="0" w:color="auto"/>
            <w:right w:val="none" w:sz="0" w:space="0" w:color="auto"/>
          </w:divBdr>
        </w:div>
        <w:div w:id="2024702244">
          <w:marLeft w:val="0"/>
          <w:marRight w:val="0"/>
          <w:marTop w:val="0"/>
          <w:marBottom w:val="0"/>
          <w:divBdr>
            <w:top w:val="none" w:sz="0" w:space="0" w:color="auto"/>
            <w:left w:val="none" w:sz="0" w:space="0" w:color="auto"/>
            <w:bottom w:val="none" w:sz="0" w:space="0" w:color="auto"/>
            <w:right w:val="none" w:sz="0" w:space="0" w:color="auto"/>
          </w:divBdr>
        </w:div>
        <w:div w:id="2024702245">
          <w:marLeft w:val="0"/>
          <w:marRight w:val="0"/>
          <w:marTop w:val="0"/>
          <w:marBottom w:val="0"/>
          <w:divBdr>
            <w:top w:val="none" w:sz="0" w:space="0" w:color="auto"/>
            <w:left w:val="none" w:sz="0" w:space="0" w:color="auto"/>
            <w:bottom w:val="none" w:sz="0" w:space="0" w:color="auto"/>
            <w:right w:val="none" w:sz="0" w:space="0" w:color="auto"/>
          </w:divBdr>
        </w:div>
        <w:div w:id="2024702246">
          <w:marLeft w:val="0"/>
          <w:marRight w:val="0"/>
          <w:marTop w:val="0"/>
          <w:marBottom w:val="0"/>
          <w:divBdr>
            <w:top w:val="none" w:sz="0" w:space="0" w:color="auto"/>
            <w:left w:val="none" w:sz="0" w:space="0" w:color="auto"/>
            <w:bottom w:val="none" w:sz="0" w:space="0" w:color="auto"/>
            <w:right w:val="none" w:sz="0" w:space="0" w:color="auto"/>
          </w:divBdr>
        </w:div>
        <w:div w:id="2024702247">
          <w:marLeft w:val="0"/>
          <w:marRight w:val="0"/>
          <w:marTop w:val="0"/>
          <w:marBottom w:val="0"/>
          <w:divBdr>
            <w:top w:val="none" w:sz="0" w:space="0" w:color="auto"/>
            <w:left w:val="none" w:sz="0" w:space="0" w:color="auto"/>
            <w:bottom w:val="none" w:sz="0" w:space="0" w:color="auto"/>
            <w:right w:val="none" w:sz="0" w:space="0" w:color="auto"/>
          </w:divBdr>
        </w:div>
        <w:div w:id="2024702248">
          <w:marLeft w:val="0"/>
          <w:marRight w:val="0"/>
          <w:marTop w:val="0"/>
          <w:marBottom w:val="0"/>
          <w:divBdr>
            <w:top w:val="none" w:sz="0" w:space="0" w:color="auto"/>
            <w:left w:val="none" w:sz="0" w:space="0" w:color="auto"/>
            <w:bottom w:val="none" w:sz="0" w:space="0" w:color="auto"/>
            <w:right w:val="none" w:sz="0" w:space="0" w:color="auto"/>
          </w:divBdr>
        </w:div>
        <w:div w:id="2024702249">
          <w:marLeft w:val="0"/>
          <w:marRight w:val="0"/>
          <w:marTop w:val="0"/>
          <w:marBottom w:val="0"/>
          <w:divBdr>
            <w:top w:val="none" w:sz="0" w:space="0" w:color="auto"/>
            <w:left w:val="none" w:sz="0" w:space="0" w:color="auto"/>
            <w:bottom w:val="none" w:sz="0" w:space="0" w:color="auto"/>
            <w:right w:val="none" w:sz="0" w:space="0" w:color="auto"/>
          </w:divBdr>
        </w:div>
        <w:div w:id="2024702250">
          <w:marLeft w:val="0"/>
          <w:marRight w:val="0"/>
          <w:marTop w:val="0"/>
          <w:marBottom w:val="0"/>
          <w:divBdr>
            <w:top w:val="none" w:sz="0" w:space="0" w:color="auto"/>
            <w:left w:val="none" w:sz="0" w:space="0" w:color="auto"/>
            <w:bottom w:val="none" w:sz="0" w:space="0" w:color="auto"/>
            <w:right w:val="none" w:sz="0" w:space="0" w:color="auto"/>
          </w:divBdr>
        </w:div>
        <w:div w:id="2024702251">
          <w:marLeft w:val="0"/>
          <w:marRight w:val="0"/>
          <w:marTop w:val="0"/>
          <w:marBottom w:val="0"/>
          <w:divBdr>
            <w:top w:val="none" w:sz="0" w:space="0" w:color="auto"/>
            <w:left w:val="none" w:sz="0" w:space="0" w:color="auto"/>
            <w:bottom w:val="none" w:sz="0" w:space="0" w:color="auto"/>
            <w:right w:val="none" w:sz="0" w:space="0" w:color="auto"/>
          </w:divBdr>
        </w:div>
        <w:div w:id="2024702252">
          <w:marLeft w:val="0"/>
          <w:marRight w:val="0"/>
          <w:marTop w:val="0"/>
          <w:marBottom w:val="0"/>
          <w:divBdr>
            <w:top w:val="none" w:sz="0" w:space="0" w:color="auto"/>
            <w:left w:val="none" w:sz="0" w:space="0" w:color="auto"/>
            <w:bottom w:val="none" w:sz="0" w:space="0" w:color="auto"/>
            <w:right w:val="none" w:sz="0" w:space="0" w:color="auto"/>
          </w:divBdr>
        </w:div>
        <w:div w:id="2024702253">
          <w:marLeft w:val="0"/>
          <w:marRight w:val="0"/>
          <w:marTop w:val="0"/>
          <w:marBottom w:val="0"/>
          <w:divBdr>
            <w:top w:val="none" w:sz="0" w:space="0" w:color="auto"/>
            <w:left w:val="none" w:sz="0" w:space="0" w:color="auto"/>
            <w:bottom w:val="none" w:sz="0" w:space="0" w:color="auto"/>
            <w:right w:val="none" w:sz="0" w:space="0" w:color="auto"/>
          </w:divBdr>
        </w:div>
        <w:div w:id="2024702254">
          <w:marLeft w:val="0"/>
          <w:marRight w:val="0"/>
          <w:marTop w:val="0"/>
          <w:marBottom w:val="0"/>
          <w:divBdr>
            <w:top w:val="none" w:sz="0" w:space="0" w:color="auto"/>
            <w:left w:val="none" w:sz="0" w:space="0" w:color="auto"/>
            <w:bottom w:val="none" w:sz="0" w:space="0" w:color="auto"/>
            <w:right w:val="none" w:sz="0" w:space="0" w:color="auto"/>
          </w:divBdr>
        </w:div>
        <w:div w:id="2024702255">
          <w:marLeft w:val="0"/>
          <w:marRight w:val="0"/>
          <w:marTop w:val="0"/>
          <w:marBottom w:val="0"/>
          <w:divBdr>
            <w:top w:val="none" w:sz="0" w:space="0" w:color="auto"/>
            <w:left w:val="none" w:sz="0" w:space="0" w:color="auto"/>
            <w:bottom w:val="none" w:sz="0" w:space="0" w:color="auto"/>
            <w:right w:val="none" w:sz="0" w:space="0" w:color="auto"/>
          </w:divBdr>
        </w:div>
        <w:div w:id="2024702256">
          <w:marLeft w:val="0"/>
          <w:marRight w:val="0"/>
          <w:marTop w:val="0"/>
          <w:marBottom w:val="0"/>
          <w:divBdr>
            <w:top w:val="none" w:sz="0" w:space="0" w:color="auto"/>
            <w:left w:val="none" w:sz="0" w:space="0" w:color="auto"/>
            <w:bottom w:val="none" w:sz="0" w:space="0" w:color="auto"/>
            <w:right w:val="none" w:sz="0" w:space="0" w:color="auto"/>
          </w:divBdr>
        </w:div>
        <w:div w:id="2024702257">
          <w:marLeft w:val="0"/>
          <w:marRight w:val="0"/>
          <w:marTop w:val="0"/>
          <w:marBottom w:val="0"/>
          <w:divBdr>
            <w:top w:val="none" w:sz="0" w:space="0" w:color="auto"/>
            <w:left w:val="none" w:sz="0" w:space="0" w:color="auto"/>
            <w:bottom w:val="none" w:sz="0" w:space="0" w:color="auto"/>
            <w:right w:val="none" w:sz="0" w:space="0" w:color="auto"/>
          </w:divBdr>
        </w:div>
        <w:div w:id="2024702258">
          <w:marLeft w:val="0"/>
          <w:marRight w:val="0"/>
          <w:marTop w:val="0"/>
          <w:marBottom w:val="0"/>
          <w:divBdr>
            <w:top w:val="none" w:sz="0" w:space="0" w:color="auto"/>
            <w:left w:val="none" w:sz="0" w:space="0" w:color="auto"/>
            <w:bottom w:val="none" w:sz="0" w:space="0" w:color="auto"/>
            <w:right w:val="none" w:sz="0" w:space="0" w:color="auto"/>
          </w:divBdr>
        </w:div>
        <w:div w:id="2024702259">
          <w:marLeft w:val="0"/>
          <w:marRight w:val="0"/>
          <w:marTop w:val="0"/>
          <w:marBottom w:val="0"/>
          <w:divBdr>
            <w:top w:val="none" w:sz="0" w:space="0" w:color="auto"/>
            <w:left w:val="none" w:sz="0" w:space="0" w:color="auto"/>
            <w:bottom w:val="none" w:sz="0" w:space="0" w:color="auto"/>
            <w:right w:val="none" w:sz="0" w:space="0" w:color="auto"/>
          </w:divBdr>
        </w:div>
        <w:div w:id="2024702260">
          <w:marLeft w:val="0"/>
          <w:marRight w:val="0"/>
          <w:marTop w:val="0"/>
          <w:marBottom w:val="0"/>
          <w:divBdr>
            <w:top w:val="none" w:sz="0" w:space="0" w:color="auto"/>
            <w:left w:val="none" w:sz="0" w:space="0" w:color="auto"/>
            <w:bottom w:val="none" w:sz="0" w:space="0" w:color="auto"/>
            <w:right w:val="none" w:sz="0" w:space="0" w:color="auto"/>
          </w:divBdr>
        </w:div>
        <w:div w:id="2024702261">
          <w:marLeft w:val="0"/>
          <w:marRight w:val="0"/>
          <w:marTop w:val="0"/>
          <w:marBottom w:val="0"/>
          <w:divBdr>
            <w:top w:val="none" w:sz="0" w:space="0" w:color="auto"/>
            <w:left w:val="none" w:sz="0" w:space="0" w:color="auto"/>
            <w:bottom w:val="none" w:sz="0" w:space="0" w:color="auto"/>
            <w:right w:val="none" w:sz="0" w:space="0" w:color="auto"/>
          </w:divBdr>
        </w:div>
        <w:div w:id="2024702262">
          <w:marLeft w:val="0"/>
          <w:marRight w:val="0"/>
          <w:marTop w:val="0"/>
          <w:marBottom w:val="0"/>
          <w:divBdr>
            <w:top w:val="none" w:sz="0" w:space="0" w:color="auto"/>
            <w:left w:val="none" w:sz="0" w:space="0" w:color="auto"/>
            <w:bottom w:val="none" w:sz="0" w:space="0" w:color="auto"/>
            <w:right w:val="none" w:sz="0" w:space="0" w:color="auto"/>
          </w:divBdr>
        </w:div>
        <w:div w:id="2024702263">
          <w:marLeft w:val="0"/>
          <w:marRight w:val="0"/>
          <w:marTop w:val="0"/>
          <w:marBottom w:val="0"/>
          <w:divBdr>
            <w:top w:val="none" w:sz="0" w:space="0" w:color="auto"/>
            <w:left w:val="none" w:sz="0" w:space="0" w:color="auto"/>
            <w:bottom w:val="none" w:sz="0" w:space="0" w:color="auto"/>
            <w:right w:val="none" w:sz="0" w:space="0" w:color="auto"/>
          </w:divBdr>
        </w:div>
        <w:div w:id="2024702264">
          <w:marLeft w:val="0"/>
          <w:marRight w:val="0"/>
          <w:marTop w:val="0"/>
          <w:marBottom w:val="0"/>
          <w:divBdr>
            <w:top w:val="none" w:sz="0" w:space="0" w:color="auto"/>
            <w:left w:val="none" w:sz="0" w:space="0" w:color="auto"/>
            <w:bottom w:val="none" w:sz="0" w:space="0" w:color="auto"/>
            <w:right w:val="none" w:sz="0" w:space="0" w:color="auto"/>
          </w:divBdr>
        </w:div>
        <w:div w:id="2024702265">
          <w:marLeft w:val="0"/>
          <w:marRight w:val="0"/>
          <w:marTop w:val="0"/>
          <w:marBottom w:val="0"/>
          <w:divBdr>
            <w:top w:val="none" w:sz="0" w:space="0" w:color="auto"/>
            <w:left w:val="none" w:sz="0" w:space="0" w:color="auto"/>
            <w:bottom w:val="none" w:sz="0" w:space="0" w:color="auto"/>
            <w:right w:val="none" w:sz="0" w:space="0" w:color="auto"/>
          </w:divBdr>
        </w:div>
        <w:div w:id="2024702266">
          <w:marLeft w:val="0"/>
          <w:marRight w:val="0"/>
          <w:marTop w:val="0"/>
          <w:marBottom w:val="0"/>
          <w:divBdr>
            <w:top w:val="none" w:sz="0" w:space="0" w:color="auto"/>
            <w:left w:val="none" w:sz="0" w:space="0" w:color="auto"/>
            <w:bottom w:val="none" w:sz="0" w:space="0" w:color="auto"/>
            <w:right w:val="none" w:sz="0" w:space="0" w:color="auto"/>
          </w:divBdr>
        </w:div>
        <w:div w:id="2024702267">
          <w:marLeft w:val="0"/>
          <w:marRight w:val="0"/>
          <w:marTop w:val="0"/>
          <w:marBottom w:val="0"/>
          <w:divBdr>
            <w:top w:val="none" w:sz="0" w:space="0" w:color="auto"/>
            <w:left w:val="none" w:sz="0" w:space="0" w:color="auto"/>
            <w:bottom w:val="none" w:sz="0" w:space="0" w:color="auto"/>
            <w:right w:val="none" w:sz="0" w:space="0" w:color="auto"/>
          </w:divBdr>
        </w:div>
        <w:div w:id="2024702269">
          <w:marLeft w:val="0"/>
          <w:marRight w:val="0"/>
          <w:marTop w:val="0"/>
          <w:marBottom w:val="0"/>
          <w:divBdr>
            <w:top w:val="none" w:sz="0" w:space="0" w:color="auto"/>
            <w:left w:val="none" w:sz="0" w:space="0" w:color="auto"/>
            <w:bottom w:val="none" w:sz="0" w:space="0" w:color="auto"/>
            <w:right w:val="none" w:sz="0" w:space="0" w:color="auto"/>
          </w:divBdr>
        </w:div>
        <w:div w:id="2024702270">
          <w:marLeft w:val="0"/>
          <w:marRight w:val="0"/>
          <w:marTop w:val="0"/>
          <w:marBottom w:val="0"/>
          <w:divBdr>
            <w:top w:val="none" w:sz="0" w:space="0" w:color="auto"/>
            <w:left w:val="none" w:sz="0" w:space="0" w:color="auto"/>
            <w:bottom w:val="none" w:sz="0" w:space="0" w:color="auto"/>
            <w:right w:val="none" w:sz="0" w:space="0" w:color="auto"/>
          </w:divBdr>
        </w:div>
        <w:div w:id="2024702271">
          <w:marLeft w:val="0"/>
          <w:marRight w:val="0"/>
          <w:marTop w:val="0"/>
          <w:marBottom w:val="0"/>
          <w:divBdr>
            <w:top w:val="none" w:sz="0" w:space="0" w:color="auto"/>
            <w:left w:val="none" w:sz="0" w:space="0" w:color="auto"/>
            <w:bottom w:val="none" w:sz="0" w:space="0" w:color="auto"/>
            <w:right w:val="none" w:sz="0" w:space="0" w:color="auto"/>
          </w:divBdr>
        </w:div>
        <w:div w:id="2024702272">
          <w:marLeft w:val="0"/>
          <w:marRight w:val="0"/>
          <w:marTop w:val="0"/>
          <w:marBottom w:val="0"/>
          <w:divBdr>
            <w:top w:val="none" w:sz="0" w:space="0" w:color="auto"/>
            <w:left w:val="none" w:sz="0" w:space="0" w:color="auto"/>
            <w:bottom w:val="none" w:sz="0" w:space="0" w:color="auto"/>
            <w:right w:val="none" w:sz="0" w:space="0" w:color="auto"/>
          </w:divBdr>
        </w:div>
        <w:div w:id="2024702273">
          <w:marLeft w:val="0"/>
          <w:marRight w:val="0"/>
          <w:marTop w:val="0"/>
          <w:marBottom w:val="0"/>
          <w:divBdr>
            <w:top w:val="none" w:sz="0" w:space="0" w:color="auto"/>
            <w:left w:val="none" w:sz="0" w:space="0" w:color="auto"/>
            <w:bottom w:val="none" w:sz="0" w:space="0" w:color="auto"/>
            <w:right w:val="none" w:sz="0" w:space="0" w:color="auto"/>
          </w:divBdr>
        </w:div>
        <w:div w:id="2024702274">
          <w:marLeft w:val="0"/>
          <w:marRight w:val="0"/>
          <w:marTop w:val="0"/>
          <w:marBottom w:val="0"/>
          <w:divBdr>
            <w:top w:val="none" w:sz="0" w:space="0" w:color="auto"/>
            <w:left w:val="none" w:sz="0" w:space="0" w:color="auto"/>
            <w:bottom w:val="none" w:sz="0" w:space="0" w:color="auto"/>
            <w:right w:val="none" w:sz="0" w:space="0" w:color="auto"/>
          </w:divBdr>
        </w:div>
        <w:div w:id="2024702275">
          <w:marLeft w:val="0"/>
          <w:marRight w:val="0"/>
          <w:marTop w:val="0"/>
          <w:marBottom w:val="0"/>
          <w:divBdr>
            <w:top w:val="none" w:sz="0" w:space="0" w:color="auto"/>
            <w:left w:val="none" w:sz="0" w:space="0" w:color="auto"/>
            <w:bottom w:val="none" w:sz="0" w:space="0" w:color="auto"/>
            <w:right w:val="none" w:sz="0" w:space="0" w:color="auto"/>
          </w:divBdr>
        </w:div>
        <w:div w:id="2024702276">
          <w:marLeft w:val="0"/>
          <w:marRight w:val="0"/>
          <w:marTop w:val="0"/>
          <w:marBottom w:val="0"/>
          <w:divBdr>
            <w:top w:val="none" w:sz="0" w:space="0" w:color="auto"/>
            <w:left w:val="none" w:sz="0" w:space="0" w:color="auto"/>
            <w:bottom w:val="none" w:sz="0" w:space="0" w:color="auto"/>
            <w:right w:val="none" w:sz="0" w:space="0" w:color="auto"/>
          </w:divBdr>
        </w:div>
        <w:div w:id="2024702277">
          <w:marLeft w:val="0"/>
          <w:marRight w:val="0"/>
          <w:marTop w:val="0"/>
          <w:marBottom w:val="0"/>
          <w:divBdr>
            <w:top w:val="none" w:sz="0" w:space="0" w:color="auto"/>
            <w:left w:val="none" w:sz="0" w:space="0" w:color="auto"/>
            <w:bottom w:val="none" w:sz="0" w:space="0" w:color="auto"/>
            <w:right w:val="none" w:sz="0" w:space="0" w:color="auto"/>
          </w:divBdr>
        </w:div>
        <w:div w:id="2024702278">
          <w:marLeft w:val="0"/>
          <w:marRight w:val="0"/>
          <w:marTop w:val="0"/>
          <w:marBottom w:val="0"/>
          <w:divBdr>
            <w:top w:val="none" w:sz="0" w:space="0" w:color="auto"/>
            <w:left w:val="none" w:sz="0" w:space="0" w:color="auto"/>
            <w:bottom w:val="none" w:sz="0" w:space="0" w:color="auto"/>
            <w:right w:val="none" w:sz="0" w:space="0" w:color="auto"/>
          </w:divBdr>
        </w:div>
        <w:div w:id="2024702279">
          <w:marLeft w:val="0"/>
          <w:marRight w:val="0"/>
          <w:marTop w:val="0"/>
          <w:marBottom w:val="0"/>
          <w:divBdr>
            <w:top w:val="none" w:sz="0" w:space="0" w:color="auto"/>
            <w:left w:val="none" w:sz="0" w:space="0" w:color="auto"/>
            <w:bottom w:val="none" w:sz="0" w:space="0" w:color="auto"/>
            <w:right w:val="none" w:sz="0" w:space="0" w:color="auto"/>
          </w:divBdr>
        </w:div>
        <w:div w:id="2024702281">
          <w:marLeft w:val="0"/>
          <w:marRight w:val="0"/>
          <w:marTop w:val="0"/>
          <w:marBottom w:val="0"/>
          <w:divBdr>
            <w:top w:val="none" w:sz="0" w:space="0" w:color="auto"/>
            <w:left w:val="none" w:sz="0" w:space="0" w:color="auto"/>
            <w:bottom w:val="none" w:sz="0" w:space="0" w:color="auto"/>
            <w:right w:val="none" w:sz="0" w:space="0" w:color="auto"/>
          </w:divBdr>
        </w:div>
        <w:div w:id="2024702282">
          <w:marLeft w:val="0"/>
          <w:marRight w:val="0"/>
          <w:marTop w:val="0"/>
          <w:marBottom w:val="0"/>
          <w:divBdr>
            <w:top w:val="none" w:sz="0" w:space="0" w:color="auto"/>
            <w:left w:val="none" w:sz="0" w:space="0" w:color="auto"/>
            <w:bottom w:val="none" w:sz="0" w:space="0" w:color="auto"/>
            <w:right w:val="none" w:sz="0" w:space="0" w:color="auto"/>
          </w:divBdr>
        </w:div>
        <w:div w:id="2024702283">
          <w:marLeft w:val="0"/>
          <w:marRight w:val="0"/>
          <w:marTop w:val="0"/>
          <w:marBottom w:val="0"/>
          <w:divBdr>
            <w:top w:val="none" w:sz="0" w:space="0" w:color="auto"/>
            <w:left w:val="none" w:sz="0" w:space="0" w:color="auto"/>
            <w:bottom w:val="none" w:sz="0" w:space="0" w:color="auto"/>
            <w:right w:val="none" w:sz="0" w:space="0" w:color="auto"/>
          </w:divBdr>
        </w:div>
        <w:div w:id="2024702284">
          <w:marLeft w:val="0"/>
          <w:marRight w:val="0"/>
          <w:marTop w:val="0"/>
          <w:marBottom w:val="0"/>
          <w:divBdr>
            <w:top w:val="none" w:sz="0" w:space="0" w:color="auto"/>
            <w:left w:val="none" w:sz="0" w:space="0" w:color="auto"/>
            <w:bottom w:val="none" w:sz="0" w:space="0" w:color="auto"/>
            <w:right w:val="none" w:sz="0" w:space="0" w:color="auto"/>
          </w:divBdr>
        </w:div>
        <w:div w:id="2024702285">
          <w:marLeft w:val="0"/>
          <w:marRight w:val="0"/>
          <w:marTop w:val="0"/>
          <w:marBottom w:val="0"/>
          <w:divBdr>
            <w:top w:val="none" w:sz="0" w:space="0" w:color="auto"/>
            <w:left w:val="none" w:sz="0" w:space="0" w:color="auto"/>
            <w:bottom w:val="none" w:sz="0" w:space="0" w:color="auto"/>
            <w:right w:val="none" w:sz="0" w:space="0" w:color="auto"/>
          </w:divBdr>
        </w:div>
        <w:div w:id="2024702286">
          <w:marLeft w:val="0"/>
          <w:marRight w:val="0"/>
          <w:marTop w:val="0"/>
          <w:marBottom w:val="0"/>
          <w:divBdr>
            <w:top w:val="none" w:sz="0" w:space="0" w:color="auto"/>
            <w:left w:val="none" w:sz="0" w:space="0" w:color="auto"/>
            <w:bottom w:val="none" w:sz="0" w:space="0" w:color="auto"/>
            <w:right w:val="none" w:sz="0" w:space="0" w:color="auto"/>
          </w:divBdr>
        </w:div>
        <w:div w:id="2024702287">
          <w:marLeft w:val="0"/>
          <w:marRight w:val="0"/>
          <w:marTop w:val="0"/>
          <w:marBottom w:val="0"/>
          <w:divBdr>
            <w:top w:val="none" w:sz="0" w:space="0" w:color="auto"/>
            <w:left w:val="none" w:sz="0" w:space="0" w:color="auto"/>
            <w:bottom w:val="none" w:sz="0" w:space="0" w:color="auto"/>
            <w:right w:val="none" w:sz="0" w:space="0" w:color="auto"/>
          </w:divBdr>
        </w:div>
        <w:div w:id="2024702288">
          <w:marLeft w:val="0"/>
          <w:marRight w:val="0"/>
          <w:marTop w:val="0"/>
          <w:marBottom w:val="0"/>
          <w:divBdr>
            <w:top w:val="none" w:sz="0" w:space="0" w:color="auto"/>
            <w:left w:val="none" w:sz="0" w:space="0" w:color="auto"/>
            <w:bottom w:val="none" w:sz="0" w:space="0" w:color="auto"/>
            <w:right w:val="none" w:sz="0" w:space="0" w:color="auto"/>
          </w:divBdr>
        </w:div>
        <w:div w:id="2024702289">
          <w:marLeft w:val="0"/>
          <w:marRight w:val="0"/>
          <w:marTop w:val="0"/>
          <w:marBottom w:val="0"/>
          <w:divBdr>
            <w:top w:val="none" w:sz="0" w:space="0" w:color="auto"/>
            <w:left w:val="none" w:sz="0" w:space="0" w:color="auto"/>
            <w:bottom w:val="none" w:sz="0" w:space="0" w:color="auto"/>
            <w:right w:val="none" w:sz="0" w:space="0" w:color="auto"/>
          </w:divBdr>
        </w:div>
        <w:div w:id="2024702290">
          <w:marLeft w:val="0"/>
          <w:marRight w:val="0"/>
          <w:marTop w:val="0"/>
          <w:marBottom w:val="0"/>
          <w:divBdr>
            <w:top w:val="none" w:sz="0" w:space="0" w:color="auto"/>
            <w:left w:val="none" w:sz="0" w:space="0" w:color="auto"/>
            <w:bottom w:val="none" w:sz="0" w:space="0" w:color="auto"/>
            <w:right w:val="none" w:sz="0" w:space="0" w:color="auto"/>
          </w:divBdr>
        </w:div>
        <w:div w:id="2024702291">
          <w:marLeft w:val="0"/>
          <w:marRight w:val="0"/>
          <w:marTop w:val="0"/>
          <w:marBottom w:val="0"/>
          <w:divBdr>
            <w:top w:val="none" w:sz="0" w:space="0" w:color="auto"/>
            <w:left w:val="none" w:sz="0" w:space="0" w:color="auto"/>
            <w:bottom w:val="none" w:sz="0" w:space="0" w:color="auto"/>
            <w:right w:val="none" w:sz="0" w:space="0" w:color="auto"/>
          </w:divBdr>
        </w:div>
        <w:div w:id="2024702292">
          <w:marLeft w:val="0"/>
          <w:marRight w:val="0"/>
          <w:marTop w:val="0"/>
          <w:marBottom w:val="0"/>
          <w:divBdr>
            <w:top w:val="none" w:sz="0" w:space="0" w:color="auto"/>
            <w:left w:val="none" w:sz="0" w:space="0" w:color="auto"/>
            <w:bottom w:val="none" w:sz="0" w:space="0" w:color="auto"/>
            <w:right w:val="none" w:sz="0" w:space="0" w:color="auto"/>
          </w:divBdr>
        </w:div>
        <w:div w:id="2024702294">
          <w:marLeft w:val="0"/>
          <w:marRight w:val="0"/>
          <w:marTop w:val="0"/>
          <w:marBottom w:val="0"/>
          <w:divBdr>
            <w:top w:val="none" w:sz="0" w:space="0" w:color="auto"/>
            <w:left w:val="none" w:sz="0" w:space="0" w:color="auto"/>
            <w:bottom w:val="none" w:sz="0" w:space="0" w:color="auto"/>
            <w:right w:val="none" w:sz="0" w:space="0" w:color="auto"/>
          </w:divBdr>
        </w:div>
        <w:div w:id="2024702295">
          <w:marLeft w:val="0"/>
          <w:marRight w:val="0"/>
          <w:marTop w:val="0"/>
          <w:marBottom w:val="0"/>
          <w:divBdr>
            <w:top w:val="none" w:sz="0" w:space="0" w:color="auto"/>
            <w:left w:val="none" w:sz="0" w:space="0" w:color="auto"/>
            <w:bottom w:val="none" w:sz="0" w:space="0" w:color="auto"/>
            <w:right w:val="none" w:sz="0" w:space="0" w:color="auto"/>
          </w:divBdr>
        </w:div>
        <w:div w:id="2024702296">
          <w:marLeft w:val="0"/>
          <w:marRight w:val="0"/>
          <w:marTop w:val="0"/>
          <w:marBottom w:val="0"/>
          <w:divBdr>
            <w:top w:val="none" w:sz="0" w:space="0" w:color="auto"/>
            <w:left w:val="none" w:sz="0" w:space="0" w:color="auto"/>
            <w:bottom w:val="none" w:sz="0" w:space="0" w:color="auto"/>
            <w:right w:val="none" w:sz="0" w:space="0" w:color="auto"/>
          </w:divBdr>
        </w:div>
        <w:div w:id="2024702297">
          <w:marLeft w:val="0"/>
          <w:marRight w:val="0"/>
          <w:marTop w:val="0"/>
          <w:marBottom w:val="0"/>
          <w:divBdr>
            <w:top w:val="none" w:sz="0" w:space="0" w:color="auto"/>
            <w:left w:val="none" w:sz="0" w:space="0" w:color="auto"/>
            <w:bottom w:val="none" w:sz="0" w:space="0" w:color="auto"/>
            <w:right w:val="none" w:sz="0" w:space="0" w:color="auto"/>
          </w:divBdr>
        </w:div>
        <w:div w:id="2024702298">
          <w:marLeft w:val="0"/>
          <w:marRight w:val="0"/>
          <w:marTop w:val="0"/>
          <w:marBottom w:val="0"/>
          <w:divBdr>
            <w:top w:val="none" w:sz="0" w:space="0" w:color="auto"/>
            <w:left w:val="none" w:sz="0" w:space="0" w:color="auto"/>
            <w:bottom w:val="none" w:sz="0" w:space="0" w:color="auto"/>
            <w:right w:val="none" w:sz="0" w:space="0" w:color="auto"/>
          </w:divBdr>
        </w:div>
        <w:div w:id="2024702299">
          <w:marLeft w:val="0"/>
          <w:marRight w:val="0"/>
          <w:marTop w:val="0"/>
          <w:marBottom w:val="0"/>
          <w:divBdr>
            <w:top w:val="none" w:sz="0" w:space="0" w:color="auto"/>
            <w:left w:val="none" w:sz="0" w:space="0" w:color="auto"/>
            <w:bottom w:val="none" w:sz="0" w:space="0" w:color="auto"/>
            <w:right w:val="none" w:sz="0" w:space="0" w:color="auto"/>
          </w:divBdr>
        </w:div>
        <w:div w:id="2024702300">
          <w:marLeft w:val="0"/>
          <w:marRight w:val="0"/>
          <w:marTop w:val="0"/>
          <w:marBottom w:val="0"/>
          <w:divBdr>
            <w:top w:val="none" w:sz="0" w:space="0" w:color="auto"/>
            <w:left w:val="none" w:sz="0" w:space="0" w:color="auto"/>
            <w:bottom w:val="none" w:sz="0" w:space="0" w:color="auto"/>
            <w:right w:val="none" w:sz="0" w:space="0" w:color="auto"/>
          </w:divBdr>
        </w:div>
        <w:div w:id="2024702301">
          <w:marLeft w:val="0"/>
          <w:marRight w:val="0"/>
          <w:marTop w:val="0"/>
          <w:marBottom w:val="0"/>
          <w:divBdr>
            <w:top w:val="none" w:sz="0" w:space="0" w:color="auto"/>
            <w:left w:val="none" w:sz="0" w:space="0" w:color="auto"/>
            <w:bottom w:val="none" w:sz="0" w:space="0" w:color="auto"/>
            <w:right w:val="none" w:sz="0" w:space="0" w:color="auto"/>
          </w:divBdr>
        </w:div>
        <w:div w:id="2024702302">
          <w:marLeft w:val="0"/>
          <w:marRight w:val="0"/>
          <w:marTop w:val="0"/>
          <w:marBottom w:val="0"/>
          <w:divBdr>
            <w:top w:val="none" w:sz="0" w:space="0" w:color="auto"/>
            <w:left w:val="none" w:sz="0" w:space="0" w:color="auto"/>
            <w:bottom w:val="none" w:sz="0" w:space="0" w:color="auto"/>
            <w:right w:val="none" w:sz="0" w:space="0" w:color="auto"/>
          </w:divBdr>
        </w:div>
        <w:div w:id="2024702303">
          <w:marLeft w:val="0"/>
          <w:marRight w:val="0"/>
          <w:marTop w:val="0"/>
          <w:marBottom w:val="0"/>
          <w:divBdr>
            <w:top w:val="none" w:sz="0" w:space="0" w:color="auto"/>
            <w:left w:val="none" w:sz="0" w:space="0" w:color="auto"/>
            <w:bottom w:val="none" w:sz="0" w:space="0" w:color="auto"/>
            <w:right w:val="none" w:sz="0" w:space="0" w:color="auto"/>
          </w:divBdr>
        </w:div>
        <w:div w:id="2024702304">
          <w:marLeft w:val="0"/>
          <w:marRight w:val="0"/>
          <w:marTop w:val="0"/>
          <w:marBottom w:val="0"/>
          <w:divBdr>
            <w:top w:val="none" w:sz="0" w:space="0" w:color="auto"/>
            <w:left w:val="none" w:sz="0" w:space="0" w:color="auto"/>
            <w:bottom w:val="none" w:sz="0" w:space="0" w:color="auto"/>
            <w:right w:val="none" w:sz="0" w:space="0" w:color="auto"/>
          </w:divBdr>
        </w:div>
        <w:div w:id="2024702305">
          <w:marLeft w:val="0"/>
          <w:marRight w:val="0"/>
          <w:marTop w:val="0"/>
          <w:marBottom w:val="0"/>
          <w:divBdr>
            <w:top w:val="none" w:sz="0" w:space="0" w:color="auto"/>
            <w:left w:val="none" w:sz="0" w:space="0" w:color="auto"/>
            <w:bottom w:val="none" w:sz="0" w:space="0" w:color="auto"/>
            <w:right w:val="none" w:sz="0" w:space="0" w:color="auto"/>
          </w:divBdr>
        </w:div>
        <w:div w:id="2024702306">
          <w:marLeft w:val="0"/>
          <w:marRight w:val="0"/>
          <w:marTop w:val="0"/>
          <w:marBottom w:val="0"/>
          <w:divBdr>
            <w:top w:val="none" w:sz="0" w:space="0" w:color="auto"/>
            <w:left w:val="none" w:sz="0" w:space="0" w:color="auto"/>
            <w:bottom w:val="none" w:sz="0" w:space="0" w:color="auto"/>
            <w:right w:val="none" w:sz="0" w:space="0" w:color="auto"/>
          </w:divBdr>
        </w:div>
        <w:div w:id="2024702307">
          <w:marLeft w:val="0"/>
          <w:marRight w:val="0"/>
          <w:marTop w:val="0"/>
          <w:marBottom w:val="0"/>
          <w:divBdr>
            <w:top w:val="none" w:sz="0" w:space="0" w:color="auto"/>
            <w:left w:val="none" w:sz="0" w:space="0" w:color="auto"/>
            <w:bottom w:val="none" w:sz="0" w:space="0" w:color="auto"/>
            <w:right w:val="none" w:sz="0" w:space="0" w:color="auto"/>
          </w:divBdr>
        </w:div>
        <w:div w:id="2024702308">
          <w:marLeft w:val="0"/>
          <w:marRight w:val="0"/>
          <w:marTop w:val="0"/>
          <w:marBottom w:val="0"/>
          <w:divBdr>
            <w:top w:val="none" w:sz="0" w:space="0" w:color="auto"/>
            <w:left w:val="none" w:sz="0" w:space="0" w:color="auto"/>
            <w:bottom w:val="none" w:sz="0" w:space="0" w:color="auto"/>
            <w:right w:val="none" w:sz="0" w:space="0" w:color="auto"/>
          </w:divBdr>
        </w:div>
        <w:div w:id="2024702309">
          <w:marLeft w:val="0"/>
          <w:marRight w:val="0"/>
          <w:marTop w:val="0"/>
          <w:marBottom w:val="0"/>
          <w:divBdr>
            <w:top w:val="none" w:sz="0" w:space="0" w:color="auto"/>
            <w:left w:val="none" w:sz="0" w:space="0" w:color="auto"/>
            <w:bottom w:val="none" w:sz="0" w:space="0" w:color="auto"/>
            <w:right w:val="none" w:sz="0" w:space="0" w:color="auto"/>
          </w:divBdr>
        </w:div>
        <w:div w:id="2024702310">
          <w:marLeft w:val="0"/>
          <w:marRight w:val="0"/>
          <w:marTop w:val="0"/>
          <w:marBottom w:val="0"/>
          <w:divBdr>
            <w:top w:val="none" w:sz="0" w:space="0" w:color="auto"/>
            <w:left w:val="none" w:sz="0" w:space="0" w:color="auto"/>
            <w:bottom w:val="none" w:sz="0" w:space="0" w:color="auto"/>
            <w:right w:val="none" w:sz="0" w:space="0" w:color="auto"/>
          </w:divBdr>
        </w:div>
        <w:div w:id="2024702311">
          <w:marLeft w:val="0"/>
          <w:marRight w:val="0"/>
          <w:marTop w:val="0"/>
          <w:marBottom w:val="0"/>
          <w:divBdr>
            <w:top w:val="none" w:sz="0" w:space="0" w:color="auto"/>
            <w:left w:val="none" w:sz="0" w:space="0" w:color="auto"/>
            <w:bottom w:val="none" w:sz="0" w:space="0" w:color="auto"/>
            <w:right w:val="none" w:sz="0" w:space="0" w:color="auto"/>
          </w:divBdr>
        </w:div>
        <w:div w:id="2024702312">
          <w:marLeft w:val="0"/>
          <w:marRight w:val="0"/>
          <w:marTop w:val="0"/>
          <w:marBottom w:val="0"/>
          <w:divBdr>
            <w:top w:val="none" w:sz="0" w:space="0" w:color="auto"/>
            <w:left w:val="none" w:sz="0" w:space="0" w:color="auto"/>
            <w:bottom w:val="none" w:sz="0" w:space="0" w:color="auto"/>
            <w:right w:val="none" w:sz="0" w:space="0" w:color="auto"/>
          </w:divBdr>
        </w:div>
        <w:div w:id="2024702313">
          <w:marLeft w:val="0"/>
          <w:marRight w:val="0"/>
          <w:marTop w:val="0"/>
          <w:marBottom w:val="0"/>
          <w:divBdr>
            <w:top w:val="none" w:sz="0" w:space="0" w:color="auto"/>
            <w:left w:val="none" w:sz="0" w:space="0" w:color="auto"/>
            <w:bottom w:val="none" w:sz="0" w:space="0" w:color="auto"/>
            <w:right w:val="none" w:sz="0" w:space="0" w:color="auto"/>
          </w:divBdr>
        </w:div>
        <w:div w:id="2024702314">
          <w:marLeft w:val="0"/>
          <w:marRight w:val="0"/>
          <w:marTop w:val="0"/>
          <w:marBottom w:val="0"/>
          <w:divBdr>
            <w:top w:val="none" w:sz="0" w:space="0" w:color="auto"/>
            <w:left w:val="none" w:sz="0" w:space="0" w:color="auto"/>
            <w:bottom w:val="none" w:sz="0" w:space="0" w:color="auto"/>
            <w:right w:val="none" w:sz="0" w:space="0" w:color="auto"/>
          </w:divBdr>
        </w:div>
        <w:div w:id="2024702315">
          <w:marLeft w:val="0"/>
          <w:marRight w:val="0"/>
          <w:marTop w:val="0"/>
          <w:marBottom w:val="0"/>
          <w:divBdr>
            <w:top w:val="none" w:sz="0" w:space="0" w:color="auto"/>
            <w:left w:val="none" w:sz="0" w:space="0" w:color="auto"/>
            <w:bottom w:val="none" w:sz="0" w:space="0" w:color="auto"/>
            <w:right w:val="none" w:sz="0" w:space="0" w:color="auto"/>
          </w:divBdr>
        </w:div>
        <w:div w:id="2024702316">
          <w:marLeft w:val="0"/>
          <w:marRight w:val="0"/>
          <w:marTop w:val="0"/>
          <w:marBottom w:val="0"/>
          <w:divBdr>
            <w:top w:val="none" w:sz="0" w:space="0" w:color="auto"/>
            <w:left w:val="none" w:sz="0" w:space="0" w:color="auto"/>
            <w:bottom w:val="none" w:sz="0" w:space="0" w:color="auto"/>
            <w:right w:val="none" w:sz="0" w:space="0" w:color="auto"/>
          </w:divBdr>
        </w:div>
        <w:div w:id="2024702317">
          <w:marLeft w:val="0"/>
          <w:marRight w:val="0"/>
          <w:marTop w:val="0"/>
          <w:marBottom w:val="0"/>
          <w:divBdr>
            <w:top w:val="none" w:sz="0" w:space="0" w:color="auto"/>
            <w:left w:val="none" w:sz="0" w:space="0" w:color="auto"/>
            <w:bottom w:val="none" w:sz="0" w:space="0" w:color="auto"/>
            <w:right w:val="none" w:sz="0" w:space="0" w:color="auto"/>
          </w:divBdr>
        </w:div>
        <w:div w:id="2024702318">
          <w:marLeft w:val="0"/>
          <w:marRight w:val="0"/>
          <w:marTop w:val="0"/>
          <w:marBottom w:val="0"/>
          <w:divBdr>
            <w:top w:val="none" w:sz="0" w:space="0" w:color="auto"/>
            <w:left w:val="none" w:sz="0" w:space="0" w:color="auto"/>
            <w:bottom w:val="none" w:sz="0" w:space="0" w:color="auto"/>
            <w:right w:val="none" w:sz="0" w:space="0" w:color="auto"/>
          </w:divBdr>
        </w:div>
        <w:div w:id="2024702319">
          <w:marLeft w:val="0"/>
          <w:marRight w:val="0"/>
          <w:marTop w:val="0"/>
          <w:marBottom w:val="0"/>
          <w:divBdr>
            <w:top w:val="none" w:sz="0" w:space="0" w:color="auto"/>
            <w:left w:val="none" w:sz="0" w:space="0" w:color="auto"/>
            <w:bottom w:val="none" w:sz="0" w:space="0" w:color="auto"/>
            <w:right w:val="none" w:sz="0" w:space="0" w:color="auto"/>
          </w:divBdr>
        </w:div>
        <w:div w:id="2024702320">
          <w:marLeft w:val="0"/>
          <w:marRight w:val="0"/>
          <w:marTop w:val="0"/>
          <w:marBottom w:val="0"/>
          <w:divBdr>
            <w:top w:val="none" w:sz="0" w:space="0" w:color="auto"/>
            <w:left w:val="none" w:sz="0" w:space="0" w:color="auto"/>
            <w:bottom w:val="none" w:sz="0" w:space="0" w:color="auto"/>
            <w:right w:val="none" w:sz="0" w:space="0" w:color="auto"/>
          </w:divBdr>
        </w:div>
        <w:div w:id="2024702321">
          <w:marLeft w:val="0"/>
          <w:marRight w:val="0"/>
          <w:marTop w:val="0"/>
          <w:marBottom w:val="0"/>
          <w:divBdr>
            <w:top w:val="none" w:sz="0" w:space="0" w:color="auto"/>
            <w:left w:val="none" w:sz="0" w:space="0" w:color="auto"/>
            <w:bottom w:val="none" w:sz="0" w:space="0" w:color="auto"/>
            <w:right w:val="none" w:sz="0" w:space="0" w:color="auto"/>
          </w:divBdr>
        </w:div>
        <w:div w:id="2024702322">
          <w:marLeft w:val="0"/>
          <w:marRight w:val="0"/>
          <w:marTop w:val="0"/>
          <w:marBottom w:val="0"/>
          <w:divBdr>
            <w:top w:val="none" w:sz="0" w:space="0" w:color="auto"/>
            <w:left w:val="none" w:sz="0" w:space="0" w:color="auto"/>
            <w:bottom w:val="none" w:sz="0" w:space="0" w:color="auto"/>
            <w:right w:val="none" w:sz="0" w:space="0" w:color="auto"/>
          </w:divBdr>
        </w:div>
        <w:div w:id="2024702323">
          <w:marLeft w:val="0"/>
          <w:marRight w:val="0"/>
          <w:marTop w:val="0"/>
          <w:marBottom w:val="0"/>
          <w:divBdr>
            <w:top w:val="none" w:sz="0" w:space="0" w:color="auto"/>
            <w:left w:val="none" w:sz="0" w:space="0" w:color="auto"/>
            <w:bottom w:val="none" w:sz="0" w:space="0" w:color="auto"/>
            <w:right w:val="none" w:sz="0" w:space="0" w:color="auto"/>
          </w:divBdr>
        </w:div>
        <w:div w:id="2024702325">
          <w:marLeft w:val="0"/>
          <w:marRight w:val="0"/>
          <w:marTop w:val="0"/>
          <w:marBottom w:val="0"/>
          <w:divBdr>
            <w:top w:val="none" w:sz="0" w:space="0" w:color="auto"/>
            <w:left w:val="none" w:sz="0" w:space="0" w:color="auto"/>
            <w:bottom w:val="none" w:sz="0" w:space="0" w:color="auto"/>
            <w:right w:val="none" w:sz="0" w:space="0" w:color="auto"/>
          </w:divBdr>
        </w:div>
        <w:div w:id="2024702326">
          <w:marLeft w:val="0"/>
          <w:marRight w:val="0"/>
          <w:marTop w:val="0"/>
          <w:marBottom w:val="0"/>
          <w:divBdr>
            <w:top w:val="none" w:sz="0" w:space="0" w:color="auto"/>
            <w:left w:val="none" w:sz="0" w:space="0" w:color="auto"/>
            <w:bottom w:val="none" w:sz="0" w:space="0" w:color="auto"/>
            <w:right w:val="none" w:sz="0" w:space="0" w:color="auto"/>
          </w:divBdr>
        </w:div>
        <w:div w:id="2024702327">
          <w:marLeft w:val="0"/>
          <w:marRight w:val="0"/>
          <w:marTop w:val="0"/>
          <w:marBottom w:val="0"/>
          <w:divBdr>
            <w:top w:val="none" w:sz="0" w:space="0" w:color="auto"/>
            <w:left w:val="none" w:sz="0" w:space="0" w:color="auto"/>
            <w:bottom w:val="none" w:sz="0" w:space="0" w:color="auto"/>
            <w:right w:val="none" w:sz="0" w:space="0" w:color="auto"/>
          </w:divBdr>
        </w:div>
        <w:div w:id="2024702329">
          <w:marLeft w:val="0"/>
          <w:marRight w:val="0"/>
          <w:marTop w:val="0"/>
          <w:marBottom w:val="0"/>
          <w:divBdr>
            <w:top w:val="none" w:sz="0" w:space="0" w:color="auto"/>
            <w:left w:val="none" w:sz="0" w:space="0" w:color="auto"/>
            <w:bottom w:val="none" w:sz="0" w:space="0" w:color="auto"/>
            <w:right w:val="none" w:sz="0" w:space="0" w:color="auto"/>
          </w:divBdr>
        </w:div>
        <w:div w:id="2024702330">
          <w:marLeft w:val="0"/>
          <w:marRight w:val="0"/>
          <w:marTop w:val="0"/>
          <w:marBottom w:val="0"/>
          <w:divBdr>
            <w:top w:val="none" w:sz="0" w:space="0" w:color="auto"/>
            <w:left w:val="none" w:sz="0" w:space="0" w:color="auto"/>
            <w:bottom w:val="none" w:sz="0" w:space="0" w:color="auto"/>
            <w:right w:val="none" w:sz="0" w:space="0" w:color="auto"/>
          </w:divBdr>
        </w:div>
        <w:div w:id="2024702331">
          <w:marLeft w:val="0"/>
          <w:marRight w:val="0"/>
          <w:marTop w:val="0"/>
          <w:marBottom w:val="0"/>
          <w:divBdr>
            <w:top w:val="none" w:sz="0" w:space="0" w:color="auto"/>
            <w:left w:val="none" w:sz="0" w:space="0" w:color="auto"/>
            <w:bottom w:val="none" w:sz="0" w:space="0" w:color="auto"/>
            <w:right w:val="none" w:sz="0" w:space="0" w:color="auto"/>
          </w:divBdr>
        </w:div>
        <w:div w:id="2024702332">
          <w:marLeft w:val="0"/>
          <w:marRight w:val="0"/>
          <w:marTop w:val="0"/>
          <w:marBottom w:val="0"/>
          <w:divBdr>
            <w:top w:val="none" w:sz="0" w:space="0" w:color="auto"/>
            <w:left w:val="none" w:sz="0" w:space="0" w:color="auto"/>
            <w:bottom w:val="none" w:sz="0" w:space="0" w:color="auto"/>
            <w:right w:val="none" w:sz="0" w:space="0" w:color="auto"/>
          </w:divBdr>
        </w:div>
        <w:div w:id="2024702333">
          <w:marLeft w:val="0"/>
          <w:marRight w:val="0"/>
          <w:marTop w:val="0"/>
          <w:marBottom w:val="0"/>
          <w:divBdr>
            <w:top w:val="none" w:sz="0" w:space="0" w:color="auto"/>
            <w:left w:val="none" w:sz="0" w:space="0" w:color="auto"/>
            <w:bottom w:val="none" w:sz="0" w:space="0" w:color="auto"/>
            <w:right w:val="none" w:sz="0" w:space="0" w:color="auto"/>
          </w:divBdr>
        </w:div>
        <w:div w:id="2024702334">
          <w:marLeft w:val="0"/>
          <w:marRight w:val="0"/>
          <w:marTop w:val="0"/>
          <w:marBottom w:val="0"/>
          <w:divBdr>
            <w:top w:val="none" w:sz="0" w:space="0" w:color="auto"/>
            <w:left w:val="none" w:sz="0" w:space="0" w:color="auto"/>
            <w:bottom w:val="none" w:sz="0" w:space="0" w:color="auto"/>
            <w:right w:val="none" w:sz="0" w:space="0" w:color="auto"/>
          </w:divBdr>
        </w:div>
        <w:div w:id="2024702335">
          <w:marLeft w:val="0"/>
          <w:marRight w:val="0"/>
          <w:marTop w:val="0"/>
          <w:marBottom w:val="0"/>
          <w:divBdr>
            <w:top w:val="none" w:sz="0" w:space="0" w:color="auto"/>
            <w:left w:val="none" w:sz="0" w:space="0" w:color="auto"/>
            <w:bottom w:val="none" w:sz="0" w:space="0" w:color="auto"/>
            <w:right w:val="none" w:sz="0" w:space="0" w:color="auto"/>
          </w:divBdr>
        </w:div>
        <w:div w:id="2024702336">
          <w:marLeft w:val="0"/>
          <w:marRight w:val="0"/>
          <w:marTop w:val="0"/>
          <w:marBottom w:val="0"/>
          <w:divBdr>
            <w:top w:val="none" w:sz="0" w:space="0" w:color="auto"/>
            <w:left w:val="none" w:sz="0" w:space="0" w:color="auto"/>
            <w:bottom w:val="none" w:sz="0" w:space="0" w:color="auto"/>
            <w:right w:val="none" w:sz="0" w:space="0" w:color="auto"/>
          </w:divBdr>
        </w:div>
        <w:div w:id="2024702338">
          <w:marLeft w:val="0"/>
          <w:marRight w:val="0"/>
          <w:marTop w:val="0"/>
          <w:marBottom w:val="0"/>
          <w:divBdr>
            <w:top w:val="none" w:sz="0" w:space="0" w:color="auto"/>
            <w:left w:val="none" w:sz="0" w:space="0" w:color="auto"/>
            <w:bottom w:val="none" w:sz="0" w:space="0" w:color="auto"/>
            <w:right w:val="none" w:sz="0" w:space="0" w:color="auto"/>
          </w:divBdr>
        </w:div>
        <w:div w:id="2024702339">
          <w:marLeft w:val="0"/>
          <w:marRight w:val="0"/>
          <w:marTop w:val="0"/>
          <w:marBottom w:val="0"/>
          <w:divBdr>
            <w:top w:val="none" w:sz="0" w:space="0" w:color="auto"/>
            <w:left w:val="none" w:sz="0" w:space="0" w:color="auto"/>
            <w:bottom w:val="none" w:sz="0" w:space="0" w:color="auto"/>
            <w:right w:val="none" w:sz="0" w:space="0" w:color="auto"/>
          </w:divBdr>
        </w:div>
        <w:div w:id="2024702340">
          <w:marLeft w:val="0"/>
          <w:marRight w:val="0"/>
          <w:marTop w:val="0"/>
          <w:marBottom w:val="0"/>
          <w:divBdr>
            <w:top w:val="none" w:sz="0" w:space="0" w:color="auto"/>
            <w:left w:val="none" w:sz="0" w:space="0" w:color="auto"/>
            <w:bottom w:val="none" w:sz="0" w:space="0" w:color="auto"/>
            <w:right w:val="none" w:sz="0" w:space="0" w:color="auto"/>
          </w:divBdr>
        </w:div>
        <w:div w:id="2024702341">
          <w:marLeft w:val="0"/>
          <w:marRight w:val="0"/>
          <w:marTop w:val="0"/>
          <w:marBottom w:val="0"/>
          <w:divBdr>
            <w:top w:val="none" w:sz="0" w:space="0" w:color="auto"/>
            <w:left w:val="none" w:sz="0" w:space="0" w:color="auto"/>
            <w:bottom w:val="none" w:sz="0" w:space="0" w:color="auto"/>
            <w:right w:val="none" w:sz="0" w:space="0" w:color="auto"/>
          </w:divBdr>
        </w:div>
        <w:div w:id="2024702342">
          <w:marLeft w:val="0"/>
          <w:marRight w:val="0"/>
          <w:marTop w:val="0"/>
          <w:marBottom w:val="0"/>
          <w:divBdr>
            <w:top w:val="none" w:sz="0" w:space="0" w:color="auto"/>
            <w:left w:val="none" w:sz="0" w:space="0" w:color="auto"/>
            <w:bottom w:val="none" w:sz="0" w:space="0" w:color="auto"/>
            <w:right w:val="none" w:sz="0" w:space="0" w:color="auto"/>
          </w:divBdr>
        </w:div>
        <w:div w:id="2024702343">
          <w:marLeft w:val="0"/>
          <w:marRight w:val="0"/>
          <w:marTop w:val="0"/>
          <w:marBottom w:val="0"/>
          <w:divBdr>
            <w:top w:val="none" w:sz="0" w:space="0" w:color="auto"/>
            <w:left w:val="none" w:sz="0" w:space="0" w:color="auto"/>
            <w:bottom w:val="none" w:sz="0" w:space="0" w:color="auto"/>
            <w:right w:val="none" w:sz="0" w:space="0" w:color="auto"/>
          </w:divBdr>
        </w:div>
        <w:div w:id="2024702344">
          <w:marLeft w:val="0"/>
          <w:marRight w:val="0"/>
          <w:marTop w:val="0"/>
          <w:marBottom w:val="0"/>
          <w:divBdr>
            <w:top w:val="none" w:sz="0" w:space="0" w:color="auto"/>
            <w:left w:val="none" w:sz="0" w:space="0" w:color="auto"/>
            <w:bottom w:val="none" w:sz="0" w:space="0" w:color="auto"/>
            <w:right w:val="none" w:sz="0" w:space="0" w:color="auto"/>
          </w:divBdr>
        </w:div>
        <w:div w:id="2024702345">
          <w:marLeft w:val="0"/>
          <w:marRight w:val="0"/>
          <w:marTop w:val="0"/>
          <w:marBottom w:val="0"/>
          <w:divBdr>
            <w:top w:val="none" w:sz="0" w:space="0" w:color="auto"/>
            <w:left w:val="none" w:sz="0" w:space="0" w:color="auto"/>
            <w:bottom w:val="none" w:sz="0" w:space="0" w:color="auto"/>
            <w:right w:val="none" w:sz="0" w:space="0" w:color="auto"/>
          </w:divBdr>
        </w:div>
        <w:div w:id="2024702346">
          <w:marLeft w:val="0"/>
          <w:marRight w:val="0"/>
          <w:marTop w:val="0"/>
          <w:marBottom w:val="0"/>
          <w:divBdr>
            <w:top w:val="none" w:sz="0" w:space="0" w:color="auto"/>
            <w:left w:val="none" w:sz="0" w:space="0" w:color="auto"/>
            <w:bottom w:val="none" w:sz="0" w:space="0" w:color="auto"/>
            <w:right w:val="none" w:sz="0" w:space="0" w:color="auto"/>
          </w:divBdr>
        </w:div>
        <w:div w:id="2024702347">
          <w:marLeft w:val="0"/>
          <w:marRight w:val="0"/>
          <w:marTop w:val="0"/>
          <w:marBottom w:val="0"/>
          <w:divBdr>
            <w:top w:val="none" w:sz="0" w:space="0" w:color="auto"/>
            <w:left w:val="none" w:sz="0" w:space="0" w:color="auto"/>
            <w:bottom w:val="none" w:sz="0" w:space="0" w:color="auto"/>
            <w:right w:val="none" w:sz="0" w:space="0" w:color="auto"/>
          </w:divBdr>
        </w:div>
        <w:div w:id="2024702348">
          <w:marLeft w:val="0"/>
          <w:marRight w:val="0"/>
          <w:marTop w:val="0"/>
          <w:marBottom w:val="0"/>
          <w:divBdr>
            <w:top w:val="none" w:sz="0" w:space="0" w:color="auto"/>
            <w:left w:val="none" w:sz="0" w:space="0" w:color="auto"/>
            <w:bottom w:val="none" w:sz="0" w:space="0" w:color="auto"/>
            <w:right w:val="none" w:sz="0" w:space="0" w:color="auto"/>
          </w:divBdr>
        </w:div>
        <w:div w:id="2024702349">
          <w:marLeft w:val="0"/>
          <w:marRight w:val="0"/>
          <w:marTop w:val="0"/>
          <w:marBottom w:val="0"/>
          <w:divBdr>
            <w:top w:val="none" w:sz="0" w:space="0" w:color="auto"/>
            <w:left w:val="none" w:sz="0" w:space="0" w:color="auto"/>
            <w:bottom w:val="none" w:sz="0" w:space="0" w:color="auto"/>
            <w:right w:val="none" w:sz="0" w:space="0" w:color="auto"/>
          </w:divBdr>
        </w:div>
        <w:div w:id="2024702350">
          <w:marLeft w:val="0"/>
          <w:marRight w:val="0"/>
          <w:marTop w:val="0"/>
          <w:marBottom w:val="0"/>
          <w:divBdr>
            <w:top w:val="none" w:sz="0" w:space="0" w:color="auto"/>
            <w:left w:val="none" w:sz="0" w:space="0" w:color="auto"/>
            <w:bottom w:val="none" w:sz="0" w:space="0" w:color="auto"/>
            <w:right w:val="none" w:sz="0" w:space="0" w:color="auto"/>
          </w:divBdr>
        </w:div>
        <w:div w:id="2024702351">
          <w:marLeft w:val="0"/>
          <w:marRight w:val="0"/>
          <w:marTop w:val="0"/>
          <w:marBottom w:val="0"/>
          <w:divBdr>
            <w:top w:val="none" w:sz="0" w:space="0" w:color="auto"/>
            <w:left w:val="none" w:sz="0" w:space="0" w:color="auto"/>
            <w:bottom w:val="none" w:sz="0" w:space="0" w:color="auto"/>
            <w:right w:val="none" w:sz="0" w:space="0" w:color="auto"/>
          </w:divBdr>
        </w:div>
        <w:div w:id="2024702352">
          <w:marLeft w:val="0"/>
          <w:marRight w:val="0"/>
          <w:marTop w:val="0"/>
          <w:marBottom w:val="0"/>
          <w:divBdr>
            <w:top w:val="none" w:sz="0" w:space="0" w:color="auto"/>
            <w:left w:val="none" w:sz="0" w:space="0" w:color="auto"/>
            <w:bottom w:val="none" w:sz="0" w:space="0" w:color="auto"/>
            <w:right w:val="none" w:sz="0" w:space="0" w:color="auto"/>
          </w:divBdr>
        </w:div>
        <w:div w:id="2024702353">
          <w:marLeft w:val="0"/>
          <w:marRight w:val="0"/>
          <w:marTop w:val="0"/>
          <w:marBottom w:val="0"/>
          <w:divBdr>
            <w:top w:val="none" w:sz="0" w:space="0" w:color="auto"/>
            <w:left w:val="none" w:sz="0" w:space="0" w:color="auto"/>
            <w:bottom w:val="none" w:sz="0" w:space="0" w:color="auto"/>
            <w:right w:val="none" w:sz="0" w:space="0" w:color="auto"/>
          </w:divBdr>
        </w:div>
        <w:div w:id="2024702354">
          <w:marLeft w:val="0"/>
          <w:marRight w:val="0"/>
          <w:marTop w:val="0"/>
          <w:marBottom w:val="0"/>
          <w:divBdr>
            <w:top w:val="none" w:sz="0" w:space="0" w:color="auto"/>
            <w:left w:val="none" w:sz="0" w:space="0" w:color="auto"/>
            <w:bottom w:val="none" w:sz="0" w:space="0" w:color="auto"/>
            <w:right w:val="none" w:sz="0" w:space="0" w:color="auto"/>
          </w:divBdr>
        </w:div>
        <w:div w:id="2024702355">
          <w:marLeft w:val="0"/>
          <w:marRight w:val="0"/>
          <w:marTop w:val="0"/>
          <w:marBottom w:val="0"/>
          <w:divBdr>
            <w:top w:val="none" w:sz="0" w:space="0" w:color="auto"/>
            <w:left w:val="none" w:sz="0" w:space="0" w:color="auto"/>
            <w:bottom w:val="none" w:sz="0" w:space="0" w:color="auto"/>
            <w:right w:val="none" w:sz="0" w:space="0" w:color="auto"/>
          </w:divBdr>
        </w:div>
        <w:div w:id="2024702356">
          <w:marLeft w:val="0"/>
          <w:marRight w:val="0"/>
          <w:marTop w:val="0"/>
          <w:marBottom w:val="0"/>
          <w:divBdr>
            <w:top w:val="none" w:sz="0" w:space="0" w:color="auto"/>
            <w:left w:val="none" w:sz="0" w:space="0" w:color="auto"/>
            <w:bottom w:val="none" w:sz="0" w:space="0" w:color="auto"/>
            <w:right w:val="none" w:sz="0" w:space="0" w:color="auto"/>
          </w:divBdr>
        </w:div>
        <w:div w:id="2024702358">
          <w:marLeft w:val="0"/>
          <w:marRight w:val="0"/>
          <w:marTop w:val="0"/>
          <w:marBottom w:val="0"/>
          <w:divBdr>
            <w:top w:val="none" w:sz="0" w:space="0" w:color="auto"/>
            <w:left w:val="none" w:sz="0" w:space="0" w:color="auto"/>
            <w:bottom w:val="none" w:sz="0" w:space="0" w:color="auto"/>
            <w:right w:val="none" w:sz="0" w:space="0" w:color="auto"/>
          </w:divBdr>
        </w:div>
        <w:div w:id="2024702359">
          <w:marLeft w:val="0"/>
          <w:marRight w:val="0"/>
          <w:marTop w:val="0"/>
          <w:marBottom w:val="0"/>
          <w:divBdr>
            <w:top w:val="none" w:sz="0" w:space="0" w:color="auto"/>
            <w:left w:val="none" w:sz="0" w:space="0" w:color="auto"/>
            <w:bottom w:val="none" w:sz="0" w:space="0" w:color="auto"/>
            <w:right w:val="none" w:sz="0" w:space="0" w:color="auto"/>
          </w:divBdr>
        </w:div>
        <w:div w:id="2024702360">
          <w:marLeft w:val="0"/>
          <w:marRight w:val="0"/>
          <w:marTop w:val="0"/>
          <w:marBottom w:val="0"/>
          <w:divBdr>
            <w:top w:val="none" w:sz="0" w:space="0" w:color="auto"/>
            <w:left w:val="none" w:sz="0" w:space="0" w:color="auto"/>
            <w:bottom w:val="none" w:sz="0" w:space="0" w:color="auto"/>
            <w:right w:val="none" w:sz="0" w:space="0" w:color="auto"/>
          </w:divBdr>
        </w:div>
        <w:div w:id="2024702362">
          <w:marLeft w:val="0"/>
          <w:marRight w:val="0"/>
          <w:marTop w:val="0"/>
          <w:marBottom w:val="0"/>
          <w:divBdr>
            <w:top w:val="none" w:sz="0" w:space="0" w:color="auto"/>
            <w:left w:val="none" w:sz="0" w:space="0" w:color="auto"/>
            <w:bottom w:val="none" w:sz="0" w:space="0" w:color="auto"/>
            <w:right w:val="none" w:sz="0" w:space="0" w:color="auto"/>
          </w:divBdr>
        </w:div>
        <w:div w:id="2024702363">
          <w:marLeft w:val="0"/>
          <w:marRight w:val="0"/>
          <w:marTop w:val="0"/>
          <w:marBottom w:val="0"/>
          <w:divBdr>
            <w:top w:val="none" w:sz="0" w:space="0" w:color="auto"/>
            <w:left w:val="none" w:sz="0" w:space="0" w:color="auto"/>
            <w:bottom w:val="none" w:sz="0" w:space="0" w:color="auto"/>
            <w:right w:val="none" w:sz="0" w:space="0" w:color="auto"/>
          </w:divBdr>
        </w:div>
        <w:div w:id="2024702364">
          <w:marLeft w:val="0"/>
          <w:marRight w:val="0"/>
          <w:marTop w:val="0"/>
          <w:marBottom w:val="0"/>
          <w:divBdr>
            <w:top w:val="none" w:sz="0" w:space="0" w:color="auto"/>
            <w:left w:val="none" w:sz="0" w:space="0" w:color="auto"/>
            <w:bottom w:val="none" w:sz="0" w:space="0" w:color="auto"/>
            <w:right w:val="none" w:sz="0" w:space="0" w:color="auto"/>
          </w:divBdr>
        </w:div>
        <w:div w:id="2024702365">
          <w:marLeft w:val="0"/>
          <w:marRight w:val="0"/>
          <w:marTop w:val="0"/>
          <w:marBottom w:val="0"/>
          <w:divBdr>
            <w:top w:val="none" w:sz="0" w:space="0" w:color="auto"/>
            <w:left w:val="none" w:sz="0" w:space="0" w:color="auto"/>
            <w:bottom w:val="none" w:sz="0" w:space="0" w:color="auto"/>
            <w:right w:val="none" w:sz="0" w:space="0" w:color="auto"/>
          </w:divBdr>
        </w:div>
        <w:div w:id="2024702366">
          <w:marLeft w:val="0"/>
          <w:marRight w:val="0"/>
          <w:marTop w:val="0"/>
          <w:marBottom w:val="0"/>
          <w:divBdr>
            <w:top w:val="none" w:sz="0" w:space="0" w:color="auto"/>
            <w:left w:val="none" w:sz="0" w:space="0" w:color="auto"/>
            <w:bottom w:val="none" w:sz="0" w:space="0" w:color="auto"/>
            <w:right w:val="none" w:sz="0" w:space="0" w:color="auto"/>
          </w:divBdr>
        </w:div>
        <w:div w:id="2024702367">
          <w:marLeft w:val="0"/>
          <w:marRight w:val="0"/>
          <w:marTop w:val="0"/>
          <w:marBottom w:val="0"/>
          <w:divBdr>
            <w:top w:val="none" w:sz="0" w:space="0" w:color="auto"/>
            <w:left w:val="none" w:sz="0" w:space="0" w:color="auto"/>
            <w:bottom w:val="none" w:sz="0" w:space="0" w:color="auto"/>
            <w:right w:val="none" w:sz="0" w:space="0" w:color="auto"/>
          </w:divBdr>
        </w:div>
        <w:div w:id="2024702368">
          <w:marLeft w:val="0"/>
          <w:marRight w:val="0"/>
          <w:marTop w:val="0"/>
          <w:marBottom w:val="0"/>
          <w:divBdr>
            <w:top w:val="none" w:sz="0" w:space="0" w:color="auto"/>
            <w:left w:val="none" w:sz="0" w:space="0" w:color="auto"/>
            <w:bottom w:val="none" w:sz="0" w:space="0" w:color="auto"/>
            <w:right w:val="none" w:sz="0" w:space="0" w:color="auto"/>
          </w:divBdr>
        </w:div>
        <w:div w:id="2024702369">
          <w:marLeft w:val="0"/>
          <w:marRight w:val="0"/>
          <w:marTop w:val="0"/>
          <w:marBottom w:val="0"/>
          <w:divBdr>
            <w:top w:val="none" w:sz="0" w:space="0" w:color="auto"/>
            <w:left w:val="none" w:sz="0" w:space="0" w:color="auto"/>
            <w:bottom w:val="none" w:sz="0" w:space="0" w:color="auto"/>
            <w:right w:val="none" w:sz="0" w:space="0" w:color="auto"/>
          </w:divBdr>
        </w:div>
        <w:div w:id="2024702370">
          <w:marLeft w:val="0"/>
          <w:marRight w:val="0"/>
          <w:marTop w:val="0"/>
          <w:marBottom w:val="0"/>
          <w:divBdr>
            <w:top w:val="none" w:sz="0" w:space="0" w:color="auto"/>
            <w:left w:val="none" w:sz="0" w:space="0" w:color="auto"/>
            <w:bottom w:val="none" w:sz="0" w:space="0" w:color="auto"/>
            <w:right w:val="none" w:sz="0" w:space="0" w:color="auto"/>
          </w:divBdr>
        </w:div>
        <w:div w:id="2024702371">
          <w:marLeft w:val="0"/>
          <w:marRight w:val="0"/>
          <w:marTop w:val="0"/>
          <w:marBottom w:val="0"/>
          <w:divBdr>
            <w:top w:val="none" w:sz="0" w:space="0" w:color="auto"/>
            <w:left w:val="none" w:sz="0" w:space="0" w:color="auto"/>
            <w:bottom w:val="none" w:sz="0" w:space="0" w:color="auto"/>
            <w:right w:val="none" w:sz="0" w:space="0" w:color="auto"/>
          </w:divBdr>
        </w:div>
        <w:div w:id="2024702372">
          <w:marLeft w:val="0"/>
          <w:marRight w:val="0"/>
          <w:marTop w:val="0"/>
          <w:marBottom w:val="0"/>
          <w:divBdr>
            <w:top w:val="none" w:sz="0" w:space="0" w:color="auto"/>
            <w:left w:val="none" w:sz="0" w:space="0" w:color="auto"/>
            <w:bottom w:val="none" w:sz="0" w:space="0" w:color="auto"/>
            <w:right w:val="none" w:sz="0" w:space="0" w:color="auto"/>
          </w:divBdr>
        </w:div>
        <w:div w:id="2024702374">
          <w:marLeft w:val="0"/>
          <w:marRight w:val="0"/>
          <w:marTop w:val="0"/>
          <w:marBottom w:val="0"/>
          <w:divBdr>
            <w:top w:val="none" w:sz="0" w:space="0" w:color="auto"/>
            <w:left w:val="none" w:sz="0" w:space="0" w:color="auto"/>
            <w:bottom w:val="none" w:sz="0" w:space="0" w:color="auto"/>
            <w:right w:val="none" w:sz="0" w:space="0" w:color="auto"/>
          </w:divBdr>
        </w:div>
        <w:div w:id="2024702375">
          <w:marLeft w:val="0"/>
          <w:marRight w:val="0"/>
          <w:marTop w:val="0"/>
          <w:marBottom w:val="0"/>
          <w:divBdr>
            <w:top w:val="none" w:sz="0" w:space="0" w:color="auto"/>
            <w:left w:val="none" w:sz="0" w:space="0" w:color="auto"/>
            <w:bottom w:val="none" w:sz="0" w:space="0" w:color="auto"/>
            <w:right w:val="none" w:sz="0" w:space="0" w:color="auto"/>
          </w:divBdr>
        </w:div>
        <w:div w:id="2024702376">
          <w:marLeft w:val="0"/>
          <w:marRight w:val="0"/>
          <w:marTop w:val="0"/>
          <w:marBottom w:val="0"/>
          <w:divBdr>
            <w:top w:val="none" w:sz="0" w:space="0" w:color="auto"/>
            <w:left w:val="none" w:sz="0" w:space="0" w:color="auto"/>
            <w:bottom w:val="none" w:sz="0" w:space="0" w:color="auto"/>
            <w:right w:val="none" w:sz="0" w:space="0" w:color="auto"/>
          </w:divBdr>
        </w:div>
        <w:div w:id="2024702377">
          <w:marLeft w:val="0"/>
          <w:marRight w:val="0"/>
          <w:marTop w:val="0"/>
          <w:marBottom w:val="0"/>
          <w:divBdr>
            <w:top w:val="none" w:sz="0" w:space="0" w:color="auto"/>
            <w:left w:val="none" w:sz="0" w:space="0" w:color="auto"/>
            <w:bottom w:val="none" w:sz="0" w:space="0" w:color="auto"/>
            <w:right w:val="none" w:sz="0" w:space="0" w:color="auto"/>
          </w:divBdr>
        </w:div>
        <w:div w:id="2024702378">
          <w:marLeft w:val="0"/>
          <w:marRight w:val="0"/>
          <w:marTop w:val="0"/>
          <w:marBottom w:val="0"/>
          <w:divBdr>
            <w:top w:val="none" w:sz="0" w:space="0" w:color="auto"/>
            <w:left w:val="none" w:sz="0" w:space="0" w:color="auto"/>
            <w:bottom w:val="none" w:sz="0" w:space="0" w:color="auto"/>
            <w:right w:val="none" w:sz="0" w:space="0" w:color="auto"/>
          </w:divBdr>
        </w:div>
        <w:div w:id="2024702379">
          <w:marLeft w:val="0"/>
          <w:marRight w:val="0"/>
          <w:marTop w:val="0"/>
          <w:marBottom w:val="0"/>
          <w:divBdr>
            <w:top w:val="none" w:sz="0" w:space="0" w:color="auto"/>
            <w:left w:val="none" w:sz="0" w:space="0" w:color="auto"/>
            <w:bottom w:val="none" w:sz="0" w:space="0" w:color="auto"/>
            <w:right w:val="none" w:sz="0" w:space="0" w:color="auto"/>
          </w:divBdr>
        </w:div>
        <w:div w:id="2024702380">
          <w:marLeft w:val="0"/>
          <w:marRight w:val="0"/>
          <w:marTop w:val="0"/>
          <w:marBottom w:val="0"/>
          <w:divBdr>
            <w:top w:val="none" w:sz="0" w:space="0" w:color="auto"/>
            <w:left w:val="none" w:sz="0" w:space="0" w:color="auto"/>
            <w:bottom w:val="none" w:sz="0" w:space="0" w:color="auto"/>
            <w:right w:val="none" w:sz="0" w:space="0" w:color="auto"/>
          </w:divBdr>
        </w:div>
        <w:div w:id="2024702381">
          <w:marLeft w:val="0"/>
          <w:marRight w:val="0"/>
          <w:marTop w:val="0"/>
          <w:marBottom w:val="0"/>
          <w:divBdr>
            <w:top w:val="none" w:sz="0" w:space="0" w:color="auto"/>
            <w:left w:val="none" w:sz="0" w:space="0" w:color="auto"/>
            <w:bottom w:val="none" w:sz="0" w:space="0" w:color="auto"/>
            <w:right w:val="none" w:sz="0" w:space="0" w:color="auto"/>
          </w:divBdr>
        </w:div>
        <w:div w:id="2024702382">
          <w:marLeft w:val="0"/>
          <w:marRight w:val="0"/>
          <w:marTop w:val="0"/>
          <w:marBottom w:val="0"/>
          <w:divBdr>
            <w:top w:val="none" w:sz="0" w:space="0" w:color="auto"/>
            <w:left w:val="none" w:sz="0" w:space="0" w:color="auto"/>
            <w:bottom w:val="none" w:sz="0" w:space="0" w:color="auto"/>
            <w:right w:val="none" w:sz="0" w:space="0" w:color="auto"/>
          </w:divBdr>
        </w:div>
        <w:div w:id="2024702383">
          <w:marLeft w:val="0"/>
          <w:marRight w:val="0"/>
          <w:marTop w:val="0"/>
          <w:marBottom w:val="0"/>
          <w:divBdr>
            <w:top w:val="none" w:sz="0" w:space="0" w:color="auto"/>
            <w:left w:val="none" w:sz="0" w:space="0" w:color="auto"/>
            <w:bottom w:val="none" w:sz="0" w:space="0" w:color="auto"/>
            <w:right w:val="none" w:sz="0" w:space="0" w:color="auto"/>
          </w:divBdr>
        </w:div>
        <w:div w:id="2024702384">
          <w:marLeft w:val="0"/>
          <w:marRight w:val="0"/>
          <w:marTop w:val="0"/>
          <w:marBottom w:val="0"/>
          <w:divBdr>
            <w:top w:val="none" w:sz="0" w:space="0" w:color="auto"/>
            <w:left w:val="none" w:sz="0" w:space="0" w:color="auto"/>
            <w:bottom w:val="none" w:sz="0" w:space="0" w:color="auto"/>
            <w:right w:val="none" w:sz="0" w:space="0" w:color="auto"/>
          </w:divBdr>
        </w:div>
        <w:div w:id="2024702385">
          <w:marLeft w:val="0"/>
          <w:marRight w:val="0"/>
          <w:marTop w:val="0"/>
          <w:marBottom w:val="0"/>
          <w:divBdr>
            <w:top w:val="none" w:sz="0" w:space="0" w:color="auto"/>
            <w:left w:val="none" w:sz="0" w:space="0" w:color="auto"/>
            <w:bottom w:val="none" w:sz="0" w:space="0" w:color="auto"/>
            <w:right w:val="none" w:sz="0" w:space="0" w:color="auto"/>
          </w:divBdr>
        </w:div>
        <w:div w:id="2024702386">
          <w:marLeft w:val="0"/>
          <w:marRight w:val="0"/>
          <w:marTop w:val="0"/>
          <w:marBottom w:val="0"/>
          <w:divBdr>
            <w:top w:val="none" w:sz="0" w:space="0" w:color="auto"/>
            <w:left w:val="none" w:sz="0" w:space="0" w:color="auto"/>
            <w:bottom w:val="none" w:sz="0" w:space="0" w:color="auto"/>
            <w:right w:val="none" w:sz="0" w:space="0" w:color="auto"/>
          </w:divBdr>
        </w:div>
        <w:div w:id="2024702387">
          <w:marLeft w:val="0"/>
          <w:marRight w:val="0"/>
          <w:marTop w:val="0"/>
          <w:marBottom w:val="0"/>
          <w:divBdr>
            <w:top w:val="none" w:sz="0" w:space="0" w:color="auto"/>
            <w:left w:val="none" w:sz="0" w:space="0" w:color="auto"/>
            <w:bottom w:val="none" w:sz="0" w:space="0" w:color="auto"/>
            <w:right w:val="none" w:sz="0" w:space="0" w:color="auto"/>
          </w:divBdr>
        </w:div>
        <w:div w:id="2024702388">
          <w:marLeft w:val="0"/>
          <w:marRight w:val="0"/>
          <w:marTop w:val="0"/>
          <w:marBottom w:val="0"/>
          <w:divBdr>
            <w:top w:val="none" w:sz="0" w:space="0" w:color="auto"/>
            <w:left w:val="none" w:sz="0" w:space="0" w:color="auto"/>
            <w:bottom w:val="none" w:sz="0" w:space="0" w:color="auto"/>
            <w:right w:val="none" w:sz="0" w:space="0" w:color="auto"/>
          </w:divBdr>
        </w:div>
        <w:div w:id="2024702389">
          <w:marLeft w:val="0"/>
          <w:marRight w:val="0"/>
          <w:marTop w:val="0"/>
          <w:marBottom w:val="0"/>
          <w:divBdr>
            <w:top w:val="none" w:sz="0" w:space="0" w:color="auto"/>
            <w:left w:val="none" w:sz="0" w:space="0" w:color="auto"/>
            <w:bottom w:val="none" w:sz="0" w:space="0" w:color="auto"/>
            <w:right w:val="none" w:sz="0" w:space="0" w:color="auto"/>
          </w:divBdr>
        </w:div>
        <w:div w:id="2024702390">
          <w:marLeft w:val="0"/>
          <w:marRight w:val="0"/>
          <w:marTop w:val="0"/>
          <w:marBottom w:val="0"/>
          <w:divBdr>
            <w:top w:val="none" w:sz="0" w:space="0" w:color="auto"/>
            <w:left w:val="none" w:sz="0" w:space="0" w:color="auto"/>
            <w:bottom w:val="none" w:sz="0" w:space="0" w:color="auto"/>
            <w:right w:val="none" w:sz="0" w:space="0" w:color="auto"/>
          </w:divBdr>
        </w:div>
        <w:div w:id="2024702391">
          <w:marLeft w:val="0"/>
          <w:marRight w:val="0"/>
          <w:marTop w:val="0"/>
          <w:marBottom w:val="0"/>
          <w:divBdr>
            <w:top w:val="none" w:sz="0" w:space="0" w:color="auto"/>
            <w:left w:val="none" w:sz="0" w:space="0" w:color="auto"/>
            <w:bottom w:val="none" w:sz="0" w:space="0" w:color="auto"/>
            <w:right w:val="none" w:sz="0" w:space="0" w:color="auto"/>
          </w:divBdr>
        </w:div>
        <w:div w:id="2024702392">
          <w:marLeft w:val="0"/>
          <w:marRight w:val="0"/>
          <w:marTop w:val="0"/>
          <w:marBottom w:val="0"/>
          <w:divBdr>
            <w:top w:val="none" w:sz="0" w:space="0" w:color="auto"/>
            <w:left w:val="none" w:sz="0" w:space="0" w:color="auto"/>
            <w:bottom w:val="none" w:sz="0" w:space="0" w:color="auto"/>
            <w:right w:val="none" w:sz="0" w:space="0" w:color="auto"/>
          </w:divBdr>
        </w:div>
        <w:div w:id="2024702393">
          <w:marLeft w:val="0"/>
          <w:marRight w:val="0"/>
          <w:marTop w:val="0"/>
          <w:marBottom w:val="0"/>
          <w:divBdr>
            <w:top w:val="none" w:sz="0" w:space="0" w:color="auto"/>
            <w:left w:val="none" w:sz="0" w:space="0" w:color="auto"/>
            <w:bottom w:val="none" w:sz="0" w:space="0" w:color="auto"/>
            <w:right w:val="none" w:sz="0" w:space="0" w:color="auto"/>
          </w:divBdr>
        </w:div>
        <w:div w:id="2024702394">
          <w:marLeft w:val="0"/>
          <w:marRight w:val="0"/>
          <w:marTop w:val="0"/>
          <w:marBottom w:val="0"/>
          <w:divBdr>
            <w:top w:val="none" w:sz="0" w:space="0" w:color="auto"/>
            <w:left w:val="none" w:sz="0" w:space="0" w:color="auto"/>
            <w:bottom w:val="none" w:sz="0" w:space="0" w:color="auto"/>
            <w:right w:val="none" w:sz="0" w:space="0" w:color="auto"/>
          </w:divBdr>
        </w:div>
        <w:div w:id="2024702395">
          <w:marLeft w:val="0"/>
          <w:marRight w:val="0"/>
          <w:marTop w:val="0"/>
          <w:marBottom w:val="0"/>
          <w:divBdr>
            <w:top w:val="none" w:sz="0" w:space="0" w:color="auto"/>
            <w:left w:val="none" w:sz="0" w:space="0" w:color="auto"/>
            <w:bottom w:val="none" w:sz="0" w:space="0" w:color="auto"/>
            <w:right w:val="none" w:sz="0" w:space="0" w:color="auto"/>
          </w:divBdr>
        </w:div>
        <w:div w:id="2024702396">
          <w:marLeft w:val="0"/>
          <w:marRight w:val="0"/>
          <w:marTop w:val="0"/>
          <w:marBottom w:val="0"/>
          <w:divBdr>
            <w:top w:val="none" w:sz="0" w:space="0" w:color="auto"/>
            <w:left w:val="none" w:sz="0" w:space="0" w:color="auto"/>
            <w:bottom w:val="none" w:sz="0" w:space="0" w:color="auto"/>
            <w:right w:val="none" w:sz="0" w:space="0" w:color="auto"/>
          </w:divBdr>
        </w:div>
        <w:div w:id="2024702397">
          <w:marLeft w:val="0"/>
          <w:marRight w:val="0"/>
          <w:marTop w:val="0"/>
          <w:marBottom w:val="0"/>
          <w:divBdr>
            <w:top w:val="none" w:sz="0" w:space="0" w:color="auto"/>
            <w:left w:val="none" w:sz="0" w:space="0" w:color="auto"/>
            <w:bottom w:val="none" w:sz="0" w:space="0" w:color="auto"/>
            <w:right w:val="none" w:sz="0" w:space="0" w:color="auto"/>
          </w:divBdr>
        </w:div>
        <w:div w:id="2024702398">
          <w:marLeft w:val="0"/>
          <w:marRight w:val="0"/>
          <w:marTop w:val="0"/>
          <w:marBottom w:val="0"/>
          <w:divBdr>
            <w:top w:val="none" w:sz="0" w:space="0" w:color="auto"/>
            <w:left w:val="none" w:sz="0" w:space="0" w:color="auto"/>
            <w:bottom w:val="none" w:sz="0" w:space="0" w:color="auto"/>
            <w:right w:val="none" w:sz="0" w:space="0" w:color="auto"/>
          </w:divBdr>
        </w:div>
        <w:div w:id="2024702399">
          <w:marLeft w:val="0"/>
          <w:marRight w:val="0"/>
          <w:marTop w:val="0"/>
          <w:marBottom w:val="0"/>
          <w:divBdr>
            <w:top w:val="none" w:sz="0" w:space="0" w:color="auto"/>
            <w:left w:val="none" w:sz="0" w:space="0" w:color="auto"/>
            <w:bottom w:val="none" w:sz="0" w:space="0" w:color="auto"/>
            <w:right w:val="none" w:sz="0" w:space="0" w:color="auto"/>
          </w:divBdr>
        </w:div>
        <w:div w:id="2024702400">
          <w:marLeft w:val="0"/>
          <w:marRight w:val="0"/>
          <w:marTop w:val="0"/>
          <w:marBottom w:val="0"/>
          <w:divBdr>
            <w:top w:val="none" w:sz="0" w:space="0" w:color="auto"/>
            <w:left w:val="none" w:sz="0" w:space="0" w:color="auto"/>
            <w:bottom w:val="none" w:sz="0" w:space="0" w:color="auto"/>
            <w:right w:val="none" w:sz="0" w:space="0" w:color="auto"/>
          </w:divBdr>
        </w:div>
        <w:div w:id="2024702401">
          <w:marLeft w:val="0"/>
          <w:marRight w:val="0"/>
          <w:marTop w:val="0"/>
          <w:marBottom w:val="0"/>
          <w:divBdr>
            <w:top w:val="none" w:sz="0" w:space="0" w:color="auto"/>
            <w:left w:val="none" w:sz="0" w:space="0" w:color="auto"/>
            <w:bottom w:val="none" w:sz="0" w:space="0" w:color="auto"/>
            <w:right w:val="none" w:sz="0" w:space="0" w:color="auto"/>
          </w:divBdr>
        </w:div>
        <w:div w:id="2024702402">
          <w:marLeft w:val="0"/>
          <w:marRight w:val="0"/>
          <w:marTop w:val="0"/>
          <w:marBottom w:val="0"/>
          <w:divBdr>
            <w:top w:val="none" w:sz="0" w:space="0" w:color="auto"/>
            <w:left w:val="none" w:sz="0" w:space="0" w:color="auto"/>
            <w:bottom w:val="none" w:sz="0" w:space="0" w:color="auto"/>
            <w:right w:val="none" w:sz="0" w:space="0" w:color="auto"/>
          </w:divBdr>
        </w:div>
        <w:div w:id="2024702403">
          <w:marLeft w:val="0"/>
          <w:marRight w:val="0"/>
          <w:marTop w:val="0"/>
          <w:marBottom w:val="0"/>
          <w:divBdr>
            <w:top w:val="none" w:sz="0" w:space="0" w:color="auto"/>
            <w:left w:val="none" w:sz="0" w:space="0" w:color="auto"/>
            <w:bottom w:val="none" w:sz="0" w:space="0" w:color="auto"/>
            <w:right w:val="none" w:sz="0" w:space="0" w:color="auto"/>
          </w:divBdr>
        </w:div>
        <w:div w:id="2024702404">
          <w:marLeft w:val="0"/>
          <w:marRight w:val="0"/>
          <w:marTop w:val="0"/>
          <w:marBottom w:val="0"/>
          <w:divBdr>
            <w:top w:val="none" w:sz="0" w:space="0" w:color="auto"/>
            <w:left w:val="none" w:sz="0" w:space="0" w:color="auto"/>
            <w:bottom w:val="none" w:sz="0" w:space="0" w:color="auto"/>
            <w:right w:val="none" w:sz="0" w:space="0" w:color="auto"/>
          </w:divBdr>
        </w:div>
        <w:div w:id="2024702405">
          <w:marLeft w:val="0"/>
          <w:marRight w:val="0"/>
          <w:marTop w:val="0"/>
          <w:marBottom w:val="0"/>
          <w:divBdr>
            <w:top w:val="none" w:sz="0" w:space="0" w:color="auto"/>
            <w:left w:val="none" w:sz="0" w:space="0" w:color="auto"/>
            <w:bottom w:val="none" w:sz="0" w:space="0" w:color="auto"/>
            <w:right w:val="none" w:sz="0" w:space="0" w:color="auto"/>
          </w:divBdr>
        </w:div>
        <w:div w:id="2024702406">
          <w:marLeft w:val="0"/>
          <w:marRight w:val="0"/>
          <w:marTop w:val="0"/>
          <w:marBottom w:val="0"/>
          <w:divBdr>
            <w:top w:val="none" w:sz="0" w:space="0" w:color="auto"/>
            <w:left w:val="none" w:sz="0" w:space="0" w:color="auto"/>
            <w:bottom w:val="none" w:sz="0" w:space="0" w:color="auto"/>
            <w:right w:val="none" w:sz="0" w:space="0" w:color="auto"/>
          </w:divBdr>
        </w:div>
        <w:div w:id="2024702407">
          <w:marLeft w:val="0"/>
          <w:marRight w:val="0"/>
          <w:marTop w:val="0"/>
          <w:marBottom w:val="0"/>
          <w:divBdr>
            <w:top w:val="none" w:sz="0" w:space="0" w:color="auto"/>
            <w:left w:val="none" w:sz="0" w:space="0" w:color="auto"/>
            <w:bottom w:val="none" w:sz="0" w:space="0" w:color="auto"/>
            <w:right w:val="none" w:sz="0" w:space="0" w:color="auto"/>
          </w:divBdr>
        </w:div>
        <w:div w:id="2024702408">
          <w:marLeft w:val="0"/>
          <w:marRight w:val="0"/>
          <w:marTop w:val="0"/>
          <w:marBottom w:val="0"/>
          <w:divBdr>
            <w:top w:val="none" w:sz="0" w:space="0" w:color="auto"/>
            <w:left w:val="none" w:sz="0" w:space="0" w:color="auto"/>
            <w:bottom w:val="none" w:sz="0" w:space="0" w:color="auto"/>
            <w:right w:val="none" w:sz="0" w:space="0" w:color="auto"/>
          </w:divBdr>
        </w:div>
        <w:div w:id="2024702409">
          <w:marLeft w:val="0"/>
          <w:marRight w:val="0"/>
          <w:marTop w:val="0"/>
          <w:marBottom w:val="0"/>
          <w:divBdr>
            <w:top w:val="none" w:sz="0" w:space="0" w:color="auto"/>
            <w:left w:val="none" w:sz="0" w:space="0" w:color="auto"/>
            <w:bottom w:val="none" w:sz="0" w:space="0" w:color="auto"/>
            <w:right w:val="none" w:sz="0" w:space="0" w:color="auto"/>
          </w:divBdr>
        </w:div>
        <w:div w:id="2024702411">
          <w:marLeft w:val="0"/>
          <w:marRight w:val="0"/>
          <w:marTop w:val="0"/>
          <w:marBottom w:val="0"/>
          <w:divBdr>
            <w:top w:val="none" w:sz="0" w:space="0" w:color="auto"/>
            <w:left w:val="none" w:sz="0" w:space="0" w:color="auto"/>
            <w:bottom w:val="none" w:sz="0" w:space="0" w:color="auto"/>
            <w:right w:val="none" w:sz="0" w:space="0" w:color="auto"/>
          </w:divBdr>
        </w:div>
        <w:div w:id="2024702412">
          <w:marLeft w:val="0"/>
          <w:marRight w:val="0"/>
          <w:marTop w:val="0"/>
          <w:marBottom w:val="0"/>
          <w:divBdr>
            <w:top w:val="none" w:sz="0" w:space="0" w:color="auto"/>
            <w:left w:val="none" w:sz="0" w:space="0" w:color="auto"/>
            <w:bottom w:val="none" w:sz="0" w:space="0" w:color="auto"/>
            <w:right w:val="none" w:sz="0" w:space="0" w:color="auto"/>
          </w:divBdr>
        </w:div>
        <w:div w:id="2024702413">
          <w:marLeft w:val="0"/>
          <w:marRight w:val="0"/>
          <w:marTop w:val="0"/>
          <w:marBottom w:val="0"/>
          <w:divBdr>
            <w:top w:val="none" w:sz="0" w:space="0" w:color="auto"/>
            <w:left w:val="none" w:sz="0" w:space="0" w:color="auto"/>
            <w:bottom w:val="none" w:sz="0" w:space="0" w:color="auto"/>
            <w:right w:val="none" w:sz="0" w:space="0" w:color="auto"/>
          </w:divBdr>
        </w:div>
        <w:div w:id="2024702414">
          <w:marLeft w:val="0"/>
          <w:marRight w:val="0"/>
          <w:marTop w:val="0"/>
          <w:marBottom w:val="0"/>
          <w:divBdr>
            <w:top w:val="none" w:sz="0" w:space="0" w:color="auto"/>
            <w:left w:val="none" w:sz="0" w:space="0" w:color="auto"/>
            <w:bottom w:val="none" w:sz="0" w:space="0" w:color="auto"/>
            <w:right w:val="none" w:sz="0" w:space="0" w:color="auto"/>
          </w:divBdr>
        </w:div>
        <w:div w:id="2024702415">
          <w:marLeft w:val="0"/>
          <w:marRight w:val="0"/>
          <w:marTop w:val="0"/>
          <w:marBottom w:val="0"/>
          <w:divBdr>
            <w:top w:val="none" w:sz="0" w:space="0" w:color="auto"/>
            <w:left w:val="none" w:sz="0" w:space="0" w:color="auto"/>
            <w:bottom w:val="none" w:sz="0" w:space="0" w:color="auto"/>
            <w:right w:val="none" w:sz="0" w:space="0" w:color="auto"/>
          </w:divBdr>
        </w:div>
        <w:div w:id="2024702416">
          <w:marLeft w:val="0"/>
          <w:marRight w:val="0"/>
          <w:marTop w:val="0"/>
          <w:marBottom w:val="0"/>
          <w:divBdr>
            <w:top w:val="none" w:sz="0" w:space="0" w:color="auto"/>
            <w:left w:val="none" w:sz="0" w:space="0" w:color="auto"/>
            <w:bottom w:val="none" w:sz="0" w:space="0" w:color="auto"/>
            <w:right w:val="none" w:sz="0" w:space="0" w:color="auto"/>
          </w:divBdr>
        </w:div>
        <w:div w:id="2024702417">
          <w:marLeft w:val="0"/>
          <w:marRight w:val="0"/>
          <w:marTop w:val="0"/>
          <w:marBottom w:val="0"/>
          <w:divBdr>
            <w:top w:val="none" w:sz="0" w:space="0" w:color="auto"/>
            <w:left w:val="none" w:sz="0" w:space="0" w:color="auto"/>
            <w:bottom w:val="none" w:sz="0" w:space="0" w:color="auto"/>
            <w:right w:val="none" w:sz="0" w:space="0" w:color="auto"/>
          </w:divBdr>
        </w:div>
        <w:div w:id="2024702418">
          <w:marLeft w:val="0"/>
          <w:marRight w:val="0"/>
          <w:marTop w:val="0"/>
          <w:marBottom w:val="0"/>
          <w:divBdr>
            <w:top w:val="none" w:sz="0" w:space="0" w:color="auto"/>
            <w:left w:val="none" w:sz="0" w:space="0" w:color="auto"/>
            <w:bottom w:val="none" w:sz="0" w:space="0" w:color="auto"/>
            <w:right w:val="none" w:sz="0" w:space="0" w:color="auto"/>
          </w:divBdr>
        </w:div>
        <w:div w:id="2024702419">
          <w:marLeft w:val="0"/>
          <w:marRight w:val="0"/>
          <w:marTop w:val="0"/>
          <w:marBottom w:val="0"/>
          <w:divBdr>
            <w:top w:val="none" w:sz="0" w:space="0" w:color="auto"/>
            <w:left w:val="none" w:sz="0" w:space="0" w:color="auto"/>
            <w:bottom w:val="none" w:sz="0" w:space="0" w:color="auto"/>
            <w:right w:val="none" w:sz="0" w:space="0" w:color="auto"/>
          </w:divBdr>
        </w:div>
        <w:div w:id="2024702420">
          <w:marLeft w:val="0"/>
          <w:marRight w:val="0"/>
          <w:marTop w:val="0"/>
          <w:marBottom w:val="0"/>
          <w:divBdr>
            <w:top w:val="none" w:sz="0" w:space="0" w:color="auto"/>
            <w:left w:val="none" w:sz="0" w:space="0" w:color="auto"/>
            <w:bottom w:val="none" w:sz="0" w:space="0" w:color="auto"/>
            <w:right w:val="none" w:sz="0" w:space="0" w:color="auto"/>
          </w:divBdr>
        </w:div>
        <w:div w:id="2024702421">
          <w:marLeft w:val="0"/>
          <w:marRight w:val="0"/>
          <w:marTop w:val="0"/>
          <w:marBottom w:val="0"/>
          <w:divBdr>
            <w:top w:val="none" w:sz="0" w:space="0" w:color="auto"/>
            <w:left w:val="none" w:sz="0" w:space="0" w:color="auto"/>
            <w:bottom w:val="none" w:sz="0" w:space="0" w:color="auto"/>
            <w:right w:val="none" w:sz="0" w:space="0" w:color="auto"/>
          </w:divBdr>
        </w:div>
        <w:div w:id="2024702422">
          <w:marLeft w:val="0"/>
          <w:marRight w:val="0"/>
          <w:marTop w:val="0"/>
          <w:marBottom w:val="0"/>
          <w:divBdr>
            <w:top w:val="none" w:sz="0" w:space="0" w:color="auto"/>
            <w:left w:val="none" w:sz="0" w:space="0" w:color="auto"/>
            <w:bottom w:val="none" w:sz="0" w:space="0" w:color="auto"/>
            <w:right w:val="none" w:sz="0" w:space="0" w:color="auto"/>
          </w:divBdr>
        </w:div>
        <w:div w:id="2024702423">
          <w:marLeft w:val="0"/>
          <w:marRight w:val="0"/>
          <w:marTop w:val="0"/>
          <w:marBottom w:val="0"/>
          <w:divBdr>
            <w:top w:val="none" w:sz="0" w:space="0" w:color="auto"/>
            <w:left w:val="none" w:sz="0" w:space="0" w:color="auto"/>
            <w:bottom w:val="none" w:sz="0" w:space="0" w:color="auto"/>
            <w:right w:val="none" w:sz="0" w:space="0" w:color="auto"/>
          </w:divBdr>
        </w:div>
        <w:div w:id="2024702424">
          <w:marLeft w:val="0"/>
          <w:marRight w:val="0"/>
          <w:marTop w:val="0"/>
          <w:marBottom w:val="0"/>
          <w:divBdr>
            <w:top w:val="none" w:sz="0" w:space="0" w:color="auto"/>
            <w:left w:val="none" w:sz="0" w:space="0" w:color="auto"/>
            <w:bottom w:val="none" w:sz="0" w:space="0" w:color="auto"/>
            <w:right w:val="none" w:sz="0" w:space="0" w:color="auto"/>
          </w:divBdr>
        </w:div>
        <w:div w:id="2024702425">
          <w:marLeft w:val="0"/>
          <w:marRight w:val="0"/>
          <w:marTop w:val="0"/>
          <w:marBottom w:val="0"/>
          <w:divBdr>
            <w:top w:val="none" w:sz="0" w:space="0" w:color="auto"/>
            <w:left w:val="none" w:sz="0" w:space="0" w:color="auto"/>
            <w:bottom w:val="none" w:sz="0" w:space="0" w:color="auto"/>
            <w:right w:val="none" w:sz="0" w:space="0" w:color="auto"/>
          </w:divBdr>
        </w:div>
        <w:div w:id="2024702426">
          <w:marLeft w:val="0"/>
          <w:marRight w:val="0"/>
          <w:marTop w:val="0"/>
          <w:marBottom w:val="0"/>
          <w:divBdr>
            <w:top w:val="none" w:sz="0" w:space="0" w:color="auto"/>
            <w:left w:val="none" w:sz="0" w:space="0" w:color="auto"/>
            <w:bottom w:val="none" w:sz="0" w:space="0" w:color="auto"/>
            <w:right w:val="none" w:sz="0" w:space="0" w:color="auto"/>
          </w:divBdr>
        </w:div>
        <w:div w:id="2024702428">
          <w:marLeft w:val="0"/>
          <w:marRight w:val="0"/>
          <w:marTop w:val="0"/>
          <w:marBottom w:val="0"/>
          <w:divBdr>
            <w:top w:val="none" w:sz="0" w:space="0" w:color="auto"/>
            <w:left w:val="none" w:sz="0" w:space="0" w:color="auto"/>
            <w:bottom w:val="none" w:sz="0" w:space="0" w:color="auto"/>
            <w:right w:val="none" w:sz="0" w:space="0" w:color="auto"/>
          </w:divBdr>
        </w:div>
        <w:div w:id="2024702429">
          <w:marLeft w:val="0"/>
          <w:marRight w:val="0"/>
          <w:marTop w:val="0"/>
          <w:marBottom w:val="0"/>
          <w:divBdr>
            <w:top w:val="none" w:sz="0" w:space="0" w:color="auto"/>
            <w:left w:val="none" w:sz="0" w:space="0" w:color="auto"/>
            <w:bottom w:val="none" w:sz="0" w:space="0" w:color="auto"/>
            <w:right w:val="none" w:sz="0" w:space="0" w:color="auto"/>
          </w:divBdr>
        </w:div>
        <w:div w:id="2024702430">
          <w:marLeft w:val="0"/>
          <w:marRight w:val="0"/>
          <w:marTop w:val="0"/>
          <w:marBottom w:val="0"/>
          <w:divBdr>
            <w:top w:val="none" w:sz="0" w:space="0" w:color="auto"/>
            <w:left w:val="none" w:sz="0" w:space="0" w:color="auto"/>
            <w:bottom w:val="none" w:sz="0" w:space="0" w:color="auto"/>
            <w:right w:val="none" w:sz="0" w:space="0" w:color="auto"/>
          </w:divBdr>
        </w:div>
        <w:div w:id="2024702431">
          <w:marLeft w:val="0"/>
          <w:marRight w:val="0"/>
          <w:marTop w:val="0"/>
          <w:marBottom w:val="0"/>
          <w:divBdr>
            <w:top w:val="none" w:sz="0" w:space="0" w:color="auto"/>
            <w:left w:val="none" w:sz="0" w:space="0" w:color="auto"/>
            <w:bottom w:val="none" w:sz="0" w:space="0" w:color="auto"/>
            <w:right w:val="none" w:sz="0" w:space="0" w:color="auto"/>
          </w:divBdr>
        </w:div>
        <w:div w:id="2024702432">
          <w:marLeft w:val="0"/>
          <w:marRight w:val="0"/>
          <w:marTop w:val="0"/>
          <w:marBottom w:val="0"/>
          <w:divBdr>
            <w:top w:val="none" w:sz="0" w:space="0" w:color="auto"/>
            <w:left w:val="none" w:sz="0" w:space="0" w:color="auto"/>
            <w:bottom w:val="none" w:sz="0" w:space="0" w:color="auto"/>
            <w:right w:val="none" w:sz="0" w:space="0" w:color="auto"/>
          </w:divBdr>
        </w:div>
        <w:div w:id="2024702433">
          <w:marLeft w:val="0"/>
          <w:marRight w:val="0"/>
          <w:marTop w:val="0"/>
          <w:marBottom w:val="0"/>
          <w:divBdr>
            <w:top w:val="none" w:sz="0" w:space="0" w:color="auto"/>
            <w:left w:val="none" w:sz="0" w:space="0" w:color="auto"/>
            <w:bottom w:val="none" w:sz="0" w:space="0" w:color="auto"/>
            <w:right w:val="none" w:sz="0" w:space="0" w:color="auto"/>
          </w:divBdr>
        </w:div>
        <w:div w:id="2024702434">
          <w:marLeft w:val="0"/>
          <w:marRight w:val="0"/>
          <w:marTop w:val="0"/>
          <w:marBottom w:val="0"/>
          <w:divBdr>
            <w:top w:val="none" w:sz="0" w:space="0" w:color="auto"/>
            <w:left w:val="none" w:sz="0" w:space="0" w:color="auto"/>
            <w:bottom w:val="none" w:sz="0" w:space="0" w:color="auto"/>
            <w:right w:val="none" w:sz="0" w:space="0" w:color="auto"/>
          </w:divBdr>
        </w:div>
        <w:div w:id="2024702435">
          <w:marLeft w:val="0"/>
          <w:marRight w:val="0"/>
          <w:marTop w:val="0"/>
          <w:marBottom w:val="0"/>
          <w:divBdr>
            <w:top w:val="none" w:sz="0" w:space="0" w:color="auto"/>
            <w:left w:val="none" w:sz="0" w:space="0" w:color="auto"/>
            <w:bottom w:val="none" w:sz="0" w:space="0" w:color="auto"/>
            <w:right w:val="none" w:sz="0" w:space="0" w:color="auto"/>
          </w:divBdr>
        </w:div>
        <w:div w:id="2024702437">
          <w:marLeft w:val="0"/>
          <w:marRight w:val="0"/>
          <w:marTop w:val="0"/>
          <w:marBottom w:val="0"/>
          <w:divBdr>
            <w:top w:val="none" w:sz="0" w:space="0" w:color="auto"/>
            <w:left w:val="none" w:sz="0" w:space="0" w:color="auto"/>
            <w:bottom w:val="none" w:sz="0" w:space="0" w:color="auto"/>
            <w:right w:val="none" w:sz="0" w:space="0" w:color="auto"/>
          </w:divBdr>
        </w:div>
        <w:div w:id="2024702438">
          <w:marLeft w:val="0"/>
          <w:marRight w:val="0"/>
          <w:marTop w:val="0"/>
          <w:marBottom w:val="0"/>
          <w:divBdr>
            <w:top w:val="none" w:sz="0" w:space="0" w:color="auto"/>
            <w:left w:val="none" w:sz="0" w:space="0" w:color="auto"/>
            <w:bottom w:val="none" w:sz="0" w:space="0" w:color="auto"/>
            <w:right w:val="none" w:sz="0" w:space="0" w:color="auto"/>
          </w:divBdr>
        </w:div>
        <w:div w:id="2024702439">
          <w:marLeft w:val="0"/>
          <w:marRight w:val="0"/>
          <w:marTop w:val="0"/>
          <w:marBottom w:val="0"/>
          <w:divBdr>
            <w:top w:val="none" w:sz="0" w:space="0" w:color="auto"/>
            <w:left w:val="none" w:sz="0" w:space="0" w:color="auto"/>
            <w:bottom w:val="none" w:sz="0" w:space="0" w:color="auto"/>
            <w:right w:val="none" w:sz="0" w:space="0" w:color="auto"/>
          </w:divBdr>
        </w:div>
        <w:div w:id="2024702440">
          <w:marLeft w:val="0"/>
          <w:marRight w:val="0"/>
          <w:marTop w:val="0"/>
          <w:marBottom w:val="0"/>
          <w:divBdr>
            <w:top w:val="none" w:sz="0" w:space="0" w:color="auto"/>
            <w:left w:val="none" w:sz="0" w:space="0" w:color="auto"/>
            <w:bottom w:val="none" w:sz="0" w:space="0" w:color="auto"/>
            <w:right w:val="none" w:sz="0" w:space="0" w:color="auto"/>
          </w:divBdr>
        </w:div>
        <w:div w:id="2024702441">
          <w:marLeft w:val="0"/>
          <w:marRight w:val="0"/>
          <w:marTop w:val="0"/>
          <w:marBottom w:val="0"/>
          <w:divBdr>
            <w:top w:val="none" w:sz="0" w:space="0" w:color="auto"/>
            <w:left w:val="none" w:sz="0" w:space="0" w:color="auto"/>
            <w:bottom w:val="none" w:sz="0" w:space="0" w:color="auto"/>
            <w:right w:val="none" w:sz="0" w:space="0" w:color="auto"/>
          </w:divBdr>
        </w:div>
        <w:div w:id="2024702442">
          <w:marLeft w:val="0"/>
          <w:marRight w:val="0"/>
          <w:marTop w:val="0"/>
          <w:marBottom w:val="0"/>
          <w:divBdr>
            <w:top w:val="none" w:sz="0" w:space="0" w:color="auto"/>
            <w:left w:val="none" w:sz="0" w:space="0" w:color="auto"/>
            <w:bottom w:val="none" w:sz="0" w:space="0" w:color="auto"/>
            <w:right w:val="none" w:sz="0" w:space="0" w:color="auto"/>
          </w:divBdr>
        </w:div>
        <w:div w:id="2024702443">
          <w:marLeft w:val="0"/>
          <w:marRight w:val="0"/>
          <w:marTop w:val="0"/>
          <w:marBottom w:val="0"/>
          <w:divBdr>
            <w:top w:val="none" w:sz="0" w:space="0" w:color="auto"/>
            <w:left w:val="none" w:sz="0" w:space="0" w:color="auto"/>
            <w:bottom w:val="none" w:sz="0" w:space="0" w:color="auto"/>
            <w:right w:val="none" w:sz="0" w:space="0" w:color="auto"/>
          </w:divBdr>
        </w:div>
        <w:div w:id="2024702444">
          <w:marLeft w:val="0"/>
          <w:marRight w:val="0"/>
          <w:marTop w:val="0"/>
          <w:marBottom w:val="0"/>
          <w:divBdr>
            <w:top w:val="none" w:sz="0" w:space="0" w:color="auto"/>
            <w:left w:val="none" w:sz="0" w:space="0" w:color="auto"/>
            <w:bottom w:val="none" w:sz="0" w:space="0" w:color="auto"/>
            <w:right w:val="none" w:sz="0" w:space="0" w:color="auto"/>
          </w:divBdr>
        </w:div>
        <w:div w:id="2024702445">
          <w:marLeft w:val="0"/>
          <w:marRight w:val="0"/>
          <w:marTop w:val="0"/>
          <w:marBottom w:val="0"/>
          <w:divBdr>
            <w:top w:val="none" w:sz="0" w:space="0" w:color="auto"/>
            <w:left w:val="none" w:sz="0" w:space="0" w:color="auto"/>
            <w:bottom w:val="none" w:sz="0" w:space="0" w:color="auto"/>
            <w:right w:val="none" w:sz="0" w:space="0" w:color="auto"/>
          </w:divBdr>
        </w:div>
        <w:div w:id="2024702446">
          <w:marLeft w:val="0"/>
          <w:marRight w:val="0"/>
          <w:marTop w:val="0"/>
          <w:marBottom w:val="0"/>
          <w:divBdr>
            <w:top w:val="none" w:sz="0" w:space="0" w:color="auto"/>
            <w:left w:val="none" w:sz="0" w:space="0" w:color="auto"/>
            <w:bottom w:val="none" w:sz="0" w:space="0" w:color="auto"/>
            <w:right w:val="none" w:sz="0" w:space="0" w:color="auto"/>
          </w:divBdr>
        </w:div>
        <w:div w:id="2024702447">
          <w:marLeft w:val="0"/>
          <w:marRight w:val="0"/>
          <w:marTop w:val="0"/>
          <w:marBottom w:val="0"/>
          <w:divBdr>
            <w:top w:val="none" w:sz="0" w:space="0" w:color="auto"/>
            <w:left w:val="none" w:sz="0" w:space="0" w:color="auto"/>
            <w:bottom w:val="none" w:sz="0" w:space="0" w:color="auto"/>
            <w:right w:val="none" w:sz="0" w:space="0" w:color="auto"/>
          </w:divBdr>
        </w:div>
        <w:div w:id="2024702448">
          <w:marLeft w:val="0"/>
          <w:marRight w:val="0"/>
          <w:marTop w:val="0"/>
          <w:marBottom w:val="0"/>
          <w:divBdr>
            <w:top w:val="none" w:sz="0" w:space="0" w:color="auto"/>
            <w:left w:val="none" w:sz="0" w:space="0" w:color="auto"/>
            <w:bottom w:val="none" w:sz="0" w:space="0" w:color="auto"/>
            <w:right w:val="none" w:sz="0" w:space="0" w:color="auto"/>
          </w:divBdr>
        </w:div>
        <w:div w:id="2024702449">
          <w:marLeft w:val="0"/>
          <w:marRight w:val="0"/>
          <w:marTop w:val="0"/>
          <w:marBottom w:val="0"/>
          <w:divBdr>
            <w:top w:val="none" w:sz="0" w:space="0" w:color="auto"/>
            <w:left w:val="none" w:sz="0" w:space="0" w:color="auto"/>
            <w:bottom w:val="none" w:sz="0" w:space="0" w:color="auto"/>
            <w:right w:val="none" w:sz="0" w:space="0" w:color="auto"/>
          </w:divBdr>
        </w:div>
        <w:div w:id="2024702450">
          <w:marLeft w:val="0"/>
          <w:marRight w:val="0"/>
          <w:marTop w:val="0"/>
          <w:marBottom w:val="0"/>
          <w:divBdr>
            <w:top w:val="none" w:sz="0" w:space="0" w:color="auto"/>
            <w:left w:val="none" w:sz="0" w:space="0" w:color="auto"/>
            <w:bottom w:val="none" w:sz="0" w:space="0" w:color="auto"/>
            <w:right w:val="none" w:sz="0" w:space="0" w:color="auto"/>
          </w:divBdr>
        </w:div>
        <w:div w:id="2024702451">
          <w:marLeft w:val="0"/>
          <w:marRight w:val="0"/>
          <w:marTop w:val="0"/>
          <w:marBottom w:val="0"/>
          <w:divBdr>
            <w:top w:val="none" w:sz="0" w:space="0" w:color="auto"/>
            <w:left w:val="none" w:sz="0" w:space="0" w:color="auto"/>
            <w:bottom w:val="none" w:sz="0" w:space="0" w:color="auto"/>
            <w:right w:val="none" w:sz="0" w:space="0" w:color="auto"/>
          </w:divBdr>
        </w:div>
        <w:div w:id="2024702452">
          <w:marLeft w:val="0"/>
          <w:marRight w:val="0"/>
          <w:marTop w:val="0"/>
          <w:marBottom w:val="0"/>
          <w:divBdr>
            <w:top w:val="none" w:sz="0" w:space="0" w:color="auto"/>
            <w:left w:val="none" w:sz="0" w:space="0" w:color="auto"/>
            <w:bottom w:val="none" w:sz="0" w:space="0" w:color="auto"/>
            <w:right w:val="none" w:sz="0" w:space="0" w:color="auto"/>
          </w:divBdr>
        </w:div>
        <w:div w:id="2024702453">
          <w:marLeft w:val="0"/>
          <w:marRight w:val="0"/>
          <w:marTop w:val="0"/>
          <w:marBottom w:val="0"/>
          <w:divBdr>
            <w:top w:val="none" w:sz="0" w:space="0" w:color="auto"/>
            <w:left w:val="none" w:sz="0" w:space="0" w:color="auto"/>
            <w:bottom w:val="none" w:sz="0" w:space="0" w:color="auto"/>
            <w:right w:val="none" w:sz="0" w:space="0" w:color="auto"/>
          </w:divBdr>
        </w:div>
        <w:div w:id="2024702454">
          <w:marLeft w:val="0"/>
          <w:marRight w:val="0"/>
          <w:marTop w:val="0"/>
          <w:marBottom w:val="0"/>
          <w:divBdr>
            <w:top w:val="none" w:sz="0" w:space="0" w:color="auto"/>
            <w:left w:val="none" w:sz="0" w:space="0" w:color="auto"/>
            <w:bottom w:val="none" w:sz="0" w:space="0" w:color="auto"/>
            <w:right w:val="none" w:sz="0" w:space="0" w:color="auto"/>
          </w:divBdr>
        </w:div>
        <w:div w:id="2024702455">
          <w:marLeft w:val="0"/>
          <w:marRight w:val="0"/>
          <w:marTop w:val="0"/>
          <w:marBottom w:val="0"/>
          <w:divBdr>
            <w:top w:val="none" w:sz="0" w:space="0" w:color="auto"/>
            <w:left w:val="none" w:sz="0" w:space="0" w:color="auto"/>
            <w:bottom w:val="none" w:sz="0" w:space="0" w:color="auto"/>
            <w:right w:val="none" w:sz="0" w:space="0" w:color="auto"/>
          </w:divBdr>
        </w:div>
        <w:div w:id="2024702456">
          <w:marLeft w:val="0"/>
          <w:marRight w:val="0"/>
          <w:marTop w:val="0"/>
          <w:marBottom w:val="0"/>
          <w:divBdr>
            <w:top w:val="none" w:sz="0" w:space="0" w:color="auto"/>
            <w:left w:val="none" w:sz="0" w:space="0" w:color="auto"/>
            <w:bottom w:val="none" w:sz="0" w:space="0" w:color="auto"/>
            <w:right w:val="none" w:sz="0" w:space="0" w:color="auto"/>
          </w:divBdr>
        </w:div>
        <w:div w:id="2024702457">
          <w:marLeft w:val="0"/>
          <w:marRight w:val="0"/>
          <w:marTop w:val="0"/>
          <w:marBottom w:val="0"/>
          <w:divBdr>
            <w:top w:val="none" w:sz="0" w:space="0" w:color="auto"/>
            <w:left w:val="none" w:sz="0" w:space="0" w:color="auto"/>
            <w:bottom w:val="none" w:sz="0" w:space="0" w:color="auto"/>
            <w:right w:val="none" w:sz="0" w:space="0" w:color="auto"/>
          </w:divBdr>
        </w:div>
        <w:div w:id="2024702458">
          <w:marLeft w:val="0"/>
          <w:marRight w:val="0"/>
          <w:marTop w:val="0"/>
          <w:marBottom w:val="0"/>
          <w:divBdr>
            <w:top w:val="none" w:sz="0" w:space="0" w:color="auto"/>
            <w:left w:val="none" w:sz="0" w:space="0" w:color="auto"/>
            <w:bottom w:val="none" w:sz="0" w:space="0" w:color="auto"/>
            <w:right w:val="none" w:sz="0" w:space="0" w:color="auto"/>
          </w:divBdr>
        </w:div>
        <w:div w:id="2024702459">
          <w:marLeft w:val="0"/>
          <w:marRight w:val="0"/>
          <w:marTop w:val="0"/>
          <w:marBottom w:val="0"/>
          <w:divBdr>
            <w:top w:val="none" w:sz="0" w:space="0" w:color="auto"/>
            <w:left w:val="none" w:sz="0" w:space="0" w:color="auto"/>
            <w:bottom w:val="none" w:sz="0" w:space="0" w:color="auto"/>
            <w:right w:val="none" w:sz="0" w:space="0" w:color="auto"/>
          </w:divBdr>
        </w:div>
        <w:div w:id="2024702460">
          <w:marLeft w:val="0"/>
          <w:marRight w:val="0"/>
          <w:marTop w:val="0"/>
          <w:marBottom w:val="0"/>
          <w:divBdr>
            <w:top w:val="none" w:sz="0" w:space="0" w:color="auto"/>
            <w:left w:val="none" w:sz="0" w:space="0" w:color="auto"/>
            <w:bottom w:val="none" w:sz="0" w:space="0" w:color="auto"/>
            <w:right w:val="none" w:sz="0" w:space="0" w:color="auto"/>
          </w:divBdr>
        </w:div>
        <w:div w:id="2024702461">
          <w:marLeft w:val="0"/>
          <w:marRight w:val="0"/>
          <w:marTop w:val="0"/>
          <w:marBottom w:val="0"/>
          <w:divBdr>
            <w:top w:val="none" w:sz="0" w:space="0" w:color="auto"/>
            <w:left w:val="none" w:sz="0" w:space="0" w:color="auto"/>
            <w:bottom w:val="none" w:sz="0" w:space="0" w:color="auto"/>
            <w:right w:val="none" w:sz="0" w:space="0" w:color="auto"/>
          </w:divBdr>
        </w:div>
        <w:div w:id="2024702462">
          <w:marLeft w:val="0"/>
          <w:marRight w:val="0"/>
          <w:marTop w:val="0"/>
          <w:marBottom w:val="0"/>
          <w:divBdr>
            <w:top w:val="none" w:sz="0" w:space="0" w:color="auto"/>
            <w:left w:val="none" w:sz="0" w:space="0" w:color="auto"/>
            <w:bottom w:val="none" w:sz="0" w:space="0" w:color="auto"/>
            <w:right w:val="none" w:sz="0" w:space="0" w:color="auto"/>
          </w:divBdr>
        </w:div>
        <w:div w:id="2024702463">
          <w:marLeft w:val="0"/>
          <w:marRight w:val="0"/>
          <w:marTop w:val="0"/>
          <w:marBottom w:val="0"/>
          <w:divBdr>
            <w:top w:val="none" w:sz="0" w:space="0" w:color="auto"/>
            <w:left w:val="none" w:sz="0" w:space="0" w:color="auto"/>
            <w:bottom w:val="none" w:sz="0" w:space="0" w:color="auto"/>
            <w:right w:val="none" w:sz="0" w:space="0" w:color="auto"/>
          </w:divBdr>
        </w:div>
        <w:div w:id="2024702464">
          <w:marLeft w:val="0"/>
          <w:marRight w:val="0"/>
          <w:marTop w:val="0"/>
          <w:marBottom w:val="0"/>
          <w:divBdr>
            <w:top w:val="none" w:sz="0" w:space="0" w:color="auto"/>
            <w:left w:val="none" w:sz="0" w:space="0" w:color="auto"/>
            <w:bottom w:val="none" w:sz="0" w:space="0" w:color="auto"/>
            <w:right w:val="none" w:sz="0" w:space="0" w:color="auto"/>
          </w:divBdr>
        </w:div>
        <w:div w:id="2024702465">
          <w:marLeft w:val="0"/>
          <w:marRight w:val="0"/>
          <w:marTop w:val="0"/>
          <w:marBottom w:val="0"/>
          <w:divBdr>
            <w:top w:val="none" w:sz="0" w:space="0" w:color="auto"/>
            <w:left w:val="none" w:sz="0" w:space="0" w:color="auto"/>
            <w:bottom w:val="none" w:sz="0" w:space="0" w:color="auto"/>
            <w:right w:val="none" w:sz="0" w:space="0" w:color="auto"/>
          </w:divBdr>
        </w:div>
        <w:div w:id="2024702466">
          <w:marLeft w:val="0"/>
          <w:marRight w:val="0"/>
          <w:marTop w:val="0"/>
          <w:marBottom w:val="0"/>
          <w:divBdr>
            <w:top w:val="none" w:sz="0" w:space="0" w:color="auto"/>
            <w:left w:val="none" w:sz="0" w:space="0" w:color="auto"/>
            <w:bottom w:val="none" w:sz="0" w:space="0" w:color="auto"/>
            <w:right w:val="none" w:sz="0" w:space="0" w:color="auto"/>
          </w:divBdr>
        </w:div>
        <w:div w:id="2024702467">
          <w:marLeft w:val="0"/>
          <w:marRight w:val="0"/>
          <w:marTop w:val="0"/>
          <w:marBottom w:val="0"/>
          <w:divBdr>
            <w:top w:val="none" w:sz="0" w:space="0" w:color="auto"/>
            <w:left w:val="none" w:sz="0" w:space="0" w:color="auto"/>
            <w:bottom w:val="none" w:sz="0" w:space="0" w:color="auto"/>
            <w:right w:val="none" w:sz="0" w:space="0" w:color="auto"/>
          </w:divBdr>
        </w:div>
        <w:div w:id="2024702468">
          <w:marLeft w:val="0"/>
          <w:marRight w:val="0"/>
          <w:marTop w:val="0"/>
          <w:marBottom w:val="0"/>
          <w:divBdr>
            <w:top w:val="none" w:sz="0" w:space="0" w:color="auto"/>
            <w:left w:val="none" w:sz="0" w:space="0" w:color="auto"/>
            <w:bottom w:val="none" w:sz="0" w:space="0" w:color="auto"/>
            <w:right w:val="none" w:sz="0" w:space="0" w:color="auto"/>
          </w:divBdr>
        </w:div>
        <w:div w:id="2024702469">
          <w:marLeft w:val="0"/>
          <w:marRight w:val="0"/>
          <w:marTop w:val="0"/>
          <w:marBottom w:val="0"/>
          <w:divBdr>
            <w:top w:val="none" w:sz="0" w:space="0" w:color="auto"/>
            <w:left w:val="none" w:sz="0" w:space="0" w:color="auto"/>
            <w:bottom w:val="none" w:sz="0" w:space="0" w:color="auto"/>
            <w:right w:val="none" w:sz="0" w:space="0" w:color="auto"/>
          </w:divBdr>
        </w:div>
        <w:div w:id="2024702470">
          <w:marLeft w:val="0"/>
          <w:marRight w:val="0"/>
          <w:marTop w:val="0"/>
          <w:marBottom w:val="0"/>
          <w:divBdr>
            <w:top w:val="none" w:sz="0" w:space="0" w:color="auto"/>
            <w:left w:val="none" w:sz="0" w:space="0" w:color="auto"/>
            <w:bottom w:val="none" w:sz="0" w:space="0" w:color="auto"/>
            <w:right w:val="none" w:sz="0" w:space="0" w:color="auto"/>
          </w:divBdr>
        </w:div>
        <w:div w:id="2024702472">
          <w:marLeft w:val="0"/>
          <w:marRight w:val="0"/>
          <w:marTop w:val="0"/>
          <w:marBottom w:val="0"/>
          <w:divBdr>
            <w:top w:val="none" w:sz="0" w:space="0" w:color="auto"/>
            <w:left w:val="none" w:sz="0" w:space="0" w:color="auto"/>
            <w:bottom w:val="none" w:sz="0" w:space="0" w:color="auto"/>
            <w:right w:val="none" w:sz="0" w:space="0" w:color="auto"/>
          </w:divBdr>
        </w:div>
        <w:div w:id="2024702473">
          <w:marLeft w:val="0"/>
          <w:marRight w:val="0"/>
          <w:marTop w:val="0"/>
          <w:marBottom w:val="0"/>
          <w:divBdr>
            <w:top w:val="none" w:sz="0" w:space="0" w:color="auto"/>
            <w:left w:val="none" w:sz="0" w:space="0" w:color="auto"/>
            <w:bottom w:val="none" w:sz="0" w:space="0" w:color="auto"/>
            <w:right w:val="none" w:sz="0" w:space="0" w:color="auto"/>
          </w:divBdr>
        </w:div>
        <w:div w:id="2024702474">
          <w:marLeft w:val="0"/>
          <w:marRight w:val="0"/>
          <w:marTop w:val="0"/>
          <w:marBottom w:val="0"/>
          <w:divBdr>
            <w:top w:val="none" w:sz="0" w:space="0" w:color="auto"/>
            <w:left w:val="none" w:sz="0" w:space="0" w:color="auto"/>
            <w:bottom w:val="none" w:sz="0" w:space="0" w:color="auto"/>
            <w:right w:val="none" w:sz="0" w:space="0" w:color="auto"/>
          </w:divBdr>
        </w:div>
        <w:div w:id="2024702475">
          <w:marLeft w:val="0"/>
          <w:marRight w:val="0"/>
          <w:marTop w:val="0"/>
          <w:marBottom w:val="0"/>
          <w:divBdr>
            <w:top w:val="none" w:sz="0" w:space="0" w:color="auto"/>
            <w:left w:val="none" w:sz="0" w:space="0" w:color="auto"/>
            <w:bottom w:val="none" w:sz="0" w:space="0" w:color="auto"/>
            <w:right w:val="none" w:sz="0" w:space="0" w:color="auto"/>
          </w:divBdr>
        </w:div>
        <w:div w:id="2024702476">
          <w:marLeft w:val="0"/>
          <w:marRight w:val="0"/>
          <w:marTop w:val="0"/>
          <w:marBottom w:val="0"/>
          <w:divBdr>
            <w:top w:val="none" w:sz="0" w:space="0" w:color="auto"/>
            <w:left w:val="none" w:sz="0" w:space="0" w:color="auto"/>
            <w:bottom w:val="none" w:sz="0" w:space="0" w:color="auto"/>
            <w:right w:val="none" w:sz="0" w:space="0" w:color="auto"/>
          </w:divBdr>
        </w:div>
        <w:div w:id="2024702477">
          <w:marLeft w:val="0"/>
          <w:marRight w:val="0"/>
          <w:marTop w:val="0"/>
          <w:marBottom w:val="0"/>
          <w:divBdr>
            <w:top w:val="none" w:sz="0" w:space="0" w:color="auto"/>
            <w:left w:val="none" w:sz="0" w:space="0" w:color="auto"/>
            <w:bottom w:val="none" w:sz="0" w:space="0" w:color="auto"/>
            <w:right w:val="none" w:sz="0" w:space="0" w:color="auto"/>
          </w:divBdr>
        </w:div>
        <w:div w:id="2024702478">
          <w:marLeft w:val="0"/>
          <w:marRight w:val="0"/>
          <w:marTop w:val="0"/>
          <w:marBottom w:val="0"/>
          <w:divBdr>
            <w:top w:val="none" w:sz="0" w:space="0" w:color="auto"/>
            <w:left w:val="none" w:sz="0" w:space="0" w:color="auto"/>
            <w:bottom w:val="none" w:sz="0" w:space="0" w:color="auto"/>
            <w:right w:val="none" w:sz="0" w:space="0" w:color="auto"/>
          </w:divBdr>
        </w:div>
        <w:div w:id="2024702479">
          <w:marLeft w:val="0"/>
          <w:marRight w:val="0"/>
          <w:marTop w:val="0"/>
          <w:marBottom w:val="0"/>
          <w:divBdr>
            <w:top w:val="none" w:sz="0" w:space="0" w:color="auto"/>
            <w:left w:val="none" w:sz="0" w:space="0" w:color="auto"/>
            <w:bottom w:val="none" w:sz="0" w:space="0" w:color="auto"/>
            <w:right w:val="none" w:sz="0" w:space="0" w:color="auto"/>
          </w:divBdr>
        </w:div>
        <w:div w:id="2024702480">
          <w:marLeft w:val="0"/>
          <w:marRight w:val="0"/>
          <w:marTop w:val="0"/>
          <w:marBottom w:val="0"/>
          <w:divBdr>
            <w:top w:val="none" w:sz="0" w:space="0" w:color="auto"/>
            <w:left w:val="none" w:sz="0" w:space="0" w:color="auto"/>
            <w:bottom w:val="none" w:sz="0" w:space="0" w:color="auto"/>
            <w:right w:val="none" w:sz="0" w:space="0" w:color="auto"/>
          </w:divBdr>
        </w:div>
        <w:div w:id="2024702481">
          <w:marLeft w:val="0"/>
          <w:marRight w:val="0"/>
          <w:marTop w:val="0"/>
          <w:marBottom w:val="0"/>
          <w:divBdr>
            <w:top w:val="none" w:sz="0" w:space="0" w:color="auto"/>
            <w:left w:val="none" w:sz="0" w:space="0" w:color="auto"/>
            <w:bottom w:val="none" w:sz="0" w:space="0" w:color="auto"/>
            <w:right w:val="none" w:sz="0" w:space="0" w:color="auto"/>
          </w:divBdr>
        </w:div>
        <w:div w:id="2024702482">
          <w:marLeft w:val="0"/>
          <w:marRight w:val="0"/>
          <w:marTop w:val="0"/>
          <w:marBottom w:val="0"/>
          <w:divBdr>
            <w:top w:val="none" w:sz="0" w:space="0" w:color="auto"/>
            <w:left w:val="none" w:sz="0" w:space="0" w:color="auto"/>
            <w:bottom w:val="none" w:sz="0" w:space="0" w:color="auto"/>
            <w:right w:val="none" w:sz="0" w:space="0" w:color="auto"/>
          </w:divBdr>
        </w:div>
        <w:div w:id="2024702483">
          <w:marLeft w:val="0"/>
          <w:marRight w:val="0"/>
          <w:marTop w:val="0"/>
          <w:marBottom w:val="0"/>
          <w:divBdr>
            <w:top w:val="none" w:sz="0" w:space="0" w:color="auto"/>
            <w:left w:val="none" w:sz="0" w:space="0" w:color="auto"/>
            <w:bottom w:val="none" w:sz="0" w:space="0" w:color="auto"/>
            <w:right w:val="none" w:sz="0" w:space="0" w:color="auto"/>
          </w:divBdr>
        </w:div>
        <w:div w:id="2024702484">
          <w:marLeft w:val="0"/>
          <w:marRight w:val="0"/>
          <w:marTop w:val="0"/>
          <w:marBottom w:val="0"/>
          <w:divBdr>
            <w:top w:val="none" w:sz="0" w:space="0" w:color="auto"/>
            <w:left w:val="none" w:sz="0" w:space="0" w:color="auto"/>
            <w:bottom w:val="none" w:sz="0" w:space="0" w:color="auto"/>
            <w:right w:val="none" w:sz="0" w:space="0" w:color="auto"/>
          </w:divBdr>
        </w:div>
        <w:div w:id="2024702485">
          <w:marLeft w:val="0"/>
          <w:marRight w:val="0"/>
          <w:marTop w:val="0"/>
          <w:marBottom w:val="0"/>
          <w:divBdr>
            <w:top w:val="none" w:sz="0" w:space="0" w:color="auto"/>
            <w:left w:val="none" w:sz="0" w:space="0" w:color="auto"/>
            <w:bottom w:val="none" w:sz="0" w:space="0" w:color="auto"/>
            <w:right w:val="none" w:sz="0" w:space="0" w:color="auto"/>
          </w:divBdr>
        </w:div>
        <w:div w:id="2024702486">
          <w:marLeft w:val="0"/>
          <w:marRight w:val="0"/>
          <w:marTop w:val="0"/>
          <w:marBottom w:val="0"/>
          <w:divBdr>
            <w:top w:val="none" w:sz="0" w:space="0" w:color="auto"/>
            <w:left w:val="none" w:sz="0" w:space="0" w:color="auto"/>
            <w:bottom w:val="none" w:sz="0" w:space="0" w:color="auto"/>
            <w:right w:val="none" w:sz="0" w:space="0" w:color="auto"/>
          </w:divBdr>
        </w:div>
        <w:div w:id="2024702487">
          <w:marLeft w:val="0"/>
          <w:marRight w:val="0"/>
          <w:marTop w:val="0"/>
          <w:marBottom w:val="0"/>
          <w:divBdr>
            <w:top w:val="none" w:sz="0" w:space="0" w:color="auto"/>
            <w:left w:val="none" w:sz="0" w:space="0" w:color="auto"/>
            <w:bottom w:val="none" w:sz="0" w:space="0" w:color="auto"/>
            <w:right w:val="none" w:sz="0" w:space="0" w:color="auto"/>
          </w:divBdr>
        </w:div>
        <w:div w:id="2024702488">
          <w:marLeft w:val="0"/>
          <w:marRight w:val="0"/>
          <w:marTop w:val="0"/>
          <w:marBottom w:val="0"/>
          <w:divBdr>
            <w:top w:val="none" w:sz="0" w:space="0" w:color="auto"/>
            <w:left w:val="none" w:sz="0" w:space="0" w:color="auto"/>
            <w:bottom w:val="none" w:sz="0" w:space="0" w:color="auto"/>
            <w:right w:val="none" w:sz="0" w:space="0" w:color="auto"/>
          </w:divBdr>
        </w:div>
        <w:div w:id="2024702489">
          <w:marLeft w:val="0"/>
          <w:marRight w:val="0"/>
          <w:marTop w:val="0"/>
          <w:marBottom w:val="0"/>
          <w:divBdr>
            <w:top w:val="none" w:sz="0" w:space="0" w:color="auto"/>
            <w:left w:val="none" w:sz="0" w:space="0" w:color="auto"/>
            <w:bottom w:val="none" w:sz="0" w:space="0" w:color="auto"/>
            <w:right w:val="none" w:sz="0" w:space="0" w:color="auto"/>
          </w:divBdr>
        </w:div>
        <w:div w:id="2024702490">
          <w:marLeft w:val="0"/>
          <w:marRight w:val="0"/>
          <w:marTop w:val="0"/>
          <w:marBottom w:val="0"/>
          <w:divBdr>
            <w:top w:val="none" w:sz="0" w:space="0" w:color="auto"/>
            <w:left w:val="none" w:sz="0" w:space="0" w:color="auto"/>
            <w:bottom w:val="none" w:sz="0" w:space="0" w:color="auto"/>
            <w:right w:val="none" w:sz="0" w:space="0" w:color="auto"/>
          </w:divBdr>
        </w:div>
        <w:div w:id="2024702491">
          <w:marLeft w:val="0"/>
          <w:marRight w:val="0"/>
          <w:marTop w:val="0"/>
          <w:marBottom w:val="0"/>
          <w:divBdr>
            <w:top w:val="none" w:sz="0" w:space="0" w:color="auto"/>
            <w:left w:val="none" w:sz="0" w:space="0" w:color="auto"/>
            <w:bottom w:val="none" w:sz="0" w:space="0" w:color="auto"/>
            <w:right w:val="none" w:sz="0" w:space="0" w:color="auto"/>
          </w:divBdr>
        </w:div>
        <w:div w:id="2024702492">
          <w:marLeft w:val="0"/>
          <w:marRight w:val="0"/>
          <w:marTop w:val="0"/>
          <w:marBottom w:val="0"/>
          <w:divBdr>
            <w:top w:val="none" w:sz="0" w:space="0" w:color="auto"/>
            <w:left w:val="none" w:sz="0" w:space="0" w:color="auto"/>
            <w:bottom w:val="none" w:sz="0" w:space="0" w:color="auto"/>
            <w:right w:val="none" w:sz="0" w:space="0" w:color="auto"/>
          </w:divBdr>
        </w:div>
        <w:div w:id="2024702493">
          <w:marLeft w:val="0"/>
          <w:marRight w:val="0"/>
          <w:marTop w:val="0"/>
          <w:marBottom w:val="0"/>
          <w:divBdr>
            <w:top w:val="none" w:sz="0" w:space="0" w:color="auto"/>
            <w:left w:val="none" w:sz="0" w:space="0" w:color="auto"/>
            <w:bottom w:val="none" w:sz="0" w:space="0" w:color="auto"/>
            <w:right w:val="none" w:sz="0" w:space="0" w:color="auto"/>
          </w:divBdr>
        </w:div>
        <w:div w:id="2024702494">
          <w:marLeft w:val="0"/>
          <w:marRight w:val="0"/>
          <w:marTop w:val="0"/>
          <w:marBottom w:val="0"/>
          <w:divBdr>
            <w:top w:val="none" w:sz="0" w:space="0" w:color="auto"/>
            <w:left w:val="none" w:sz="0" w:space="0" w:color="auto"/>
            <w:bottom w:val="none" w:sz="0" w:space="0" w:color="auto"/>
            <w:right w:val="none" w:sz="0" w:space="0" w:color="auto"/>
          </w:divBdr>
        </w:div>
        <w:div w:id="2024702495">
          <w:marLeft w:val="0"/>
          <w:marRight w:val="0"/>
          <w:marTop w:val="0"/>
          <w:marBottom w:val="0"/>
          <w:divBdr>
            <w:top w:val="none" w:sz="0" w:space="0" w:color="auto"/>
            <w:left w:val="none" w:sz="0" w:space="0" w:color="auto"/>
            <w:bottom w:val="none" w:sz="0" w:space="0" w:color="auto"/>
            <w:right w:val="none" w:sz="0" w:space="0" w:color="auto"/>
          </w:divBdr>
        </w:div>
        <w:div w:id="2024702496">
          <w:marLeft w:val="0"/>
          <w:marRight w:val="0"/>
          <w:marTop w:val="0"/>
          <w:marBottom w:val="0"/>
          <w:divBdr>
            <w:top w:val="none" w:sz="0" w:space="0" w:color="auto"/>
            <w:left w:val="none" w:sz="0" w:space="0" w:color="auto"/>
            <w:bottom w:val="none" w:sz="0" w:space="0" w:color="auto"/>
            <w:right w:val="none" w:sz="0" w:space="0" w:color="auto"/>
          </w:divBdr>
        </w:div>
        <w:div w:id="2024702497">
          <w:marLeft w:val="0"/>
          <w:marRight w:val="0"/>
          <w:marTop w:val="0"/>
          <w:marBottom w:val="0"/>
          <w:divBdr>
            <w:top w:val="none" w:sz="0" w:space="0" w:color="auto"/>
            <w:left w:val="none" w:sz="0" w:space="0" w:color="auto"/>
            <w:bottom w:val="none" w:sz="0" w:space="0" w:color="auto"/>
            <w:right w:val="none" w:sz="0" w:space="0" w:color="auto"/>
          </w:divBdr>
        </w:div>
        <w:div w:id="2024702498">
          <w:marLeft w:val="0"/>
          <w:marRight w:val="0"/>
          <w:marTop w:val="0"/>
          <w:marBottom w:val="0"/>
          <w:divBdr>
            <w:top w:val="none" w:sz="0" w:space="0" w:color="auto"/>
            <w:left w:val="none" w:sz="0" w:space="0" w:color="auto"/>
            <w:bottom w:val="none" w:sz="0" w:space="0" w:color="auto"/>
            <w:right w:val="none" w:sz="0" w:space="0" w:color="auto"/>
          </w:divBdr>
        </w:div>
        <w:div w:id="2024702499">
          <w:marLeft w:val="0"/>
          <w:marRight w:val="0"/>
          <w:marTop w:val="0"/>
          <w:marBottom w:val="0"/>
          <w:divBdr>
            <w:top w:val="none" w:sz="0" w:space="0" w:color="auto"/>
            <w:left w:val="none" w:sz="0" w:space="0" w:color="auto"/>
            <w:bottom w:val="none" w:sz="0" w:space="0" w:color="auto"/>
            <w:right w:val="none" w:sz="0" w:space="0" w:color="auto"/>
          </w:divBdr>
        </w:div>
        <w:div w:id="2024702500">
          <w:marLeft w:val="0"/>
          <w:marRight w:val="0"/>
          <w:marTop w:val="0"/>
          <w:marBottom w:val="0"/>
          <w:divBdr>
            <w:top w:val="none" w:sz="0" w:space="0" w:color="auto"/>
            <w:left w:val="none" w:sz="0" w:space="0" w:color="auto"/>
            <w:bottom w:val="none" w:sz="0" w:space="0" w:color="auto"/>
            <w:right w:val="none" w:sz="0" w:space="0" w:color="auto"/>
          </w:divBdr>
        </w:div>
        <w:div w:id="2024702501">
          <w:marLeft w:val="0"/>
          <w:marRight w:val="0"/>
          <w:marTop w:val="0"/>
          <w:marBottom w:val="0"/>
          <w:divBdr>
            <w:top w:val="none" w:sz="0" w:space="0" w:color="auto"/>
            <w:left w:val="none" w:sz="0" w:space="0" w:color="auto"/>
            <w:bottom w:val="none" w:sz="0" w:space="0" w:color="auto"/>
            <w:right w:val="none" w:sz="0" w:space="0" w:color="auto"/>
          </w:divBdr>
        </w:div>
        <w:div w:id="2024702502">
          <w:marLeft w:val="0"/>
          <w:marRight w:val="0"/>
          <w:marTop w:val="0"/>
          <w:marBottom w:val="0"/>
          <w:divBdr>
            <w:top w:val="none" w:sz="0" w:space="0" w:color="auto"/>
            <w:left w:val="none" w:sz="0" w:space="0" w:color="auto"/>
            <w:bottom w:val="none" w:sz="0" w:space="0" w:color="auto"/>
            <w:right w:val="none" w:sz="0" w:space="0" w:color="auto"/>
          </w:divBdr>
        </w:div>
        <w:div w:id="2024702503">
          <w:marLeft w:val="0"/>
          <w:marRight w:val="0"/>
          <w:marTop w:val="0"/>
          <w:marBottom w:val="0"/>
          <w:divBdr>
            <w:top w:val="none" w:sz="0" w:space="0" w:color="auto"/>
            <w:left w:val="none" w:sz="0" w:space="0" w:color="auto"/>
            <w:bottom w:val="none" w:sz="0" w:space="0" w:color="auto"/>
            <w:right w:val="none" w:sz="0" w:space="0" w:color="auto"/>
          </w:divBdr>
        </w:div>
        <w:div w:id="2024702504">
          <w:marLeft w:val="0"/>
          <w:marRight w:val="0"/>
          <w:marTop w:val="0"/>
          <w:marBottom w:val="0"/>
          <w:divBdr>
            <w:top w:val="none" w:sz="0" w:space="0" w:color="auto"/>
            <w:left w:val="none" w:sz="0" w:space="0" w:color="auto"/>
            <w:bottom w:val="none" w:sz="0" w:space="0" w:color="auto"/>
            <w:right w:val="none" w:sz="0" w:space="0" w:color="auto"/>
          </w:divBdr>
        </w:div>
        <w:div w:id="2024702506">
          <w:marLeft w:val="0"/>
          <w:marRight w:val="0"/>
          <w:marTop w:val="0"/>
          <w:marBottom w:val="0"/>
          <w:divBdr>
            <w:top w:val="none" w:sz="0" w:space="0" w:color="auto"/>
            <w:left w:val="none" w:sz="0" w:space="0" w:color="auto"/>
            <w:bottom w:val="none" w:sz="0" w:space="0" w:color="auto"/>
            <w:right w:val="none" w:sz="0" w:space="0" w:color="auto"/>
          </w:divBdr>
        </w:div>
        <w:div w:id="2024702507">
          <w:marLeft w:val="0"/>
          <w:marRight w:val="0"/>
          <w:marTop w:val="0"/>
          <w:marBottom w:val="0"/>
          <w:divBdr>
            <w:top w:val="none" w:sz="0" w:space="0" w:color="auto"/>
            <w:left w:val="none" w:sz="0" w:space="0" w:color="auto"/>
            <w:bottom w:val="none" w:sz="0" w:space="0" w:color="auto"/>
            <w:right w:val="none" w:sz="0" w:space="0" w:color="auto"/>
          </w:divBdr>
        </w:div>
        <w:div w:id="2024702508">
          <w:marLeft w:val="0"/>
          <w:marRight w:val="0"/>
          <w:marTop w:val="0"/>
          <w:marBottom w:val="0"/>
          <w:divBdr>
            <w:top w:val="none" w:sz="0" w:space="0" w:color="auto"/>
            <w:left w:val="none" w:sz="0" w:space="0" w:color="auto"/>
            <w:bottom w:val="none" w:sz="0" w:space="0" w:color="auto"/>
            <w:right w:val="none" w:sz="0" w:space="0" w:color="auto"/>
          </w:divBdr>
        </w:div>
        <w:div w:id="2024702509">
          <w:marLeft w:val="0"/>
          <w:marRight w:val="0"/>
          <w:marTop w:val="0"/>
          <w:marBottom w:val="0"/>
          <w:divBdr>
            <w:top w:val="none" w:sz="0" w:space="0" w:color="auto"/>
            <w:left w:val="none" w:sz="0" w:space="0" w:color="auto"/>
            <w:bottom w:val="none" w:sz="0" w:space="0" w:color="auto"/>
            <w:right w:val="none" w:sz="0" w:space="0" w:color="auto"/>
          </w:divBdr>
        </w:div>
        <w:div w:id="2024702510">
          <w:marLeft w:val="0"/>
          <w:marRight w:val="0"/>
          <w:marTop w:val="0"/>
          <w:marBottom w:val="0"/>
          <w:divBdr>
            <w:top w:val="none" w:sz="0" w:space="0" w:color="auto"/>
            <w:left w:val="none" w:sz="0" w:space="0" w:color="auto"/>
            <w:bottom w:val="none" w:sz="0" w:space="0" w:color="auto"/>
            <w:right w:val="none" w:sz="0" w:space="0" w:color="auto"/>
          </w:divBdr>
        </w:div>
        <w:div w:id="2024702511">
          <w:marLeft w:val="0"/>
          <w:marRight w:val="0"/>
          <w:marTop w:val="0"/>
          <w:marBottom w:val="0"/>
          <w:divBdr>
            <w:top w:val="none" w:sz="0" w:space="0" w:color="auto"/>
            <w:left w:val="none" w:sz="0" w:space="0" w:color="auto"/>
            <w:bottom w:val="none" w:sz="0" w:space="0" w:color="auto"/>
            <w:right w:val="none" w:sz="0" w:space="0" w:color="auto"/>
          </w:divBdr>
        </w:div>
        <w:div w:id="2024702512">
          <w:marLeft w:val="0"/>
          <w:marRight w:val="0"/>
          <w:marTop w:val="0"/>
          <w:marBottom w:val="0"/>
          <w:divBdr>
            <w:top w:val="none" w:sz="0" w:space="0" w:color="auto"/>
            <w:left w:val="none" w:sz="0" w:space="0" w:color="auto"/>
            <w:bottom w:val="none" w:sz="0" w:space="0" w:color="auto"/>
            <w:right w:val="none" w:sz="0" w:space="0" w:color="auto"/>
          </w:divBdr>
        </w:div>
        <w:div w:id="2024702513">
          <w:marLeft w:val="0"/>
          <w:marRight w:val="0"/>
          <w:marTop w:val="0"/>
          <w:marBottom w:val="0"/>
          <w:divBdr>
            <w:top w:val="none" w:sz="0" w:space="0" w:color="auto"/>
            <w:left w:val="none" w:sz="0" w:space="0" w:color="auto"/>
            <w:bottom w:val="none" w:sz="0" w:space="0" w:color="auto"/>
            <w:right w:val="none" w:sz="0" w:space="0" w:color="auto"/>
          </w:divBdr>
        </w:div>
        <w:div w:id="2024702514">
          <w:marLeft w:val="0"/>
          <w:marRight w:val="0"/>
          <w:marTop w:val="0"/>
          <w:marBottom w:val="0"/>
          <w:divBdr>
            <w:top w:val="none" w:sz="0" w:space="0" w:color="auto"/>
            <w:left w:val="none" w:sz="0" w:space="0" w:color="auto"/>
            <w:bottom w:val="none" w:sz="0" w:space="0" w:color="auto"/>
            <w:right w:val="none" w:sz="0" w:space="0" w:color="auto"/>
          </w:divBdr>
        </w:div>
        <w:div w:id="2024702515">
          <w:marLeft w:val="0"/>
          <w:marRight w:val="0"/>
          <w:marTop w:val="0"/>
          <w:marBottom w:val="0"/>
          <w:divBdr>
            <w:top w:val="none" w:sz="0" w:space="0" w:color="auto"/>
            <w:left w:val="none" w:sz="0" w:space="0" w:color="auto"/>
            <w:bottom w:val="none" w:sz="0" w:space="0" w:color="auto"/>
            <w:right w:val="none" w:sz="0" w:space="0" w:color="auto"/>
          </w:divBdr>
        </w:div>
        <w:div w:id="2024702516">
          <w:marLeft w:val="0"/>
          <w:marRight w:val="0"/>
          <w:marTop w:val="0"/>
          <w:marBottom w:val="0"/>
          <w:divBdr>
            <w:top w:val="none" w:sz="0" w:space="0" w:color="auto"/>
            <w:left w:val="none" w:sz="0" w:space="0" w:color="auto"/>
            <w:bottom w:val="none" w:sz="0" w:space="0" w:color="auto"/>
            <w:right w:val="none" w:sz="0" w:space="0" w:color="auto"/>
          </w:divBdr>
        </w:div>
        <w:div w:id="2024702517">
          <w:marLeft w:val="0"/>
          <w:marRight w:val="0"/>
          <w:marTop w:val="0"/>
          <w:marBottom w:val="0"/>
          <w:divBdr>
            <w:top w:val="none" w:sz="0" w:space="0" w:color="auto"/>
            <w:left w:val="none" w:sz="0" w:space="0" w:color="auto"/>
            <w:bottom w:val="none" w:sz="0" w:space="0" w:color="auto"/>
            <w:right w:val="none" w:sz="0" w:space="0" w:color="auto"/>
          </w:divBdr>
        </w:div>
        <w:div w:id="2024702518">
          <w:marLeft w:val="0"/>
          <w:marRight w:val="0"/>
          <w:marTop w:val="0"/>
          <w:marBottom w:val="0"/>
          <w:divBdr>
            <w:top w:val="none" w:sz="0" w:space="0" w:color="auto"/>
            <w:left w:val="none" w:sz="0" w:space="0" w:color="auto"/>
            <w:bottom w:val="none" w:sz="0" w:space="0" w:color="auto"/>
            <w:right w:val="none" w:sz="0" w:space="0" w:color="auto"/>
          </w:divBdr>
        </w:div>
        <w:div w:id="2024702519">
          <w:marLeft w:val="0"/>
          <w:marRight w:val="0"/>
          <w:marTop w:val="0"/>
          <w:marBottom w:val="0"/>
          <w:divBdr>
            <w:top w:val="none" w:sz="0" w:space="0" w:color="auto"/>
            <w:left w:val="none" w:sz="0" w:space="0" w:color="auto"/>
            <w:bottom w:val="none" w:sz="0" w:space="0" w:color="auto"/>
            <w:right w:val="none" w:sz="0" w:space="0" w:color="auto"/>
          </w:divBdr>
        </w:div>
        <w:div w:id="2024702520">
          <w:marLeft w:val="0"/>
          <w:marRight w:val="0"/>
          <w:marTop w:val="0"/>
          <w:marBottom w:val="0"/>
          <w:divBdr>
            <w:top w:val="none" w:sz="0" w:space="0" w:color="auto"/>
            <w:left w:val="none" w:sz="0" w:space="0" w:color="auto"/>
            <w:bottom w:val="none" w:sz="0" w:space="0" w:color="auto"/>
            <w:right w:val="none" w:sz="0" w:space="0" w:color="auto"/>
          </w:divBdr>
        </w:div>
        <w:div w:id="2024702521">
          <w:marLeft w:val="0"/>
          <w:marRight w:val="0"/>
          <w:marTop w:val="0"/>
          <w:marBottom w:val="0"/>
          <w:divBdr>
            <w:top w:val="none" w:sz="0" w:space="0" w:color="auto"/>
            <w:left w:val="none" w:sz="0" w:space="0" w:color="auto"/>
            <w:bottom w:val="none" w:sz="0" w:space="0" w:color="auto"/>
            <w:right w:val="none" w:sz="0" w:space="0" w:color="auto"/>
          </w:divBdr>
        </w:div>
        <w:div w:id="2024702522">
          <w:marLeft w:val="0"/>
          <w:marRight w:val="0"/>
          <w:marTop w:val="0"/>
          <w:marBottom w:val="0"/>
          <w:divBdr>
            <w:top w:val="none" w:sz="0" w:space="0" w:color="auto"/>
            <w:left w:val="none" w:sz="0" w:space="0" w:color="auto"/>
            <w:bottom w:val="none" w:sz="0" w:space="0" w:color="auto"/>
            <w:right w:val="none" w:sz="0" w:space="0" w:color="auto"/>
          </w:divBdr>
        </w:div>
        <w:div w:id="2024702523">
          <w:marLeft w:val="0"/>
          <w:marRight w:val="0"/>
          <w:marTop w:val="0"/>
          <w:marBottom w:val="0"/>
          <w:divBdr>
            <w:top w:val="none" w:sz="0" w:space="0" w:color="auto"/>
            <w:left w:val="none" w:sz="0" w:space="0" w:color="auto"/>
            <w:bottom w:val="none" w:sz="0" w:space="0" w:color="auto"/>
            <w:right w:val="none" w:sz="0" w:space="0" w:color="auto"/>
          </w:divBdr>
        </w:div>
        <w:div w:id="2024702524">
          <w:marLeft w:val="0"/>
          <w:marRight w:val="0"/>
          <w:marTop w:val="0"/>
          <w:marBottom w:val="0"/>
          <w:divBdr>
            <w:top w:val="none" w:sz="0" w:space="0" w:color="auto"/>
            <w:left w:val="none" w:sz="0" w:space="0" w:color="auto"/>
            <w:bottom w:val="none" w:sz="0" w:space="0" w:color="auto"/>
            <w:right w:val="none" w:sz="0" w:space="0" w:color="auto"/>
          </w:divBdr>
        </w:div>
        <w:div w:id="2024702525">
          <w:marLeft w:val="0"/>
          <w:marRight w:val="0"/>
          <w:marTop w:val="0"/>
          <w:marBottom w:val="0"/>
          <w:divBdr>
            <w:top w:val="none" w:sz="0" w:space="0" w:color="auto"/>
            <w:left w:val="none" w:sz="0" w:space="0" w:color="auto"/>
            <w:bottom w:val="none" w:sz="0" w:space="0" w:color="auto"/>
            <w:right w:val="none" w:sz="0" w:space="0" w:color="auto"/>
          </w:divBdr>
        </w:div>
        <w:div w:id="2024702526">
          <w:marLeft w:val="0"/>
          <w:marRight w:val="0"/>
          <w:marTop w:val="0"/>
          <w:marBottom w:val="0"/>
          <w:divBdr>
            <w:top w:val="none" w:sz="0" w:space="0" w:color="auto"/>
            <w:left w:val="none" w:sz="0" w:space="0" w:color="auto"/>
            <w:bottom w:val="none" w:sz="0" w:space="0" w:color="auto"/>
            <w:right w:val="none" w:sz="0" w:space="0" w:color="auto"/>
          </w:divBdr>
        </w:div>
        <w:div w:id="2024702527">
          <w:marLeft w:val="0"/>
          <w:marRight w:val="0"/>
          <w:marTop w:val="0"/>
          <w:marBottom w:val="0"/>
          <w:divBdr>
            <w:top w:val="none" w:sz="0" w:space="0" w:color="auto"/>
            <w:left w:val="none" w:sz="0" w:space="0" w:color="auto"/>
            <w:bottom w:val="none" w:sz="0" w:space="0" w:color="auto"/>
            <w:right w:val="none" w:sz="0" w:space="0" w:color="auto"/>
          </w:divBdr>
        </w:div>
        <w:div w:id="2024702528">
          <w:marLeft w:val="0"/>
          <w:marRight w:val="0"/>
          <w:marTop w:val="0"/>
          <w:marBottom w:val="0"/>
          <w:divBdr>
            <w:top w:val="none" w:sz="0" w:space="0" w:color="auto"/>
            <w:left w:val="none" w:sz="0" w:space="0" w:color="auto"/>
            <w:bottom w:val="none" w:sz="0" w:space="0" w:color="auto"/>
            <w:right w:val="none" w:sz="0" w:space="0" w:color="auto"/>
          </w:divBdr>
        </w:div>
        <w:div w:id="2024702529">
          <w:marLeft w:val="0"/>
          <w:marRight w:val="0"/>
          <w:marTop w:val="0"/>
          <w:marBottom w:val="0"/>
          <w:divBdr>
            <w:top w:val="none" w:sz="0" w:space="0" w:color="auto"/>
            <w:left w:val="none" w:sz="0" w:space="0" w:color="auto"/>
            <w:bottom w:val="none" w:sz="0" w:space="0" w:color="auto"/>
            <w:right w:val="none" w:sz="0" w:space="0" w:color="auto"/>
          </w:divBdr>
        </w:div>
        <w:div w:id="2024702530">
          <w:marLeft w:val="0"/>
          <w:marRight w:val="0"/>
          <w:marTop w:val="0"/>
          <w:marBottom w:val="0"/>
          <w:divBdr>
            <w:top w:val="none" w:sz="0" w:space="0" w:color="auto"/>
            <w:left w:val="none" w:sz="0" w:space="0" w:color="auto"/>
            <w:bottom w:val="none" w:sz="0" w:space="0" w:color="auto"/>
            <w:right w:val="none" w:sz="0" w:space="0" w:color="auto"/>
          </w:divBdr>
        </w:div>
        <w:div w:id="2024702531">
          <w:marLeft w:val="0"/>
          <w:marRight w:val="0"/>
          <w:marTop w:val="0"/>
          <w:marBottom w:val="0"/>
          <w:divBdr>
            <w:top w:val="none" w:sz="0" w:space="0" w:color="auto"/>
            <w:left w:val="none" w:sz="0" w:space="0" w:color="auto"/>
            <w:bottom w:val="none" w:sz="0" w:space="0" w:color="auto"/>
            <w:right w:val="none" w:sz="0" w:space="0" w:color="auto"/>
          </w:divBdr>
        </w:div>
        <w:div w:id="2024702532">
          <w:marLeft w:val="0"/>
          <w:marRight w:val="0"/>
          <w:marTop w:val="0"/>
          <w:marBottom w:val="0"/>
          <w:divBdr>
            <w:top w:val="none" w:sz="0" w:space="0" w:color="auto"/>
            <w:left w:val="none" w:sz="0" w:space="0" w:color="auto"/>
            <w:bottom w:val="none" w:sz="0" w:space="0" w:color="auto"/>
            <w:right w:val="none" w:sz="0" w:space="0" w:color="auto"/>
          </w:divBdr>
        </w:div>
        <w:div w:id="2024702533">
          <w:marLeft w:val="0"/>
          <w:marRight w:val="0"/>
          <w:marTop w:val="0"/>
          <w:marBottom w:val="0"/>
          <w:divBdr>
            <w:top w:val="none" w:sz="0" w:space="0" w:color="auto"/>
            <w:left w:val="none" w:sz="0" w:space="0" w:color="auto"/>
            <w:bottom w:val="none" w:sz="0" w:space="0" w:color="auto"/>
            <w:right w:val="none" w:sz="0" w:space="0" w:color="auto"/>
          </w:divBdr>
        </w:div>
        <w:div w:id="2024702534">
          <w:marLeft w:val="0"/>
          <w:marRight w:val="0"/>
          <w:marTop w:val="0"/>
          <w:marBottom w:val="0"/>
          <w:divBdr>
            <w:top w:val="none" w:sz="0" w:space="0" w:color="auto"/>
            <w:left w:val="none" w:sz="0" w:space="0" w:color="auto"/>
            <w:bottom w:val="none" w:sz="0" w:space="0" w:color="auto"/>
            <w:right w:val="none" w:sz="0" w:space="0" w:color="auto"/>
          </w:divBdr>
        </w:div>
        <w:div w:id="2024702535">
          <w:marLeft w:val="0"/>
          <w:marRight w:val="0"/>
          <w:marTop w:val="0"/>
          <w:marBottom w:val="0"/>
          <w:divBdr>
            <w:top w:val="none" w:sz="0" w:space="0" w:color="auto"/>
            <w:left w:val="none" w:sz="0" w:space="0" w:color="auto"/>
            <w:bottom w:val="none" w:sz="0" w:space="0" w:color="auto"/>
            <w:right w:val="none" w:sz="0" w:space="0" w:color="auto"/>
          </w:divBdr>
        </w:div>
        <w:div w:id="2024702536">
          <w:marLeft w:val="0"/>
          <w:marRight w:val="0"/>
          <w:marTop w:val="0"/>
          <w:marBottom w:val="0"/>
          <w:divBdr>
            <w:top w:val="none" w:sz="0" w:space="0" w:color="auto"/>
            <w:left w:val="none" w:sz="0" w:space="0" w:color="auto"/>
            <w:bottom w:val="none" w:sz="0" w:space="0" w:color="auto"/>
            <w:right w:val="none" w:sz="0" w:space="0" w:color="auto"/>
          </w:divBdr>
        </w:div>
        <w:div w:id="2024702537">
          <w:marLeft w:val="0"/>
          <w:marRight w:val="0"/>
          <w:marTop w:val="0"/>
          <w:marBottom w:val="0"/>
          <w:divBdr>
            <w:top w:val="none" w:sz="0" w:space="0" w:color="auto"/>
            <w:left w:val="none" w:sz="0" w:space="0" w:color="auto"/>
            <w:bottom w:val="none" w:sz="0" w:space="0" w:color="auto"/>
            <w:right w:val="none" w:sz="0" w:space="0" w:color="auto"/>
          </w:divBdr>
        </w:div>
        <w:div w:id="2024702538">
          <w:marLeft w:val="0"/>
          <w:marRight w:val="0"/>
          <w:marTop w:val="0"/>
          <w:marBottom w:val="0"/>
          <w:divBdr>
            <w:top w:val="none" w:sz="0" w:space="0" w:color="auto"/>
            <w:left w:val="none" w:sz="0" w:space="0" w:color="auto"/>
            <w:bottom w:val="none" w:sz="0" w:space="0" w:color="auto"/>
            <w:right w:val="none" w:sz="0" w:space="0" w:color="auto"/>
          </w:divBdr>
        </w:div>
        <w:div w:id="2024702539">
          <w:marLeft w:val="0"/>
          <w:marRight w:val="0"/>
          <w:marTop w:val="0"/>
          <w:marBottom w:val="0"/>
          <w:divBdr>
            <w:top w:val="none" w:sz="0" w:space="0" w:color="auto"/>
            <w:left w:val="none" w:sz="0" w:space="0" w:color="auto"/>
            <w:bottom w:val="none" w:sz="0" w:space="0" w:color="auto"/>
            <w:right w:val="none" w:sz="0" w:space="0" w:color="auto"/>
          </w:divBdr>
        </w:div>
        <w:div w:id="2024702540">
          <w:marLeft w:val="0"/>
          <w:marRight w:val="0"/>
          <w:marTop w:val="0"/>
          <w:marBottom w:val="0"/>
          <w:divBdr>
            <w:top w:val="none" w:sz="0" w:space="0" w:color="auto"/>
            <w:left w:val="none" w:sz="0" w:space="0" w:color="auto"/>
            <w:bottom w:val="none" w:sz="0" w:space="0" w:color="auto"/>
            <w:right w:val="none" w:sz="0" w:space="0" w:color="auto"/>
          </w:divBdr>
        </w:div>
        <w:div w:id="2024702542">
          <w:marLeft w:val="0"/>
          <w:marRight w:val="0"/>
          <w:marTop w:val="0"/>
          <w:marBottom w:val="0"/>
          <w:divBdr>
            <w:top w:val="none" w:sz="0" w:space="0" w:color="auto"/>
            <w:left w:val="none" w:sz="0" w:space="0" w:color="auto"/>
            <w:bottom w:val="none" w:sz="0" w:space="0" w:color="auto"/>
            <w:right w:val="none" w:sz="0" w:space="0" w:color="auto"/>
          </w:divBdr>
        </w:div>
        <w:div w:id="2024702543">
          <w:marLeft w:val="0"/>
          <w:marRight w:val="0"/>
          <w:marTop w:val="0"/>
          <w:marBottom w:val="0"/>
          <w:divBdr>
            <w:top w:val="none" w:sz="0" w:space="0" w:color="auto"/>
            <w:left w:val="none" w:sz="0" w:space="0" w:color="auto"/>
            <w:bottom w:val="none" w:sz="0" w:space="0" w:color="auto"/>
            <w:right w:val="none" w:sz="0" w:space="0" w:color="auto"/>
          </w:divBdr>
        </w:div>
        <w:div w:id="2024702544">
          <w:marLeft w:val="0"/>
          <w:marRight w:val="0"/>
          <w:marTop w:val="0"/>
          <w:marBottom w:val="0"/>
          <w:divBdr>
            <w:top w:val="none" w:sz="0" w:space="0" w:color="auto"/>
            <w:left w:val="none" w:sz="0" w:space="0" w:color="auto"/>
            <w:bottom w:val="none" w:sz="0" w:space="0" w:color="auto"/>
            <w:right w:val="none" w:sz="0" w:space="0" w:color="auto"/>
          </w:divBdr>
        </w:div>
        <w:div w:id="2024702545">
          <w:marLeft w:val="0"/>
          <w:marRight w:val="0"/>
          <w:marTop w:val="0"/>
          <w:marBottom w:val="0"/>
          <w:divBdr>
            <w:top w:val="none" w:sz="0" w:space="0" w:color="auto"/>
            <w:left w:val="none" w:sz="0" w:space="0" w:color="auto"/>
            <w:bottom w:val="none" w:sz="0" w:space="0" w:color="auto"/>
            <w:right w:val="none" w:sz="0" w:space="0" w:color="auto"/>
          </w:divBdr>
        </w:div>
        <w:div w:id="2024702546">
          <w:marLeft w:val="0"/>
          <w:marRight w:val="0"/>
          <w:marTop w:val="0"/>
          <w:marBottom w:val="0"/>
          <w:divBdr>
            <w:top w:val="none" w:sz="0" w:space="0" w:color="auto"/>
            <w:left w:val="none" w:sz="0" w:space="0" w:color="auto"/>
            <w:bottom w:val="none" w:sz="0" w:space="0" w:color="auto"/>
            <w:right w:val="none" w:sz="0" w:space="0" w:color="auto"/>
          </w:divBdr>
        </w:div>
        <w:div w:id="2024702547">
          <w:marLeft w:val="0"/>
          <w:marRight w:val="0"/>
          <w:marTop w:val="0"/>
          <w:marBottom w:val="0"/>
          <w:divBdr>
            <w:top w:val="none" w:sz="0" w:space="0" w:color="auto"/>
            <w:left w:val="none" w:sz="0" w:space="0" w:color="auto"/>
            <w:bottom w:val="none" w:sz="0" w:space="0" w:color="auto"/>
            <w:right w:val="none" w:sz="0" w:space="0" w:color="auto"/>
          </w:divBdr>
        </w:div>
        <w:div w:id="2024702548">
          <w:marLeft w:val="0"/>
          <w:marRight w:val="0"/>
          <w:marTop w:val="0"/>
          <w:marBottom w:val="0"/>
          <w:divBdr>
            <w:top w:val="none" w:sz="0" w:space="0" w:color="auto"/>
            <w:left w:val="none" w:sz="0" w:space="0" w:color="auto"/>
            <w:bottom w:val="none" w:sz="0" w:space="0" w:color="auto"/>
            <w:right w:val="none" w:sz="0" w:space="0" w:color="auto"/>
          </w:divBdr>
        </w:div>
        <w:div w:id="2024702549">
          <w:marLeft w:val="0"/>
          <w:marRight w:val="0"/>
          <w:marTop w:val="0"/>
          <w:marBottom w:val="0"/>
          <w:divBdr>
            <w:top w:val="none" w:sz="0" w:space="0" w:color="auto"/>
            <w:left w:val="none" w:sz="0" w:space="0" w:color="auto"/>
            <w:bottom w:val="none" w:sz="0" w:space="0" w:color="auto"/>
            <w:right w:val="none" w:sz="0" w:space="0" w:color="auto"/>
          </w:divBdr>
        </w:div>
        <w:div w:id="2024702550">
          <w:marLeft w:val="0"/>
          <w:marRight w:val="0"/>
          <w:marTop w:val="0"/>
          <w:marBottom w:val="0"/>
          <w:divBdr>
            <w:top w:val="none" w:sz="0" w:space="0" w:color="auto"/>
            <w:left w:val="none" w:sz="0" w:space="0" w:color="auto"/>
            <w:bottom w:val="none" w:sz="0" w:space="0" w:color="auto"/>
            <w:right w:val="none" w:sz="0" w:space="0" w:color="auto"/>
          </w:divBdr>
        </w:div>
        <w:div w:id="2024702551">
          <w:marLeft w:val="0"/>
          <w:marRight w:val="0"/>
          <w:marTop w:val="0"/>
          <w:marBottom w:val="0"/>
          <w:divBdr>
            <w:top w:val="none" w:sz="0" w:space="0" w:color="auto"/>
            <w:left w:val="none" w:sz="0" w:space="0" w:color="auto"/>
            <w:bottom w:val="none" w:sz="0" w:space="0" w:color="auto"/>
            <w:right w:val="none" w:sz="0" w:space="0" w:color="auto"/>
          </w:divBdr>
        </w:div>
        <w:div w:id="2024702552">
          <w:marLeft w:val="0"/>
          <w:marRight w:val="0"/>
          <w:marTop w:val="0"/>
          <w:marBottom w:val="0"/>
          <w:divBdr>
            <w:top w:val="none" w:sz="0" w:space="0" w:color="auto"/>
            <w:left w:val="none" w:sz="0" w:space="0" w:color="auto"/>
            <w:bottom w:val="none" w:sz="0" w:space="0" w:color="auto"/>
            <w:right w:val="none" w:sz="0" w:space="0" w:color="auto"/>
          </w:divBdr>
        </w:div>
        <w:div w:id="2024702553">
          <w:marLeft w:val="0"/>
          <w:marRight w:val="0"/>
          <w:marTop w:val="0"/>
          <w:marBottom w:val="0"/>
          <w:divBdr>
            <w:top w:val="none" w:sz="0" w:space="0" w:color="auto"/>
            <w:left w:val="none" w:sz="0" w:space="0" w:color="auto"/>
            <w:bottom w:val="none" w:sz="0" w:space="0" w:color="auto"/>
            <w:right w:val="none" w:sz="0" w:space="0" w:color="auto"/>
          </w:divBdr>
        </w:div>
        <w:div w:id="2024702554">
          <w:marLeft w:val="0"/>
          <w:marRight w:val="0"/>
          <w:marTop w:val="0"/>
          <w:marBottom w:val="0"/>
          <w:divBdr>
            <w:top w:val="none" w:sz="0" w:space="0" w:color="auto"/>
            <w:left w:val="none" w:sz="0" w:space="0" w:color="auto"/>
            <w:bottom w:val="none" w:sz="0" w:space="0" w:color="auto"/>
            <w:right w:val="none" w:sz="0" w:space="0" w:color="auto"/>
          </w:divBdr>
        </w:div>
        <w:div w:id="2024702555">
          <w:marLeft w:val="0"/>
          <w:marRight w:val="0"/>
          <w:marTop w:val="0"/>
          <w:marBottom w:val="0"/>
          <w:divBdr>
            <w:top w:val="none" w:sz="0" w:space="0" w:color="auto"/>
            <w:left w:val="none" w:sz="0" w:space="0" w:color="auto"/>
            <w:bottom w:val="none" w:sz="0" w:space="0" w:color="auto"/>
            <w:right w:val="none" w:sz="0" w:space="0" w:color="auto"/>
          </w:divBdr>
        </w:div>
        <w:div w:id="2024702556">
          <w:marLeft w:val="0"/>
          <w:marRight w:val="0"/>
          <w:marTop w:val="0"/>
          <w:marBottom w:val="0"/>
          <w:divBdr>
            <w:top w:val="none" w:sz="0" w:space="0" w:color="auto"/>
            <w:left w:val="none" w:sz="0" w:space="0" w:color="auto"/>
            <w:bottom w:val="none" w:sz="0" w:space="0" w:color="auto"/>
            <w:right w:val="none" w:sz="0" w:space="0" w:color="auto"/>
          </w:divBdr>
        </w:div>
        <w:div w:id="2024702557">
          <w:marLeft w:val="0"/>
          <w:marRight w:val="0"/>
          <w:marTop w:val="0"/>
          <w:marBottom w:val="0"/>
          <w:divBdr>
            <w:top w:val="none" w:sz="0" w:space="0" w:color="auto"/>
            <w:left w:val="none" w:sz="0" w:space="0" w:color="auto"/>
            <w:bottom w:val="none" w:sz="0" w:space="0" w:color="auto"/>
            <w:right w:val="none" w:sz="0" w:space="0" w:color="auto"/>
          </w:divBdr>
        </w:div>
        <w:div w:id="2024702558">
          <w:marLeft w:val="0"/>
          <w:marRight w:val="0"/>
          <w:marTop w:val="0"/>
          <w:marBottom w:val="0"/>
          <w:divBdr>
            <w:top w:val="none" w:sz="0" w:space="0" w:color="auto"/>
            <w:left w:val="none" w:sz="0" w:space="0" w:color="auto"/>
            <w:bottom w:val="none" w:sz="0" w:space="0" w:color="auto"/>
            <w:right w:val="none" w:sz="0" w:space="0" w:color="auto"/>
          </w:divBdr>
        </w:div>
        <w:div w:id="2024702559">
          <w:marLeft w:val="0"/>
          <w:marRight w:val="0"/>
          <w:marTop w:val="0"/>
          <w:marBottom w:val="0"/>
          <w:divBdr>
            <w:top w:val="none" w:sz="0" w:space="0" w:color="auto"/>
            <w:left w:val="none" w:sz="0" w:space="0" w:color="auto"/>
            <w:bottom w:val="none" w:sz="0" w:space="0" w:color="auto"/>
            <w:right w:val="none" w:sz="0" w:space="0" w:color="auto"/>
          </w:divBdr>
        </w:div>
        <w:div w:id="2024702560">
          <w:marLeft w:val="0"/>
          <w:marRight w:val="0"/>
          <w:marTop w:val="0"/>
          <w:marBottom w:val="0"/>
          <w:divBdr>
            <w:top w:val="none" w:sz="0" w:space="0" w:color="auto"/>
            <w:left w:val="none" w:sz="0" w:space="0" w:color="auto"/>
            <w:bottom w:val="none" w:sz="0" w:space="0" w:color="auto"/>
            <w:right w:val="none" w:sz="0" w:space="0" w:color="auto"/>
          </w:divBdr>
        </w:div>
        <w:div w:id="2024702561">
          <w:marLeft w:val="0"/>
          <w:marRight w:val="0"/>
          <w:marTop w:val="0"/>
          <w:marBottom w:val="0"/>
          <w:divBdr>
            <w:top w:val="none" w:sz="0" w:space="0" w:color="auto"/>
            <w:left w:val="none" w:sz="0" w:space="0" w:color="auto"/>
            <w:bottom w:val="none" w:sz="0" w:space="0" w:color="auto"/>
            <w:right w:val="none" w:sz="0" w:space="0" w:color="auto"/>
          </w:divBdr>
        </w:div>
        <w:div w:id="2024702563">
          <w:marLeft w:val="0"/>
          <w:marRight w:val="0"/>
          <w:marTop w:val="0"/>
          <w:marBottom w:val="0"/>
          <w:divBdr>
            <w:top w:val="none" w:sz="0" w:space="0" w:color="auto"/>
            <w:left w:val="none" w:sz="0" w:space="0" w:color="auto"/>
            <w:bottom w:val="none" w:sz="0" w:space="0" w:color="auto"/>
            <w:right w:val="none" w:sz="0" w:space="0" w:color="auto"/>
          </w:divBdr>
        </w:div>
        <w:div w:id="2024702564">
          <w:marLeft w:val="0"/>
          <w:marRight w:val="0"/>
          <w:marTop w:val="0"/>
          <w:marBottom w:val="0"/>
          <w:divBdr>
            <w:top w:val="none" w:sz="0" w:space="0" w:color="auto"/>
            <w:left w:val="none" w:sz="0" w:space="0" w:color="auto"/>
            <w:bottom w:val="none" w:sz="0" w:space="0" w:color="auto"/>
            <w:right w:val="none" w:sz="0" w:space="0" w:color="auto"/>
          </w:divBdr>
        </w:div>
        <w:div w:id="2024702566">
          <w:marLeft w:val="0"/>
          <w:marRight w:val="0"/>
          <w:marTop w:val="0"/>
          <w:marBottom w:val="0"/>
          <w:divBdr>
            <w:top w:val="none" w:sz="0" w:space="0" w:color="auto"/>
            <w:left w:val="none" w:sz="0" w:space="0" w:color="auto"/>
            <w:bottom w:val="none" w:sz="0" w:space="0" w:color="auto"/>
            <w:right w:val="none" w:sz="0" w:space="0" w:color="auto"/>
          </w:divBdr>
        </w:div>
        <w:div w:id="2024702567">
          <w:marLeft w:val="0"/>
          <w:marRight w:val="0"/>
          <w:marTop w:val="0"/>
          <w:marBottom w:val="0"/>
          <w:divBdr>
            <w:top w:val="none" w:sz="0" w:space="0" w:color="auto"/>
            <w:left w:val="none" w:sz="0" w:space="0" w:color="auto"/>
            <w:bottom w:val="none" w:sz="0" w:space="0" w:color="auto"/>
            <w:right w:val="none" w:sz="0" w:space="0" w:color="auto"/>
          </w:divBdr>
        </w:div>
        <w:div w:id="2024702568">
          <w:marLeft w:val="0"/>
          <w:marRight w:val="0"/>
          <w:marTop w:val="0"/>
          <w:marBottom w:val="0"/>
          <w:divBdr>
            <w:top w:val="none" w:sz="0" w:space="0" w:color="auto"/>
            <w:left w:val="none" w:sz="0" w:space="0" w:color="auto"/>
            <w:bottom w:val="none" w:sz="0" w:space="0" w:color="auto"/>
            <w:right w:val="none" w:sz="0" w:space="0" w:color="auto"/>
          </w:divBdr>
        </w:div>
        <w:div w:id="2024702569">
          <w:marLeft w:val="0"/>
          <w:marRight w:val="0"/>
          <w:marTop w:val="0"/>
          <w:marBottom w:val="0"/>
          <w:divBdr>
            <w:top w:val="none" w:sz="0" w:space="0" w:color="auto"/>
            <w:left w:val="none" w:sz="0" w:space="0" w:color="auto"/>
            <w:bottom w:val="none" w:sz="0" w:space="0" w:color="auto"/>
            <w:right w:val="none" w:sz="0" w:space="0" w:color="auto"/>
          </w:divBdr>
        </w:div>
        <w:div w:id="2024702570">
          <w:marLeft w:val="0"/>
          <w:marRight w:val="0"/>
          <w:marTop w:val="0"/>
          <w:marBottom w:val="0"/>
          <w:divBdr>
            <w:top w:val="none" w:sz="0" w:space="0" w:color="auto"/>
            <w:left w:val="none" w:sz="0" w:space="0" w:color="auto"/>
            <w:bottom w:val="none" w:sz="0" w:space="0" w:color="auto"/>
            <w:right w:val="none" w:sz="0" w:space="0" w:color="auto"/>
          </w:divBdr>
        </w:div>
        <w:div w:id="2024702571">
          <w:marLeft w:val="0"/>
          <w:marRight w:val="0"/>
          <w:marTop w:val="0"/>
          <w:marBottom w:val="0"/>
          <w:divBdr>
            <w:top w:val="none" w:sz="0" w:space="0" w:color="auto"/>
            <w:left w:val="none" w:sz="0" w:space="0" w:color="auto"/>
            <w:bottom w:val="none" w:sz="0" w:space="0" w:color="auto"/>
            <w:right w:val="none" w:sz="0" w:space="0" w:color="auto"/>
          </w:divBdr>
        </w:div>
        <w:div w:id="2024702572">
          <w:marLeft w:val="0"/>
          <w:marRight w:val="0"/>
          <w:marTop w:val="0"/>
          <w:marBottom w:val="0"/>
          <w:divBdr>
            <w:top w:val="none" w:sz="0" w:space="0" w:color="auto"/>
            <w:left w:val="none" w:sz="0" w:space="0" w:color="auto"/>
            <w:bottom w:val="none" w:sz="0" w:space="0" w:color="auto"/>
            <w:right w:val="none" w:sz="0" w:space="0" w:color="auto"/>
          </w:divBdr>
        </w:div>
        <w:div w:id="2024702573">
          <w:marLeft w:val="0"/>
          <w:marRight w:val="0"/>
          <w:marTop w:val="0"/>
          <w:marBottom w:val="0"/>
          <w:divBdr>
            <w:top w:val="none" w:sz="0" w:space="0" w:color="auto"/>
            <w:left w:val="none" w:sz="0" w:space="0" w:color="auto"/>
            <w:bottom w:val="none" w:sz="0" w:space="0" w:color="auto"/>
            <w:right w:val="none" w:sz="0" w:space="0" w:color="auto"/>
          </w:divBdr>
        </w:div>
        <w:div w:id="2024702574">
          <w:marLeft w:val="0"/>
          <w:marRight w:val="0"/>
          <w:marTop w:val="0"/>
          <w:marBottom w:val="0"/>
          <w:divBdr>
            <w:top w:val="none" w:sz="0" w:space="0" w:color="auto"/>
            <w:left w:val="none" w:sz="0" w:space="0" w:color="auto"/>
            <w:bottom w:val="none" w:sz="0" w:space="0" w:color="auto"/>
            <w:right w:val="none" w:sz="0" w:space="0" w:color="auto"/>
          </w:divBdr>
        </w:div>
        <w:div w:id="2024702575">
          <w:marLeft w:val="0"/>
          <w:marRight w:val="0"/>
          <w:marTop w:val="0"/>
          <w:marBottom w:val="0"/>
          <w:divBdr>
            <w:top w:val="none" w:sz="0" w:space="0" w:color="auto"/>
            <w:left w:val="none" w:sz="0" w:space="0" w:color="auto"/>
            <w:bottom w:val="none" w:sz="0" w:space="0" w:color="auto"/>
            <w:right w:val="none" w:sz="0" w:space="0" w:color="auto"/>
          </w:divBdr>
        </w:div>
        <w:div w:id="2024702576">
          <w:marLeft w:val="0"/>
          <w:marRight w:val="0"/>
          <w:marTop w:val="0"/>
          <w:marBottom w:val="0"/>
          <w:divBdr>
            <w:top w:val="none" w:sz="0" w:space="0" w:color="auto"/>
            <w:left w:val="none" w:sz="0" w:space="0" w:color="auto"/>
            <w:bottom w:val="none" w:sz="0" w:space="0" w:color="auto"/>
            <w:right w:val="none" w:sz="0" w:space="0" w:color="auto"/>
          </w:divBdr>
        </w:div>
        <w:div w:id="2024702577">
          <w:marLeft w:val="0"/>
          <w:marRight w:val="0"/>
          <w:marTop w:val="0"/>
          <w:marBottom w:val="0"/>
          <w:divBdr>
            <w:top w:val="none" w:sz="0" w:space="0" w:color="auto"/>
            <w:left w:val="none" w:sz="0" w:space="0" w:color="auto"/>
            <w:bottom w:val="none" w:sz="0" w:space="0" w:color="auto"/>
            <w:right w:val="none" w:sz="0" w:space="0" w:color="auto"/>
          </w:divBdr>
        </w:div>
        <w:div w:id="2024702578">
          <w:marLeft w:val="0"/>
          <w:marRight w:val="0"/>
          <w:marTop w:val="0"/>
          <w:marBottom w:val="0"/>
          <w:divBdr>
            <w:top w:val="none" w:sz="0" w:space="0" w:color="auto"/>
            <w:left w:val="none" w:sz="0" w:space="0" w:color="auto"/>
            <w:bottom w:val="none" w:sz="0" w:space="0" w:color="auto"/>
            <w:right w:val="none" w:sz="0" w:space="0" w:color="auto"/>
          </w:divBdr>
        </w:div>
        <w:div w:id="2024702579">
          <w:marLeft w:val="0"/>
          <w:marRight w:val="0"/>
          <w:marTop w:val="0"/>
          <w:marBottom w:val="0"/>
          <w:divBdr>
            <w:top w:val="none" w:sz="0" w:space="0" w:color="auto"/>
            <w:left w:val="none" w:sz="0" w:space="0" w:color="auto"/>
            <w:bottom w:val="none" w:sz="0" w:space="0" w:color="auto"/>
            <w:right w:val="none" w:sz="0" w:space="0" w:color="auto"/>
          </w:divBdr>
        </w:div>
        <w:div w:id="2024702580">
          <w:marLeft w:val="0"/>
          <w:marRight w:val="0"/>
          <w:marTop w:val="0"/>
          <w:marBottom w:val="0"/>
          <w:divBdr>
            <w:top w:val="none" w:sz="0" w:space="0" w:color="auto"/>
            <w:left w:val="none" w:sz="0" w:space="0" w:color="auto"/>
            <w:bottom w:val="none" w:sz="0" w:space="0" w:color="auto"/>
            <w:right w:val="none" w:sz="0" w:space="0" w:color="auto"/>
          </w:divBdr>
        </w:div>
        <w:div w:id="2024702581">
          <w:marLeft w:val="0"/>
          <w:marRight w:val="0"/>
          <w:marTop w:val="0"/>
          <w:marBottom w:val="0"/>
          <w:divBdr>
            <w:top w:val="none" w:sz="0" w:space="0" w:color="auto"/>
            <w:left w:val="none" w:sz="0" w:space="0" w:color="auto"/>
            <w:bottom w:val="none" w:sz="0" w:space="0" w:color="auto"/>
            <w:right w:val="none" w:sz="0" w:space="0" w:color="auto"/>
          </w:divBdr>
        </w:div>
        <w:div w:id="2024702582">
          <w:marLeft w:val="0"/>
          <w:marRight w:val="0"/>
          <w:marTop w:val="0"/>
          <w:marBottom w:val="0"/>
          <w:divBdr>
            <w:top w:val="none" w:sz="0" w:space="0" w:color="auto"/>
            <w:left w:val="none" w:sz="0" w:space="0" w:color="auto"/>
            <w:bottom w:val="none" w:sz="0" w:space="0" w:color="auto"/>
            <w:right w:val="none" w:sz="0" w:space="0" w:color="auto"/>
          </w:divBdr>
        </w:div>
        <w:div w:id="2024702583">
          <w:marLeft w:val="0"/>
          <w:marRight w:val="0"/>
          <w:marTop w:val="0"/>
          <w:marBottom w:val="0"/>
          <w:divBdr>
            <w:top w:val="none" w:sz="0" w:space="0" w:color="auto"/>
            <w:left w:val="none" w:sz="0" w:space="0" w:color="auto"/>
            <w:bottom w:val="none" w:sz="0" w:space="0" w:color="auto"/>
            <w:right w:val="none" w:sz="0" w:space="0" w:color="auto"/>
          </w:divBdr>
        </w:div>
        <w:div w:id="2024702584">
          <w:marLeft w:val="0"/>
          <w:marRight w:val="0"/>
          <w:marTop w:val="0"/>
          <w:marBottom w:val="0"/>
          <w:divBdr>
            <w:top w:val="none" w:sz="0" w:space="0" w:color="auto"/>
            <w:left w:val="none" w:sz="0" w:space="0" w:color="auto"/>
            <w:bottom w:val="none" w:sz="0" w:space="0" w:color="auto"/>
            <w:right w:val="none" w:sz="0" w:space="0" w:color="auto"/>
          </w:divBdr>
        </w:div>
        <w:div w:id="2024702585">
          <w:marLeft w:val="0"/>
          <w:marRight w:val="0"/>
          <w:marTop w:val="0"/>
          <w:marBottom w:val="0"/>
          <w:divBdr>
            <w:top w:val="none" w:sz="0" w:space="0" w:color="auto"/>
            <w:left w:val="none" w:sz="0" w:space="0" w:color="auto"/>
            <w:bottom w:val="none" w:sz="0" w:space="0" w:color="auto"/>
            <w:right w:val="none" w:sz="0" w:space="0" w:color="auto"/>
          </w:divBdr>
        </w:div>
        <w:div w:id="2024702586">
          <w:marLeft w:val="0"/>
          <w:marRight w:val="0"/>
          <w:marTop w:val="0"/>
          <w:marBottom w:val="0"/>
          <w:divBdr>
            <w:top w:val="none" w:sz="0" w:space="0" w:color="auto"/>
            <w:left w:val="none" w:sz="0" w:space="0" w:color="auto"/>
            <w:bottom w:val="none" w:sz="0" w:space="0" w:color="auto"/>
            <w:right w:val="none" w:sz="0" w:space="0" w:color="auto"/>
          </w:divBdr>
        </w:div>
        <w:div w:id="2024702587">
          <w:marLeft w:val="0"/>
          <w:marRight w:val="0"/>
          <w:marTop w:val="0"/>
          <w:marBottom w:val="0"/>
          <w:divBdr>
            <w:top w:val="none" w:sz="0" w:space="0" w:color="auto"/>
            <w:left w:val="none" w:sz="0" w:space="0" w:color="auto"/>
            <w:bottom w:val="none" w:sz="0" w:space="0" w:color="auto"/>
            <w:right w:val="none" w:sz="0" w:space="0" w:color="auto"/>
          </w:divBdr>
        </w:div>
        <w:div w:id="2024702588">
          <w:marLeft w:val="0"/>
          <w:marRight w:val="0"/>
          <w:marTop w:val="0"/>
          <w:marBottom w:val="0"/>
          <w:divBdr>
            <w:top w:val="none" w:sz="0" w:space="0" w:color="auto"/>
            <w:left w:val="none" w:sz="0" w:space="0" w:color="auto"/>
            <w:bottom w:val="none" w:sz="0" w:space="0" w:color="auto"/>
            <w:right w:val="none" w:sz="0" w:space="0" w:color="auto"/>
          </w:divBdr>
        </w:div>
        <w:div w:id="2024702589">
          <w:marLeft w:val="0"/>
          <w:marRight w:val="0"/>
          <w:marTop w:val="0"/>
          <w:marBottom w:val="0"/>
          <w:divBdr>
            <w:top w:val="none" w:sz="0" w:space="0" w:color="auto"/>
            <w:left w:val="none" w:sz="0" w:space="0" w:color="auto"/>
            <w:bottom w:val="none" w:sz="0" w:space="0" w:color="auto"/>
            <w:right w:val="none" w:sz="0" w:space="0" w:color="auto"/>
          </w:divBdr>
        </w:div>
        <w:div w:id="2024702590">
          <w:marLeft w:val="0"/>
          <w:marRight w:val="0"/>
          <w:marTop w:val="0"/>
          <w:marBottom w:val="0"/>
          <w:divBdr>
            <w:top w:val="none" w:sz="0" w:space="0" w:color="auto"/>
            <w:left w:val="none" w:sz="0" w:space="0" w:color="auto"/>
            <w:bottom w:val="none" w:sz="0" w:space="0" w:color="auto"/>
            <w:right w:val="none" w:sz="0" w:space="0" w:color="auto"/>
          </w:divBdr>
        </w:div>
        <w:div w:id="2024702591">
          <w:marLeft w:val="0"/>
          <w:marRight w:val="0"/>
          <w:marTop w:val="0"/>
          <w:marBottom w:val="0"/>
          <w:divBdr>
            <w:top w:val="none" w:sz="0" w:space="0" w:color="auto"/>
            <w:left w:val="none" w:sz="0" w:space="0" w:color="auto"/>
            <w:bottom w:val="none" w:sz="0" w:space="0" w:color="auto"/>
            <w:right w:val="none" w:sz="0" w:space="0" w:color="auto"/>
          </w:divBdr>
        </w:div>
        <w:div w:id="2024702593">
          <w:marLeft w:val="0"/>
          <w:marRight w:val="0"/>
          <w:marTop w:val="0"/>
          <w:marBottom w:val="0"/>
          <w:divBdr>
            <w:top w:val="none" w:sz="0" w:space="0" w:color="auto"/>
            <w:left w:val="none" w:sz="0" w:space="0" w:color="auto"/>
            <w:bottom w:val="none" w:sz="0" w:space="0" w:color="auto"/>
            <w:right w:val="none" w:sz="0" w:space="0" w:color="auto"/>
          </w:divBdr>
        </w:div>
        <w:div w:id="2024702594">
          <w:marLeft w:val="0"/>
          <w:marRight w:val="0"/>
          <w:marTop w:val="0"/>
          <w:marBottom w:val="0"/>
          <w:divBdr>
            <w:top w:val="none" w:sz="0" w:space="0" w:color="auto"/>
            <w:left w:val="none" w:sz="0" w:space="0" w:color="auto"/>
            <w:bottom w:val="none" w:sz="0" w:space="0" w:color="auto"/>
            <w:right w:val="none" w:sz="0" w:space="0" w:color="auto"/>
          </w:divBdr>
        </w:div>
        <w:div w:id="2024702595">
          <w:marLeft w:val="0"/>
          <w:marRight w:val="0"/>
          <w:marTop w:val="0"/>
          <w:marBottom w:val="0"/>
          <w:divBdr>
            <w:top w:val="none" w:sz="0" w:space="0" w:color="auto"/>
            <w:left w:val="none" w:sz="0" w:space="0" w:color="auto"/>
            <w:bottom w:val="none" w:sz="0" w:space="0" w:color="auto"/>
            <w:right w:val="none" w:sz="0" w:space="0" w:color="auto"/>
          </w:divBdr>
        </w:div>
        <w:div w:id="2024702596">
          <w:marLeft w:val="0"/>
          <w:marRight w:val="0"/>
          <w:marTop w:val="0"/>
          <w:marBottom w:val="0"/>
          <w:divBdr>
            <w:top w:val="none" w:sz="0" w:space="0" w:color="auto"/>
            <w:left w:val="none" w:sz="0" w:space="0" w:color="auto"/>
            <w:bottom w:val="none" w:sz="0" w:space="0" w:color="auto"/>
            <w:right w:val="none" w:sz="0" w:space="0" w:color="auto"/>
          </w:divBdr>
        </w:div>
        <w:div w:id="2024702597">
          <w:marLeft w:val="0"/>
          <w:marRight w:val="0"/>
          <w:marTop w:val="0"/>
          <w:marBottom w:val="0"/>
          <w:divBdr>
            <w:top w:val="none" w:sz="0" w:space="0" w:color="auto"/>
            <w:left w:val="none" w:sz="0" w:space="0" w:color="auto"/>
            <w:bottom w:val="none" w:sz="0" w:space="0" w:color="auto"/>
            <w:right w:val="none" w:sz="0" w:space="0" w:color="auto"/>
          </w:divBdr>
        </w:div>
        <w:div w:id="2024702598">
          <w:marLeft w:val="0"/>
          <w:marRight w:val="0"/>
          <w:marTop w:val="0"/>
          <w:marBottom w:val="0"/>
          <w:divBdr>
            <w:top w:val="none" w:sz="0" w:space="0" w:color="auto"/>
            <w:left w:val="none" w:sz="0" w:space="0" w:color="auto"/>
            <w:bottom w:val="none" w:sz="0" w:space="0" w:color="auto"/>
            <w:right w:val="none" w:sz="0" w:space="0" w:color="auto"/>
          </w:divBdr>
        </w:div>
        <w:div w:id="2024702599">
          <w:marLeft w:val="0"/>
          <w:marRight w:val="0"/>
          <w:marTop w:val="0"/>
          <w:marBottom w:val="0"/>
          <w:divBdr>
            <w:top w:val="none" w:sz="0" w:space="0" w:color="auto"/>
            <w:left w:val="none" w:sz="0" w:space="0" w:color="auto"/>
            <w:bottom w:val="none" w:sz="0" w:space="0" w:color="auto"/>
            <w:right w:val="none" w:sz="0" w:space="0" w:color="auto"/>
          </w:divBdr>
        </w:div>
        <w:div w:id="2024702600">
          <w:marLeft w:val="0"/>
          <w:marRight w:val="0"/>
          <w:marTop w:val="0"/>
          <w:marBottom w:val="0"/>
          <w:divBdr>
            <w:top w:val="none" w:sz="0" w:space="0" w:color="auto"/>
            <w:left w:val="none" w:sz="0" w:space="0" w:color="auto"/>
            <w:bottom w:val="none" w:sz="0" w:space="0" w:color="auto"/>
            <w:right w:val="none" w:sz="0" w:space="0" w:color="auto"/>
          </w:divBdr>
        </w:div>
        <w:div w:id="2024702601">
          <w:marLeft w:val="0"/>
          <w:marRight w:val="0"/>
          <w:marTop w:val="0"/>
          <w:marBottom w:val="0"/>
          <w:divBdr>
            <w:top w:val="none" w:sz="0" w:space="0" w:color="auto"/>
            <w:left w:val="none" w:sz="0" w:space="0" w:color="auto"/>
            <w:bottom w:val="none" w:sz="0" w:space="0" w:color="auto"/>
            <w:right w:val="none" w:sz="0" w:space="0" w:color="auto"/>
          </w:divBdr>
        </w:div>
        <w:div w:id="2024702602">
          <w:marLeft w:val="0"/>
          <w:marRight w:val="0"/>
          <w:marTop w:val="0"/>
          <w:marBottom w:val="0"/>
          <w:divBdr>
            <w:top w:val="none" w:sz="0" w:space="0" w:color="auto"/>
            <w:left w:val="none" w:sz="0" w:space="0" w:color="auto"/>
            <w:bottom w:val="none" w:sz="0" w:space="0" w:color="auto"/>
            <w:right w:val="none" w:sz="0" w:space="0" w:color="auto"/>
          </w:divBdr>
        </w:div>
        <w:div w:id="2024702603">
          <w:marLeft w:val="0"/>
          <w:marRight w:val="0"/>
          <w:marTop w:val="0"/>
          <w:marBottom w:val="0"/>
          <w:divBdr>
            <w:top w:val="none" w:sz="0" w:space="0" w:color="auto"/>
            <w:left w:val="none" w:sz="0" w:space="0" w:color="auto"/>
            <w:bottom w:val="none" w:sz="0" w:space="0" w:color="auto"/>
            <w:right w:val="none" w:sz="0" w:space="0" w:color="auto"/>
          </w:divBdr>
        </w:div>
        <w:div w:id="2024702604">
          <w:marLeft w:val="0"/>
          <w:marRight w:val="0"/>
          <w:marTop w:val="0"/>
          <w:marBottom w:val="0"/>
          <w:divBdr>
            <w:top w:val="none" w:sz="0" w:space="0" w:color="auto"/>
            <w:left w:val="none" w:sz="0" w:space="0" w:color="auto"/>
            <w:bottom w:val="none" w:sz="0" w:space="0" w:color="auto"/>
            <w:right w:val="none" w:sz="0" w:space="0" w:color="auto"/>
          </w:divBdr>
        </w:div>
        <w:div w:id="2024702605">
          <w:marLeft w:val="0"/>
          <w:marRight w:val="0"/>
          <w:marTop w:val="0"/>
          <w:marBottom w:val="0"/>
          <w:divBdr>
            <w:top w:val="none" w:sz="0" w:space="0" w:color="auto"/>
            <w:left w:val="none" w:sz="0" w:space="0" w:color="auto"/>
            <w:bottom w:val="none" w:sz="0" w:space="0" w:color="auto"/>
            <w:right w:val="none" w:sz="0" w:space="0" w:color="auto"/>
          </w:divBdr>
        </w:div>
        <w:div w:id="2024702606">
          <w:marLeft w:val="0"/>
          <w:marRight w:val="0"/>
          <w:marTop w:val="0"/>
          <w:marBottom w:val="0"/>
          <w:divBdr>
            <w:top w:val="none" w:sz="0" w:space="0" w:color="auto"/>
            <w:left w:val="none" w:sz="0" w:space="0" w:color="auto"/>
            <w:bottom w:val="none" w:sz="0" w:space="0" w:color="auto"/>
            <w:right w:val="none" w:sz="0" w:space="0" w:color="auto"/>
          </w:divBdr>
        </w:div>
        <w:div w:id="2024702607">
          <w:marLeft w:val="0"/>
          <w:marRight w:val="0"/>
          <w:marTop w:val="0"/>
          <w:marBottom w:val="0"/>
          <w:divBdr>
            <w:top w:val="none" w:sz="0" w:space="0" w:color="auto"/>
            <w:left w:val="none" w:sz="0" w:space="0" w:color="auto"/>
            <w:bottom w:val="none" w:sz="0" w:space="0" w:color="auto"/>
            <w:right w:val="none" w:sz="0" w:space="0" w:color="auto"/>
          </w:divBdr>
        </w:div>
        <w:div w:id="2024702608">
          <w:marLeft w:val="0"/>
          <w:marRight w:val="0"/>
          <w:marTop w:val="0"/>
          <w:marBottom w:val="0"/>
          <w:divBdr>
            <w:top w:val="none" w:sz="0" w:space="0" w:color="auto"/>
            <w:left w:val="none" w:sz="0" w:space="0" w:color="auto"/>
            <w:bottom w:val="none" w:sz="0" w:space="0" w:color="auto"/>
            <w:right w:val="none" w:sz="0" w:space="0" w:color="auto"/>
          </w:divBdr>
        </w:div>
        <w:div w:id="2024702609">
          <w:marLeft w:val="0"/>
          <w:marRight w:val="0"/>
          <w:marTop w:val="0"/>
          <w:marBottom w:val="0"/>
          <w:divBdr>
            <w:top w:val="none" w:sz="0" w:space="0" w:color="auto"/>
            <w:left w:val="none" w:sz="0" w:space="0" w:color="auto"/>
            <w:bottom w:val="none" w:sz="0" w:space="0" w:color="auto"/>
            <w:right w:val="none" w:sz="0" w:space="0" w:color="auto"/>
          </w:divBdr>
        </w:div>
        <w:div w:id="2024702610">
          <w:marLeft w:val="0"/>
          <w:marRight w:val="0"/>
          <w:marTop w:val="0"/>
          <w:marBottom w:val="0"/>
          <w:divBdr>
            <w:top w:val="none" w:sz="0" w:space="0" w:color="auto"/>
            <w:left w:val="none" w:sz="0" w:space="0" w:color="auto"/>
            <w:bottom w:val="none" w:sz="0" w:space="0" w:color="auto"/>
            <w:right w:val="none" w:sz="0" w:space="0" w:color="auto"/>
          </w:divBdr>
        </w:div>
        <w:div w:id="2024702611">
          <w:marLeft w:val="0"/>
          <w:marRight w:val="0"/>
          <w:marTop w:val="0"/>
          <w:marBottom w:val="0"/>
          <w:divBdr>
            <w:top w:val="none" w:sz="0" w:space="0" w:color="auto"/>
            <w:left w:val="none" w:sz="0" w:space="0" w:color="auto"/>
            <w:bottom w:val="none" w:sz="0" w:space="0" w:color="auto"/>
            <w:right w:val="none" w:sz="0" w:space="0" w:color="auto"/>
          </w:divBdr>
        </w:div>
        <w:div w:id="2024702612">
          <w:marLeft w:val="0"/>
          <w:marRight w:val="0"/>
          <w:marTop w:val="0"/>
          <w:marBottom w:val="0"/>
          <w:divBdr>
            <w:top w:val="none" w:sz="0" w:space="0" w:color="auto"/>
            <w:left w:val="none" w:sz="0" w:space="0" w:color="auto"/>
            <w:bottom w:val="none" w:sz="0" w:space="0" w:color="auto"/>
            <w:right w:val="none" w:sz="0" w:space="0" w:color="auto"/>
          </w:divBdr>
        </w:div>
        <w:div w:id="2024702613">
          <w:marLeft w:val="0"/>
          <w:marRight w:val="0"/>
          <w:marTop w:val="0"/>
          <w:marBottom w:val="0"/>
          <w:divBdr>
            <w:top w:val="none" w:sz="0" w:space="0" w:color="auto"/>
            <w:left w:val="none" w:sz="0" w:space="0" w:color="auto"/>
            <w:bottom w:val="none" w:sz="0" w:space="0" w:color="auto"/>
            <w:right w:val="none" w:sz="0" w:space="0" w:color="auto"/>
          </w:divBdr>
        </w:div>
        <w:div w:id="2024702614">
          <w:marLeft w:val="0"/>
          <w:marRight w:val="0"/>
          <w:marTop w:val="0"/>
          <w:marBottom w:val="0"/>
          <w:divBdr>
            <w:top w:val="none" w:sz="0" w:space="0" w:color="auto"/>
            <w:left w:val="none" w:sz="0" w:space="0" w:color="auto"/>
            <w:bottom w:val="none" w:sz="0" w:space="0" w:color="auto"/>
            <w:right w:val="none" w:sz="0" w:space="0" w:color="auto"/>
          </w:divBdr>
        </w:div>
        <w:div w:id="2024702615">
          <w:marLeft w:val="0"/>
          <w:marRight w:val="0"/>
          <w:marTop w:val="0"/>
          <w:marBottom w:val="0"/>
          <w:divBdr>
            <w:top w:val="none" w:sz="0" w:space="0" w:color="auto"/>
            <w:left w:val="none" w:sz="0" w:space="0" w:color="auto"/>
            <w:bottom w:val="none" w:sz="0" w:space="0" w:color="auto"/>
            <w:right w:val="none" w:sz="0" w:space="0" w:color="auto"/>
          </w:divBdr>
        </w:div>
        <w:div w:id="2024702616">
          <w:marLeft w:val="0"/>
          <w:marRight w:val="0"/>
          <w:marTop w:val="0"/>
          <w:marBottom w:val="0"/>
          <w:divBdr>
            <w:top w:val="none" w:sz="0" w:space="0" w:color="auto"/>
            <w:left w:val="none" w:sz="0" w:space="0" w:color="auto"/>
            <w:bottom w:val="none" w:sz="0" w:space="0" w:color="auto"/>
            <w:right w:val="none" w:sz="0" w:space="0" w:color="auto"/>
          </w:divBdr>
        </w:div>
        <w:div w:id="2024702617">
          <w:marLeft w:val="0"/>
          <w:marRight w:val="0"/>
          <w:marTop w:val="0"/>
          <w:marBottom w:val="0"/>
          <w:divBdr>
            <w:top w:val="none" w:sz="0" w:space="0" w:color="auto"/>
            <w:left w:val="none" w:sz="0" w:space="0" w:color="auto"/>
            <w:bottom w:val="none" w:sz="0" w:space="0" w:color="auto"/>
            <w:right w:val="none" w:sz="0" w:space="0" w:color="auto"/>
          </w:divBdr>
        </w:div>
        <w:div w:id="2024702618">
          <w:marLeft w:val="0"/>
          <w:marRight w:val="0"/>
          <w:marTop w:val="0"/>
          <w:marBottom w:val="0"/>
          <w:divBdr>
            <w:top w:val="none" w:sz="0" w:space="0" w:color="auto"/>
            <w:left w:val="none" w:sz="0" w:space="0" w:color="auto"/>
            <w:bottom w:val="none" w:sz="0" w:space="0" w:color="auto"/>
            <w:right w:val="none" w:sz="0" w:space="0" w:color="auto"/>
          </w:divBdr>
        </w:div>
        <w:div w:id="2024702619">
          <w:marLeft w:val="0"/>
          <w:marRight w:val="0"/>
          <w:marTop w:val="0"/>
          <w:marBottom w:val="0"/>
          <w:divBdr>
            <w:top w:val="none" w:sz="0" w:space="0" w:color="auto"/>
            <w:left w:val="none" w:sz="0" w:space="0" w:color="auto"/>
            <w:bottom w:val="none" w:sz="0" w:space="0" w:color="auto"/>
            <w:right w:val="none" w:sz="0" w:space="0" w:color="auto"/>
          </w:divBdr>
        </w:div>
        <w:div w:id="2024702620">
          <w:marLeft w:val="0"/>
          <w:marRight w:val="0"/>
          <w:marTop w:val="0"/>
          <w:marBottom w:val="0"/>
          <w:divBdr>
            <w:top w:val="none" w:sz="0" w:space="0" w:color="auto"/>
            <w:left w:val="none" w:sz="0" w:space="0" w:color="auto"/>
            <w:bottom w:val="none" w:sz="0" w:space="0" w:color="auto"/>
            <w:right w:val="none" w:sz="0" w:space="0" w:color="auto"/>
          </w:divBdr>
        </w:div>
        <w:div w:id="2024702621">
          <w:marLeft w:val="0"/>
          <w:marRight w:val="0"/>
          <w:marTop w:val="0"/>
          <w:marBottom w:val="0"/>
          <w:divBdr>
            <w:top w:val="none" w:sz="0" w:space="0" w:color="auto"/>
            <w:left w:val="none" w:sz="0" w:space="0" w:color="auto"/>
            <w:bottom w:val="none" w:sz="0" w:space="0" w:color="auto"/>
            <w:right w:val="none" w:sz="0" w:space="0" w:color="auto"/>
          </w:divBdr>
        </w:div>
        <w:div w:id="2024702622">
          <w:marLeft w:val="0"/>
          <w:marRight w:val="0"/>
          <w:marTop w:val="0"/>
          <w:marBottom w:val="0"/>
          <w:divBdr>
            <w:top w:val="none" w:sz="0" w:space="0" w:color="auto"/>
            <w:left w:val="none" w:sz="0" w:space="0" w:color="auto"/>
            <w:bottom w:val="none" w:sz="0" w:space="0" w:color="auto"/>
            <w:right w:val="none" w:sz="0" w:space="0" w:color="auto"/>
          </w:divBdr>
        </w:div>
        <w:div w:id="2024702623">
          <w:marLeft w:val="0"/>
          <w:marRight w:val="0"/>
          <w:marTop w:val="0"/>
          <w:marBottom w:val="0"/>
          <w:divBdr>
            <w:top w:val="none" w:sz="0" w:space="0" w:color="auto"/>
            <w:left w:val="none" w:sz="0" w:space="0" w:color="auto"/>
            <w:bottom w:val="none" w:sz="0" w:space="0" w:color="auto"/>
            <w:right w:val="none" w:sz="0" w:space="0" w:color="auto"/>
          </w:divBdr>
        </w:div>
        <w:div w:id="2024702624">
          <w:marLeft w:val="0"/>
          <w:marRight w:val="0"/>
          <w:marTop w:val="0"/>
          <w:marBottom w:val="0"/>
          <w:divBdr>
            <w:top w:val="none" w:sz="0" w:space="0" w:color="auto"/>
            <w:left w:val="none" w:sz="0" w:space="0" w:color="auto"/>
            <w:bottom w:val="none" w:sz="0" w:space="0" w:color="auto"/>
            <w:right w:val="none" w:sz="0" w:space="0" w:color="auto"/>
          </w:divBdr>
        </w:div>
        <w:div w:id="2024702625">
          <w:marLeft w:val="0"/>
          <w:marRight w:val="0"/>
          <w:marTop w:val="0"/>
          <w:marBottom w:val="0"/>
          <w:divBdr>
            <w:top w:val="none" w:sz="0" w:space="0" w:color="auto"/>
            <w:left w:val="none" w:sz="0" w:space="0" w:color="auto"/>
            <w:bottom w:val="none" w:sz="0" w:space="0" w:color="auto"/>
            <w:right w:val="none" w:sz="0" w:space="0" w:color="auto"/>
          </w:divBdr>
        </w:div>
        <w:div w:id="2024702626">
          <w:marLeft w:val="0"/>
          <w:marRight w:val="0"/>
          <w:marTop w:val="0"/>
          <w:marBottom w:val="0"/>
          <w:divBdr>
            <w:top w:val="none" w:sz="0" w:space="0" w:color="auto"/>
            <w:left w:val="none" w:sz="0" w:space="0" w:color="auto"/>
            <w:bottom w:val="none" w:sz="0" w:space="0" w:color="auto"/>
            <w:right w:val="none" w:sz="0" w:space="0" w:color="auto"/>
          </w:divBdr>
        </w:div>
        <w:div w:id="2024702627">
          <w:marLeft w:val="0"/>
          <w:marRight w:val="0"/>
          <w:marTop w:val="0"/>
          <w:marBottom w:val="0"/>
          <w:divBdr>
            <w:top w:val="none" w:sz="0" w:space="0" w:color="auto"/>
            <w:left w:val="none" w:sz="0" w:space="0" w:color="auto"/>
            <w:bottom w:val="none" w:sz="0" w:space="0" w:color="auto"/>
            <w:right w:val="none" w:sz="0" w:space="0" w:color="auto"/>
          </w:divBdr>
        </w:div>
        <w:div w:id="2024702628">
          <w:marLeft w:val="0"/>
          <w:marRight w:val="0"/>
          <w:marTop w:val="0"/>
          <w:marBottom w:val="0"/>
          <w:divBdr>
            <w:top w:val="none" w:sz="0" w:space="0" w:color="auto"/>
            <w:left w:val="none" w:sz="0" w:space="0" w:color="auto"/>
            <w:bottom w:val="none" w:sz="0" w:space="0" w:color="auto"/>
            <w:right w:val="none" w:sz="0" w:space="0" w:color="auto"/>
          </w:divBdr>
        </w:div>
        <w:div w:id="2024702629">
          <w:marLeft w:val="0"/>
          <w:marRight w:val="0"/>
          <w:marTop w:val="0"/>
          <w:marBottom w:val="0"/>
          <w:divBdr>
            <w:top w:val="none" w:sz="0" w:space="0" w:color="auto"/>
            <w:left w:val="none" w:sz="0" w:space="0" w:color="auto"/>
            <w:bottom w:val="none" w:sz="0" w:space="0" w:color="auto"/>
            <w:right w:val="none" w:sz="0" w:space="0" w:color="auto"/>
          </w:divBdr>
        </w:div>
        <w:div w:id="2024702630">
          <w:marLeft w:val="0"/>
          <w:marRight w:val="0"/>
          <w:marTop w:val="0"/>
          <w:marBottom w:val="0"/>
          <w:divBdr>
            <w:top w:val="none" w:sz="0" w:space="0" w:color="auto"/>
            <w:left w:val="none" w:sz="0" w:space="0" w:color="auto"/>
            <w:bottom w:val="none" w:sz="0" w:space="0" w:color="auto"/>
            <w:right w:val="none" w:sz="0" w:space="0" w:color="auto"/>
          </w:divBdr>
        </w:div>
        <w:div w:id="2024702631">
          <w:marLeft w:val="0"/>
          <w:marRight w:val="0"/>
          <w:marTop w:val="0"/>
          <w:marBottom w:val="0"/>
          <w:divBdr>
            <w:top w:val="none" w:sz="0" w:space="0" w:color="auto"/>
            <w:left w:val="none" w:sz="0" w:space="0" w:color="auto"/>
            <w:bottom w:val="none" w:sz="0" w:space="0" w:color="auto"/>
            <w:right w:val="none" w:sz="0" w:space="0" w:color="auto"/>
          </w:divBdr>
        </w:div>
        <w:div w:id="2024702632">
          <w:marLeft w:val="0"/>
          <w:marRight w:val="0"/>
          <w:marTop w:val="0"/>
          <w:marBottom w:val="0"/>
          <w:divBdr>
            <w:top w:val="none" w:sz="0" w:space="0" w:color="auto"/>
            <w:left w:val="none" w:sz="0" w:space="0" w:color="auto"/>
            <w:bottom w:val="none" w:sz="0" w:space="0" w:color="auto"/>
            <w:right w:val="none" w:sz="0" w:space="0" w:color="auto"/>
          </w:divBdr>
        </w:div>
        <w:div w:id="2024702633">
          <w:marLeft w:val="0"/>
          <w:marRight w:val="0"/>
          <w:marTop w:val="0"/>
          <w:marBottom w:val="0"/>
          <w:divBdr>
            <w:top w:val="none" w:sz="0" w:space="0" w:color="auto"/>
            <w:left w:val="none" w:sz="0" w:space="0" w:color="auto"/>
            <w:bottom w:val="none" w:sz="0" w:space="0" w:color="auto"/>
            <w:right w:val="none" w:sz="0" w:space="0" w:color="auto"/>
          </w:divBdr>
        </w:div>
        <w:div w:id="2024702634">
          <w:marLeft w:val="0"/>
          <w:marRight w:val="0"/>
          <w:marTop w:val="0"/>
          <w:marBottom w:val="0"/>
          <w:divBdr>
            <w:top w:val="none" w:sz="0" w:space="0" w:color="auto"/>
            <w:left w:val="none" w:sz="0" w:space="0" w:color="auto"/>
            <w:bottom w:val="none" w:sz="0" w:space="0" w:color="auto"/>
            <w:right w:val="none" w:sz="0" w:space="0" w:color="auto"/>
          </w:divBdr>
        </w:div>
        <w:div w:id="2024702635">
          <w:marLeft w:val="0"/>
          <w:marRight w:val="0"/>
          <w:marTop w:val="0"/>
          <w:marBottom w:val="0"/>
          <w:divBdr>
            <w:top w:val="none" w:sz="0" w:space="0" w:color="auto"/>
            <w:left w:val="none" w:sz="0" w:space="0" w:color="auto"/>
            <w:bottom w:val="none" w:sz="0" w:space="0" w:color="auto"/>
            <w:right w:val="none" w:sz="0" w:space="0" w:color="auto"/>
          </w:divBdr>
        </w:div>
        <w:div w:id="2024702636">
          <w:marLeft w:val="0"/>
          <w:marRight w:val="0"/>
          <w:marTop w:val="0"/>
          <w:marBottom w:val="0"/>
          <w:divBdr>
            <w:top w:val="none" w:sz="0" w:space="0" w:color="auto"/>
            <w:left w:val="none" w:sz="0" w:space="0" w:color="auto"/>
            <w:bottom w:val="none" w:sz="0" w:space="0" w:color="auto"/>
            <w:right w:val="none" w:sz="0" w:space="0" w:color="auto"/>
          </w:divBdr>
        </w:div>
        <w:div w:id="2024702637">
          <w:marLeft w:val="0"/>
          <w:marRight w:val="0"/>
          <w:marTop w:val="0"/>
          <w:marBottom w:val="0"/>
          <w:divBdr>
            <w:top w:val="none" w:sz="0" w:space="0" w:color="auto"/>
            <w:left w:val="none" w:sz="0" w:space="0" w:color="auto"/>
            <w:bottom w:val="none" w:sz="0" w:space="0" w:color="auto"/>
            <w:right w:val="none" w:sz="0" w:space="0" w:color="auto"/>
          </w:divBdr>
        </w:div>
        <w:div w:id="2024702638">
          <w:marLeft w:val="0"/>
          <w:marRight w:val="0"/>
          <w:marTop w:val="0"/>
          <w:marBottom w:val="0"/>
          <w:divBdr>
            <w:top w:val="none" w:sz="0" w:space="0" w:color="auto"/>
            <w:left w:val="none" w:sz="0" w:space="0" w:color="auto"/>
            <w:bottom w:val="none" w:sz="0" w:space="0" w:color="auto"/>
            <w:right w:val="none" w:sz="0" w:space="0" w:color="auto"/>
          </w:divBdr>
        </w:div>
        <w:div w:id="2024702639">
          <w:marLeft w:val="0"/>
          <w:marRight w:val="0"/>
          <w:marTop w:val="0"/>
          <w:marBottom w:val="0"/>
          <w:divBdr>
            <w:top w:val="none" w:sz="0" w:space="0" w:color="auto"/>
            <w:left w:val="none" w:sz="0" w:space="0" w:color="auto"/>
            <w:bottom w:val="none" w:sz="0" w:space="0" w:color="auto"/>
            <w:right w:val="none" w:sz="0" w:space="0" w:color="auto"/>
          </w:divBdr>
        </w:div>
        <w:div w:id="2024702640">
          <w:marLeft w:val="0"/>
          <w:marRight w:val="0"/>
          <w:marTop w:val="0"/>
          <w:marBottom w:val="0"/>
          <w:divBdr>
            <w:top w:val="none" w:sz="0" w:space="0" w:color="auto"/>
            <w:left w:val="none" w:sz="0" w:space="0" w:color="auto"/>
            <w:bottom w:val="none" w:sz="0" w:space="0" w:color="auto"/>
            <w:right w:val="none" w:sz="0" w:space="0" w:color="auto"/>
          </w:divBdr>
        </w:div>
        <w:div w:id="2024702641">
          <w:marLeft w:val="0"/>
          <w:marRight w:val="0"/>
          <w:marTop w:val="0"/>
          <w:marBottom w:val="0"/>
          <w:divBdr>
            <w:top w:val="none" w:sz="0" w:space="0" w:color="auto"/>
            <w:left w:val="none" w:sz="0" w:space="0" w:color="auto"/>
            <w:bottom w:val="none" w:sz="0" w:space="0" w:color="auto"/>
            <w:right w:val="none" w:sz="0" w:space="0" w:color="auto"/>
          </w:divBdr>
        </w:div>
        <w:div w:id="2024702642">
          <w:marLeft w:val="0"/>
          <w:marRight w:val="0"/>
          <w:marTop w:val="0"/>
          <w:marBottom w:val="0"/>
          <w:divBdr>
            <w:top w:val="none" w:sz="0" w:space="0" w:color="auto"/>
            <w:left w:val="none" w:sz="0" w:space="0" w:color="auto"/>
            <w:bottom w:val="none" w:sz="0" w:space="0" w:color="auto"/>
            <w:right w:val="none" w:sz="0" w:space="0" w:color="auto"/>
          </w:divBdr>
        </w:div>
        <w:div w:id="2024702643">
          <w:marLeft w:val="0"/>
          <w:marRight w:val="0"/>
          <w:marTop w:val="0"/>
          <w:marBottom w:val="0"/>
          <w:divBdr>
            <w:top w:val="none" w:sz="0" w:space="0" w:color="auto"/>
            <w:left w:val="none" w:sz="0" w:space="0" w:color="auto"/>
            <w:bottom w:val="none" w:sz="0" w:space="0" w:color="auto"/>
            <w:right w:val="none" w:sz="0" w:space="0" w:color="auto"/>
          </w:divBdr>
        </w:div>
        <w:div w:id="2024702644">
          <w:marLeft w:val="0"/>
          <w:marRight w:val="0"/>
          <w:marTop w:val="0"/>
          <w:marBottom w:val="0"/>
          <w:divBdr>
            <w:top w:val="none" w:sz="0" w:space="0" w:color="auto"/>
            <w:left w:val="none" w:sz="0" w:space="0" w:color="auto"/>
            <w:bottom w:val="none" w:sz="0" w:space="0" w:color="auto"/>
            <w:right w:val="none" w:sz="0" w:space="0" w:color="auto"/>
          </w:divBdr>
        </w:div>
        <w:div w:id="2024702645">
          <w:marLeft w:val="0"/>
          <w:marRight w:val="0"/>
          <w:marTop w:val="0"/>
          <w:marBottom w:val="0"/>
          <w:divBdr>
            <w:top w:val="none" w:sz="0" w:space="0" w:color="auto"/>
            <w:left w:val="none" w:sz="0" w:space="0" w:color="auto"/>
            <w:bottom w:val="none" w:sz="0" w:space="0" w:color="auto"/>
            <w:right w:val="none" w:sz="0" w:space="0" w:color="auto"/>
          </w:divBdr>
        </w:div>
        <w:div w:id="2024702646">
          <w:marLeft w:val="0"/>
          <w:marRight w:val="0"/>
          <w:marTop w:val="0"/>
          <w:marBottom w:val="0"/>
          <w:divBdr>
            <w:top w:val="none" w:sz="0" w:space="0" w:color="auto"/>
            <w:left w:val="none" w:sz="0" w:space="0" w:color="auto"/>
            <w:bottom w:val="none" w:sz="0" w:space="0" w:color="auto"/>
            <w:right w:val="none" w:sz="0" w:space="0" w:color="auto"/>
          </w:divBdr>
        </w:div>
        <w:div w:id="2024702647">
          <w:marLeft w:val="0"/>
          <w:marRight w:val="0"/>
          <w:marTop w:val="0"/>
          <w:marBottom w:val="0"/>
          <w:divBdr>
            <w:top w:val="none" w:sz="0" w:space="0" w:color="auto"/>
            <w:left w:val="none" w:sz="0" w:space="0" w:color="auto"/>
            <w:bottom w:val="none" w:sz="0" w:space="0" w:color="auto"/>
            <w:right w:val="none" w:sz="0" w:space="0" w:color="auto"/>
          </w:divBdr>
        </w:div>
        <w:div w:id="2024702649">
          <w:marLeft w:val="0"/>
          <w:marRight w:val="0"/>
          <w:marTop w:val="0"/>
          <w:marBottom w:val="0"/>
          <w:divBdr>
            <w:top w:val="none" w:sz="0" w:space="0" w:color="auto"/>
            <w:left w:val="none" w:sz="0" w:space="0" w:color="auto"/>
            <w:bottom w:val="none" w:sz="0" w:space="0" w:color="auto"/>
            <w:right w:val="none" w:sz="0" w:space="0" w:color="auto"/>
          </w:divBdr>
        </w:div>
        <w:div w:id="2024702650">
          <w:marLeft w:val="0"/>
          <w:marRight w:val="0"/>
          <w:marTop w:val="0"/>
          <w:marBottom w:val="0"/>
          <w:divBdr>
            <w:top w:val="none" w:sz="0" w:space="0" w:color="auto"/>
            <w:left w:val="none" w:sz="0" w:space="0" w:color="auto"/>
            <w:bottom w:val="none" w:sz="0" w:space="0" w:color="auto"/>
            <w:right w:val="none" w:sz="0" w:space="0" w:color="auto"/>
          </w:divBdr>
        </w:div>
        <w:div w:id="2024702651">
          <w:marLeft w:val="0"/>
          <w:marRight w:val="0"/>
          <w:marTop w:val="0"/>
          <w:marBottom w:val="0"/>
          <w:divBdr>
            <w:top w:val="none" w:sz="0" w:space="0" w:color="auto"/>
            <w:left w:val="none" w:sz="0" w:space="0" w:color="auto"/>
            <w:bottom w:val="none" w:sz="0" w:space="0" w:color="auto"/>
            <w:right w:val="none" w:sz="0" w:space="0" w:color="auto"/>
          </w:divBdr>
        </w:div>
        <w:div w:id="2024702652">
          <w:marLeft w:val="0"/>
          <w:marRight w:val="0"/>
          <w:marTop w:val="0"/>
          <w:marBottom w:val="0"/>
          <w:divBdr>
            <w:top w:val="none" w:sz="0" w:space="0" w:color="auto"/>
            <w:left w:val="none" w:sz="0" w:space="0" w:color="auto"/>
            <w:bottom w:val="none" w:sz="0" w:space="0" w:color="auto"/>
            <w:right w:val="none" w:sz="0" w:space="0" w:color="auto"/>
          </w:divBdr>
        </w:div>
        <w:div w:id="2024702653">
          <w:marLeft w:val="0"/>
          <w:marRight w:val="0"/>
          <w:marTop w:val="0"/>
          <w:marBottom w:val="0"/>
          <w:divBdr>
            <w:top w:val="none" w:sz="0" w:space="0" w:color="auto"/>
            <w:left w:val="none" w:sz="0" w:space="0" w:color="auto"/>
            <w:bottom w:val="none" w:sz="0" w:space="0" w:color="auto"/>
            <w:right w:val="none" w:sz="0" w:space="0" w:color="auto"/>
          </w:divBdr>
        </w:div>
        <w:div w:id="2024702654">
          <w:marLeft w:val="0"/>
          <w:marRight w:val="0"/>
          <w:marTop w:val="0"/>
          <w:marBottom w:val="0"/>
          <w:divBdr>
            <w:top w:val="none" w:sz="0" w:space="0" w:color="auto"/>
            <w:left w:val="none" w:sz="0" w:space="0" w:color="auto"/>
            <w:bottom w:val="none" w:sz="0" w:space="0" w:color="auto"/>
            <w:right w:val="none" w:sz="0" w:space="0" w:color="auto"/>
          </w:divBdr>
        </w:div>
        <w:div w:id="2024702655">
          <w:marLeft w:val="0"/>
          <w:marRight w:val="0"/>
          <w:marTop w:val="0"/>
          <w:marBottom w:val="0"/>
          <w:divBdr>
            <w:top w:val="none" w:sz="0" w:space="0" w:color="auto"/>
            <w:left w:val="none" w:sz="0" w:space="0" w:color="auto"/>
            <w:bottom w:val="none" w:sz="0" w:space="0" w:color="auto"/>
            <w:right w:val="none" w:sz="0" w:space="0" w:color="auto"/>
          </w:divBdr>
        </w:div>
        <w:div w:id="2024702656">
          <w:marLeft w:val="0"/>
          <w:marRight w:val="0"/>
          <w:marTop w:val="0"/>
          <w:marBottom w:val="0"/>
          <w:divBdr>
            <w:top w:val="none" w:sz="0" w:space="0" w:color="auto"/>
            <w:left w:val="none" w:sz="0" w:space="0" w:color="auto"/>
            <w:bottom w:val="none" w:sz="0" w:space="0" w:color="auto"/>
            <w:right w:val="none" w:sz="0" w:space="0" w:color="auto"/>
          </w:divBdr>
        </w:div>
        <w:div w:id="2024702658">
          <w:marLeft w:val="0"/>
          <w:marRight w:val="0"/>
          <w:marTop w:val="0"/>
          <w:marBottom w:val="0"/>
          <w:divBdr>
            <w:top w:val="none" w:sz="0" w:space="0" w:color="auto"/>
            <w:left w:val="none" w:sz="0" w:space="0" w:color="auto"/>
            <w:bottom w:val="none" w:sz="0" w:space="0" w:color="auto"/>
            <w:right w:val="none" w:sz="0" w:space="0" w:color="auto"/>
          </w:divBdr>
        </w:div>
        <w:div w:id="2024702659">
          <w:marLeft w:val="0"/>
          <w:marRight w:val="0"/>
          <w:marTop w:val="0"/>
          <w:marBottom w:val="0"/>
          <w:divBdr>
            <w:top w:val="none" w:sz="0" w:space="0" w:color="auto"/>
            <w:left w:val="none" w:sz="0" w:space="0" w:color="auto"/>
            <w:bottom w:val="none" w:sz="0" w:space="0" w:color="auto"/>
            <w:right w:val="none" w:sz="0" w:space="0" w:color="auto"/>
          </w:divBdr>
        </w:div>
        <w:div w:id="2024702660">
          <w:marLeft w:val="0"/>
          <w:marRight w:val="0"/>
          <w:marTop w:val="0"/>
          <w:marBottom w:val="0"/>
          <w:divBdr>
            <w:top w:val="none" w:sz="0" w:space="0" w:color="auto"/>
            <w:left w:val="none" w:sz="0" w:space="0" w:color="auto"/>
            <w:bottom w:val="none" w:sz="0" w:space="0" w:color="auto"/>
            <w:right w:val="none" w:sz="0" w:space="0" w:color="auto"/>
          </w:divBdr>
        </w:div>
        <w:div w:id="2024702661">
          <w:marLeft w:val="0"/>
          <w:marRight w:val="0"/>
          <w:marTop w:val="0"/>
          <w:marBottom w:val="0"/>
          <w:divBdr>
            <w:top w:val="none" w:sz="0" w:space="0" w:color="auto"/>
            <w:left w:val="none" w:sz="0" w:space="0" w:color="auto"/>
            <w:bottom w:val="none" w:sz="0" w:space="0" w:color="auto"/>
            <w:right w:val="none" w:sz="0" w:space="0" w:color="auto"/>
          </w:divBdr>
        </w:div>
        <w:div w:id="2024702662">
          <w:marLeft w:val="0"/>
          <w:marRight w:val="0"/>
          <w:marTop w:val="0"/>
          <w:marBottom w:val="0"/>
          <w:divBdr>
            <w:top w:val="none" w:sz="0" w:space="0" w:color="auto"/>
            <w:left w:val="none" w:sz="0" w:space="0" w:color="auto"/>
            <w:bottom w:val="none" w:sz="0" w:space="0" w:color="auto"/>
            <w:right w:val="none" w:sz="0" w:space="0" w:color="auto"/>
          </w:divBdr>
        </w:div>
        <w:div w:id="2024702663">
          <w:marLeft w:val="0"/>
          <w:marRight w:val="0"/>
          <w:marTop w:val="0"/>
          <w:marBottom w:val="0"/>
          <w:divBdr>
            <w:top w:val="none" w:sz="0" w:space="0" w:color="auto"/>
            <w:left w:val="none" w:sz="0" w:space="0" w:color="auto"/>
            <w:bottom w:val="none" w:sz="0" w:space="0" w:color="auto"/>
            <w:right w:val="none" w:sz="0" w:space="0" w:color="auto"/>
          </w:divBdr>
        </w:div>
        <w:div w:id="2024702664">
          <w:marLeft w:val="0"/>
          <w:marRight w:val="0"/>
          <w:marTop w:val="0"/>
          <w:marBottom w:val="0"/>
          <w:divBdr>
            <w:top w:val="none" w:sz="0" w:space="0" w:color="auto"/>
            <w:left w:val="none" w:sz="0" w:space="0" w:color="auto"/>
            <w:bottom w:val="none" w:sz="0" w:space="0" w:color="auto"/>
            <w:right w:val="none" w:sz="0" w:space="0" w:color="auto"/>
          </w:divBdr>
        </w:div>
        <w:div w:id="2024702665">
          <w:marLeft w:val="0"/>
          <w:marRight w:val="0"/>
          <w:marTop w:val="0"/>
          <w:marBottom w:val="0"/>
          <w:divBdr>
            <w:top w:val="none" w:sz="0" w:space="0" w:color="auto"/>
            <w:left w:val="none" w:sz="0" w:space="0" w:color="auto"/>
            <w:bottom w:val="none" w:sz="0" w:space="0" w:color="auto"/>
            <w:right w:val="none" w:sz="0" w:space="0" w:color="auto"/>
          </w:divBdr>
        </w:div>
        <w:div w:id="2024702666">
          <w:marLeft w:val="0"/>
          <w:marRight w:val="0"/>
          <w:marTop w:val="0"/>
          <w:marBottom w:val="0"/>
          <w:divBdr>
            <w:top w:val="none" w:sz="0" w:space="0" w:color="auto"/>
            <w:left w:val="none" w:sz="0" w:space="0" w:color="auto"/>
            <w:bottom w:val="none" w:sz="0" w:space="0" w:color="auto"/>
            <w:right w:val="none" w:sz="0" w:space="0" w:color="auto"/>
          </w:divBdr>
        </w:div>
        <w:div w:id="2024702667">
          <w:marLeft w:val="0"/>
          <w:marRight w:val="0"/>
          <w:marTop w:val="0"/>
          <w:marBottom w:val="0"/>
          <w:divBdr>
            <w:top w:val="none" w:sz="0" w:space="0" w:color="auto"/>
            <w:left w:val="none" w:sz="0" w:space="0" w:color="auto"/>
            <w:bottom w:val="none" w:sz="0" w:space="0" w:color="auto"/>
            <w:right w:val="none" w:sz="0" w:space="0" w:color="auto"/>
          </w:divBdr>
        </w:div>
        <w:div w:id="2024702668">
          <w:marLeft w:val="0"/>
          <w:marRight w:val="0"/>
          <w:marTop w:val="0"/>
          <w:marBottom w:val="0"/>
          <w:divBdr>
            <w:top w:val="none" w:sz="0" w:space="0" w:color="auto"/>
            <w:left w:val="none" w:sz="0" w:space="0" w:color="auto"/>
            <w:bottom w:val="none" w:sz="0" w:space="0" w:color="auto"/>
            <w:right w:val="none" w:sz="0" w:space="0" w:color="auto"/>
          </w:divBdr>
        </w:div>
        <w:div w:id="2024702669">
          <w:marLeft w:val="0"/>
          <w:marRight w:val="0"/>
          <w:marTop w:val="0"/>
          <w:marBottom w:val="0"/>
          <w:divBdr>
            <w:top w:val="none" w:sz="0" w:space="0" w:color="auto"/>
            <w:left w:val="none" w:sz="0" w:space="0" w:color="auto"/>
            <w:bottom w:val="none" w:sz="0" w:space="0" w:color="auto"/>
            <w:right w:val="none" w:sz="0" w:space="0" w:color="auto"/>
          </w:divBdr>
        </w:div>
        <w:div w:id="2024702670">
          <w:marLeft w:val="0"/>
          <w:marRight w:val="0"/>
          <w:marTop w:val="0"/>
          <w:marBottom w:val="0"/>
          <w:divBdr>
            <w:top w:val="none" w:sz="0" w:space="0" w:color="auto"/>
            <w:left w:val="none" w:sz="0" w:space="0" w:color="auto"/>
            <w:bottom w:val="none" w:sz="0" w:space="0" w:color="auto"/>
            <w:right w:val="none" w:sz="0" w:space="0" w:color="auto"/>
          </w:divBdr>
        </w:div>
        <w:div w:id="2024702671">
          <w:marLeft w:val="0"/>
          <w:marRight w:val="0"/>
          <w:marTop w:val="0"/>
          <w:marBottom w:val="0"/>
          <w:divBdr>
            <w:top w:val="none" w:sz="0" w:space="0" w:color="auto"/>
            <w:left w:val="none" w:sz="0" w:space="0" w:color="auto"/>
            <w:bottom w:val="none" w:sz="0" w:space="0" w:color="auto"/>
            <w:right w:val="none" w:sz="0" w:space="0" w:color="auto"/>
          </w:divBdr>
        </w:div>
        <w:div w:id="2024702672">
          <w:marLeft w:val="0"/>
          <w:marRight w:val="0"/>
          <w:marTop w:val="0"/>
          <w:marBottom w:val="0"/>
          <w:divBdr>
            <w:top w:val="none" w:sz="0" w:space="0" w:color="auto"/>
            <w:left w:val="none" w:sz="0" w:space="0" w:color="auto"/>
            <w:bottom w:val="none" w:sz="0" w:space="0" w:color="auto"/>
            <w:right w:val="none" w:sz="0" w:space="0" w:color="auto"/>
          </w:divBdr>
        </w:div>
        <w:div w:id="2024702673">
          <w:marLeft w:val="0"/>
          <w:marRight w:val="0"/>
          <w:marTop w:val="0"/>
          <w:marBottom w:val="0"/>
          <w:divBdr>
            <w:top w:val="none" w:sz="0" w:space="0" w:color="auto"/>
            <w:left w:val="none" w:sz="0" w:space="0" w:color="auto"/>
            <w:bottom w:val="none" w:sz="0" w:space="0" w:color="auto"/>
            <w:right w:val="none" w:sz="0" w:space="0" w:color="auto"/>
          </w:divBdr>
        </w:div>
        <w:div w:id="2024702674">
          <w:marLeft w:val="0"/>
          <w:marRight w:val="0"/>
          <w:marTop w:val="0"/>
          <w:marBottom w:val="0"/>
          <w:divBdr>
            <w:top w:val="none" w:sz="0" w:space="0" w:color="auto"/>
            <w:left w:val="none" w:sz="0" w:space="0" w:color="auto"/>
            <w:bottom w:val="none" w:sz="0" w:space="0" w:color="auto"/>
            <w:right w:val="none" w:sz="0" w:space="0" w:color="auto"/>
          </w:divBdr>
        </w:div>
        <w:div w:id="2024702675">
          <w:marLeft w:val="0"/>
          <w:marRight w:val="0"/>
          <w:marTop w:val="0"/>
          <w:marBottom w:val="0"/>
          <w:divBdr>
            <w:top w:val="none" w:sz="0" w:space="0" w:color="auto"/>
            <w:left w:val="none" w:sz="0" w:space="0" w:color="auto"/>
            <w:bottom w:val="none" w:sz="0" w:space="0" w:color="auto"/>
            <w:right w:val="none" w:sz="0" w:space="0" w:color="auto"/>
          </w:divBdr>
        </w:div>
        <w:div w:id="2024702676">
          <w:marLeft w:val="0"/>
          <w:marRight w:val="0"/>
          <w:marTop w:val="0"/>
          <w:marBottom w:val="0"/>
          <w:divBdr>
            <w:top w:val="none" w:sz="0" w:space="0" w:color="auto"/>
            <w:left w:val="none" w:sz="0" w:space="0" w:color="auto"/>
            <w:bottom w:val="none" w:sz="0" w:space="0" w:color="auto"/>
            <w:right w:val="none" w:sz="0" w:space="0" w:color="auto"/>
          </w:divBdr>
        </w:div>
        <w:div w:id="2024702677">
          <w:marLeft w:val="0"/>
          <w:marRight w:val="0"/>
          <w:marTop w:val="0"/>
          <w:marBottom w:val="0"/>
          <w:divBdr>
            <w:top w:val="none" w:sz="0" w:space="0" w:color="auto"/>
            <w:left w:val="none" w:sz="0" w:space="0" w:color="auto"/>
            <w:bottom w:val="none" w:sz="0" w:space="0" w:color="auto"/>
            <w:right w:val="none" w:sz="0" w:space="0" w:color="auto"/>
          </w:divBdr>
        </w:div>
        <w:div w:id="2024702678">
          <w:marLeft w:val="0"/>
          <w:marRight w:val="0"/>
          <w:marTop w:val="0"/>
          <w:marBottom w:val="0"/>
          <w:divBdr>
            <w:top w:val="none" w:sz="0" w:space="0" w:color="auto"/>
            <w:left w:val="none" w:sz="0" w:space="0" w:color="auto"/>
            <w:bottom w:val="none" w:sz="0" w:space="0" w:color="auto"/>
            <w:right w:val="none" w:sz="0" w:space="0" w:color="auto"/>
          </w:divBdr>
        </w:div>
        <w:div w:id="2024702679">
          <w:marLeft w:val="0"/>
          <w:marRight w:val="0"/>
          <w:marTop w:val="0"/>
          <w:marBottom w:val="0"/>
          <w:divBdr>
            <w:top w:val="none" w:sz="0" w:space="0" w:color="auto"/>
            <w:left w:val="none" w:sz="0" w:space="0" w:color="auto"/>
            <w:bottom w:val="none" w:sz="0" w:space="0" w:color="auto"/>
            <w:right w:val="none" w:sz="0" w:space="0" w:color="auto"/>
          </w:divBdr>
        </w:div>
        <w:div w:id="2024702680">
          <w:marLeft w:val="0"/>
          <w:marRight w:val="0"/>
          <w:marTop w:val="0"/>
          <w:marBottom w:val="0"/>
          <w:divBdr>
            <w:top w:val="none" w:sz="0" w:space="0" w:color="auto"/>
            <w:left w:val="none" w:sz="0" w:space="0" w:color="auto"/>
            <w:bottom w:val="none" w:sz="0" w:space="0" w:color="auto"/>
            <w:right w:val="none" w:sz="0" w:space="0" w:color="auto"/>
          </w:divBdr>
        </w:div>
        <w:div w:id="2024702681">
          <w:marLeft w:val="0"/>
          <w:marRight w:val="0"/>
          <w:marTop w:val="0"/>
          <w:marBottom w:val="0"/>
          <w:divBdr>
            <w:top w:val="none" w:sz="0" w:space="0" w:color="auto"/>
            <w:left w:val="none" w:sz="0" w:space="0" w:color="auto"/>
            <w:bottom w:val="none" w:sz="0" w:space="0" w:color="auto"/>
            <w:right w:val="none" w:sz="0" w:space="0" w:color="auto"/>
          </w:divBdr>
        </w:div>
        <w:div w:id="2024702682">
          <w:marLeft w:val="0"/>
          <w:marRight w:val="0"/>
          <w:marTop w:val="0"/>
          <w:marBottom w:val="0"/>
          <w:divBdr>
            <w:top w:val="none" w:sz="0" w:space="0" w:color="auto"/>
            <w:left w:val="none" w:sz="0" w:space="0" w:color="auto"/>
            <w:bottom w:val="none" w:sz="0" w:space="0" w:color="auto"/>
            <w:right w:val="none" w:sz="0" w:space="0" w:color="auto"/>
          </w:divBdr>
        </w:div>
        <w:div w:id="2024702683">
          <w:marLeft w:val="0"/>
          <w:marRight w:val="0"/>
          <w:marTop w:val="0"/>
          <w:marBottom w:val="0"/>
          <w:divBdr>
            <w:top w:val="none" w:sz="0" w:space="0" w:color="auto"/>
            <w:left w:val="none" w:sz="0" w:space="0" w:color="auto"/>
            <w:bottom w:val="none" w:sz="0" w:space="0" w:color="auto"/>
            <w:right w:val="none" w:sz="0" w:space="0" w:color="auto"/>
          </w:divBdr>
        </w:div>
        <w:div w:id="2024702684">
          <w:marLeft w:val="0"/>
          <w:marRight w:val="0"/>
          <w:marTop w:val="0"/>
          <w:marBottom w:val="0"/>
          <w:divBdr>
            <w:top w:val="none" w:sz="0" w:space="0" w:color="auto"/>
            <w:left w:val="none" w:sz="0" w:space="0" w:color="auto"/>
            <w:bottom w:val="none" w:sz="0" w:space="0" w:color="auto"/>
            <w:right w:val="none" w:sz="0" w:space="0" w:color="auto"/>
          </w:divBdr>
        </w:div>
        <w:div w:id="2024702685">
          <w:marLeft w:val="0"/>
          <w:marRight w:val="0"/>
          <w:marTop w:val="0"/>
          <w:marBottom w:val="0"/>
          <w:divBdr>
            <w:top w:val="none" w:sz="0" w:space="0" w:color="auto"/>
            <w:left w:val="none" w:sz="0" w:space="0" w:color="auto"/>
            <w:bottom w:val="none" w:sz="0" w:space="0" w:color="auto"/>
            <w:right w:val="none" w:sz="0" w:space="0" w:color="auto"/>
          </w:divBdr>
        </w:div>
        <w:div w:id="2024702686">
          <w:marLeft w:val="0"/>
          <w:marRight w:val="0"/>
          <w:marTop w:val="0"/>
          <w:marBottom w:val="0"/>
          <w:divBdr>
            <w:top w:val="none" w:sz="0" w:space="0" w:color="auto"/>
            <w:left w:val="none" w:sz="0" w:space="0" w:color="auto"/>
            <w:bottom w:val="none" w:sz="0" w:space="0" w:color="auto"/>
            <w:right w:val="none" w:sz="0" w:space="0" w:color="auto"/>
          </w:divBdr>
        </w:div>
        <w:div w:id="2024702687">
          <w:marLeft w:val="0"/>
          <w:marRight w:val="0"/>
          <w:marTop w:val="0"/>
          <w:marBottom w:val="0"/>
          <w:divBdr>
            <w:top w:val="none" w:sz="0" w:space="0" w:color="auto"/>
            <w:left w:val="none" w:sz="0" w:space="0" w:color="auto"/>
            <w:bottom w:val="none" w:sz="0" w:space="0" w:color="auto"/>
            <w:right w:val="none" w:sz="0" w:space="0" w:color="auto"/>
          </w:divBdr>
        </w:div>
        <w:div w:id="2024702688">
          <w:marLeft w:val="0"/>
          <w:marRight w:val="0"/>
          <w:marTop w:val="0"/>
          <w:marBottom w:val="0"/>
          <w:divBdr>
            <w:top w:val="none" w:sz="0" w:space="0" w:color="auto"/>
            <w:left w:val="none" w:sz="0" w:space="0" w:color="auto"/>
            <w:bottom w:val="none" w:sz="0" w:space="0" w:color="auto"/>
            <w:right w:val="none" w:sz="0" w:space="0" w:color="auto"/>
          </w:divBdr>
        </w:div>
        <w:div w:id="2024702689">
          <w:marLeft w:val="0"/>
          <w:marRight w:val="0"/>
          <w:marTop w:val="0"/>
          <w:marBottom w:val="0"/>
          <w:divBdr>
            <w:top w:val="none" w:sz="0" w:space="0" w:color="auto"/>
            <w:left w:val="none" w:sz="0" w:space="0" w:color="auto"/>
            <w:bottom w:val="none" w:sz="0" w:space="0" w:color="auto"/>
            <w:right w:val="none" w:sz="0" w:space="0" w:color="auto"/>
          </w:divBdr>
        </w:div>
        <w:div w:id="2024702690">
          <w:marLeft w:val="0"/>
          <w:marRight w:val="0"/>
          <w:marTop w:val="0"/>
          <w:marBottom w:val="0"/>
          <w:divBdr>
            <w:top w:val="none" w:sz="0" w:space="0" w:color="auto"/>
            <w:left w:val="none" w:sz="0" w:space="0" w:color="auto"/>
            <w:bottom w:val="none" w:sz="0" w:space="0" w:color="auto"/>
            <w:right w:val="none" w:sz="0" w:space="0" w:color="auto"/>
          </w:divBdr>
        </w:div>
        <w:div w:id="2024702691">
          <w:marLeft w:val="0"/>
          <w:marRight w:val="0"/>
          <w:marTop w:val="0"/>
          <w:marBottom w:val="0"/>
          <w:divBdr>
            <w:top w:val="none" w:sz="0" w:space="0" w:color="auto"/>
            <w:left w:val="none" w:sz="0" w:space="0" w:color="auto"/>
            <w:bottom w:val="none" w:sz="0" w:space="0" w:color="auto"/>
            <w:right w:val="none" w:sz="0" w:space="0" w:color="auto"/>
          </w:divBdr>
        </w:div>
        <w:div w:id="2024702692">
          <w:marLeft w:val="0"/>
          <w:marRight w:val="0"/>
          <w:marTop w:val="0"/>
          <w:marBottom w:val="0"/>
          <w:divBdr>
            <w:top w:val="none" w:sz="0" w:space="0" w:color="auto"/>
            <w:left w:val="none" w:sz="0" w:space="0" w:color="auto"/>
            <w:bottom w:val="none" w:sz="0" w:space="0" w:color="auto"/>
            <w:right w:val="none" w:sz="0" w:space="0" w:color="auto"/>
          </w:divBdr>
        </w:div>
        <w:div w:id="2024702693">
          <w:marLeft w:val="0"/>
          <w:marRight w:val="0"/>
          <w:marTop w:val="0"/>
          <w:marBottom w:val="0"/>
          <w:divBdr>
            <w:top w:val="none" w:sz="0" w:space="0" w:color="auto"/>
            <w:left w:val="none" w:sz="0" w:space="0" w:color="auto"/>
            <w:bottom w:val="none" w:sz="0" w:space="0" w:color="auto"/>
            <w:right w:val="none" w:sz="0" w:space="0" w:color="auto"/>
          </w:divBdr>
        </w:div>
        <w:div w:id="2024702694">
          <w:marLeft w:val="0"/>
          <w:marRight w:val="0"/>
          <w:marTop w:val="0"/>
          <w:marBottom w:val="0"/>
          <w:divBdr>
            <w:top w:val="none" w:sz="0" w:space="0" w:color="auto"/>
            <w:left w:val="none" w:sz="0" w:space="0" w:color="auto"/>
            <w:bottom w:val="none" w:sz="0" w:space="0" w:color="auto"/>
            <w:right w:val="none" w:sz="0" w:space="0" w:color="auto"/>
          </w:divBdr>
        </w:div>
        <w:div w:id="2024702695">
          <w:marLeft w:val="0"/>
          <w:marRight w:val="0"/>
          <w:marTop w:val="0"/>
          <w:marBottom w:val="0"/>
          <w:divBdr>
            <w:top w:val="none" w:sz="0" w:space="0" w:color="auto"/>
            <w:left w:val="none" w:sz="0" w:space="0" w:color="auto"/>
            <w:bottom w:val="none" w:sz="0" w:space="0" w:color="auto"/>
            <w:right w:val="none" w:sz="0" w:space="0" w:color="auto"/>
          </w:divBdr>
        </w:div>
        <w:div w:id="2024702696">
          <w:marLeft w:val="0"/>
          <w:marRight w:val="0"/>
          <w:marTop w:val="0"/>
          <w:marBottom w:val="0"/>
          <w:divBdr>
            <w:top w:val="none" w:sz="0" w:space="0" w:color="auto"/>
            <w:left w:val="none" w:sz="0" w:space="0" w:color="auto"/>
            <w:bottom w:val="none" w:sz="0" w:space="0" w:color="auto"/>
            <w:right w:val="none" w:sz="0" w:space="0" w:color="auto"/>
          </w:divBdr>
        </w:div>
        <w:div w:id="2024702697">
          <w:marLeft w:val="0"/>
          <w:marRight w:val="0"/>
          <w:marTop w:val="0"/>
          <w:marBottom w:val="0"/>
          <w:divBdr>
            <w:top w:val="none" w:sz="0" w:space="0" w:color="auto"/>
            <w:left w:val="none" w:sz="0" w:space="0" w:color="auto"/>
            <w:bottom w:val="none" w:sz="0" w:space="0" w:color="auto"/>
            <w:right w:val="none" w:sz="0" w:space="0" w:color="auto"/>
          </w:divBdr>
        </w:div>
        <w:div w:id="2024702698">
          <w:marLeft w:val="0"/>
          <w:marRight w:val="0"/>
          <w:marTop w:val="0"/>
          <w:marBottom w:val="0"/>
          <w:divBdr>
            <w:top w:val="none" w:sz="0" w:space="0" w:color="auto"/>
            <w:left w:val="none" w:sz="0" w:space="0" w:color="auto"/>
            <w:bottom w:val="none" w:sz="0" w:space="0" w:color="auto"/>
            <w:right w:val="none" w:sz="0" w:space="0" w:color="auto"/>
          </w:divBdr>
        </w:div>
        <w:div w:id="2024702699">
          <w:marLeft w:val="0"/>
          <w:marRight w:val="0"/>
          <w:marTop w:val="0"/>
          <w:marBottom w:val="0"/>
          <w:divBdr>
            <w:top w:val="none" w:sz="0" w:space="0" w:color="auto"/>
            <w:left w:val="none" w:sz="0" w:space="0" w:color="auto"/>
            <w:bottom w:val="none" w:sz="0" w:space="0" w:color="auto"/>
            <w:right w:val="none" w:sz="0" w:space="0" w:color="auto"/>
          </w:divBdr>
        </w:div>
        <w:div w:id="2024702700">
          <w:marLeft w:val="0"/>
          <w:marRight w:val="0"/>
          <w:marTop w:val="0"/>
          <w:marBottom w:val="0"/>
          <w:divBdr>
            <w:top w:val="none" w:sz="0" w:space="0" w:color="auto"/>
            <w:left w:val="none" w:sz="0" w:space="0" w:color="auto"/>
            <w:bottom w:val="none" w:sz="0" w:space="0" w:color="auto"/>
            <w:right w:val="none" w:sz="0" w:space="0" w:color="auto"/>
          </w:divBdr>
        </w:div>
        <w:div w:id="2024702701">
          <w:marLeft w:val="0"/>
          <w:marRight w:val="0"/>
          <w:marTop w:val="0"/>
          <w:marBottom w:val="0"/>
          <w:divBdr>
            <w:top w:val="none" w:sz="0" w:space="0" w:color="auto"/>
            <w:left w:val="none" w:sz="0" w:space="0" w:color="auto"/>
            <w:bottom w:val="none" w:sz="0" w:space="0" w:color="auto"/>
            <w:right w:val="none" w:sz="0" w:space="0" w:color="auto"/>
          </w:divBdr>
        </w:div>
        <w:div w:id="2024702702">
          <w:marLeft w:val="0"/>
          <w:marRight w:val="0"/>
          <w:marTop w:val="0"/>
          <w:marBottom w:val="0"/>
          <w:divBdr>
            <w:top w:val="none" w:sz="0" w:space="0" w:color="auto"/>
            <w:left w:val="none" w:sz="0" w:space="0" w:color="auto"/>
            <w:bottom w:val="none" w:sz="0" w:space="0" w:color="auto"/>
            <w:right w:val="none" w:sz="0" w:space="0" w:color="auto"/>
          </w:divBdr>
        </w:div>
        <w:div w:id="2024702703">
          <w:marLeft w:val="0"/>
          <w:marRight w:val="0"/>
          <w:marTop w:val="0"/>
          <w:marBottom w:val="0"/>
          <w:divBdr>
            <w:top w:val="none" w:sz="0" w:space="0" w:color="auto"/>
            <w:left w:val="none" w:sz="0" w:space="0" w:color="auto"/>
            <w:bottom w:val="none" w:sz="0" w:space="0" w:color="auto"/>
            <w:right w:val="none" w:sz="0" w:space="0" w:color="auto"/>
          </w:divBdr>
        </w:div>
        <w:div w:id="2024702704">
          <w:marLeft w:val="0"/>
          <w:marRight w:val="0"/>
          <w:marTop w:val="0"/>
          <w:marBottom w:val="0"/>
          <w:divBdr>
            <w:top w:val="none" w:sz="0" w:space="0" w:color="auto"/>
            <w:left w:val="none" w:sz="0" w:space="0" w:color="auto"/>
            <w:bottom w:val="none" w:sz="0" w:space="0" w:color="auto"/>
            <w:right w:val="none" w:sz="0" w:space="0" w:color="auto"/>
          </w:divBdr>
        </w:div>
        <w:div w:id="2024702705">
          <w:marLeft w:val="0"/>
          <w:marRight w:val="0"/>
          <w:marTop w:val="0"/>
          <w:marBottom w:val="0"/>
          <w:divBdr>
            <w:top w:val="none" w:sz="0" w:space="0" w:color="auto"/>
            <w:left w:val="none" w:sz="0" w:space="0" w:color="auto"/>
            <w:bottom w:val="none" w:sz="0" w:space="0" w:color="auto"/>
            <w:right w:val="none" w:sz="0" w:space="0" w:color="auto"/>
          </w:divBdr>
        </w:div>
        <w:div w:id="2024702706">
          <w:marLeft w:val="0"/>
          <w:marRight w:val="0"/>
          <w:marTop w:val="0"/>
          <w:marBottom w:val="0"/>
          <w:divBdr>
            <w:top w:val="none" w:sz="0" w:space="0" w:color="auto"/>
            <w:left w:val="none" w:sz="0" w:space="0" w:color="auto"/>
            <w:bottom w:val="none" w:sz="0" w:space="0" w:color="auto"/>
            <w:right w:val="none" w:sz="0" w:space="0" w:color="auto"/>
          </w:divBdr>
        </w:div>
        <w:div w:id="2024702707">
          <w:marLeft w:val="0"/>
          <w:marRight w:val="0"/>
          <w:marTop w:val="0"/>
          <w:marBottom w:val="0"/>
          <w:divBdr>
            <w:top w:val="none" w:sz="0" w:space="0" w:color="auto"/>
            <w:left w:val="none" w:sz="0" w:space="0" w:color="auto"/>
            <w:bottom w:val="none" w:sz="0" w:space="0" w:color="auto"/>
            <w:right w:val="none" w:sz="0" w:space="0" w:color="auto"/>
          </w:divBdr>
        </w:div>
        <w:div w:id="2024702708">
          <w:marLeft w:val="0"/>
          <w:marRight w:val="0"/>
          <w:marTop w:val="0"/>
          <w:marBottom w:val="0"/>
          <w:divBdr>
            <w:top w:val="none" w:sz="0" w:space="0" w:color="auto"/>
            <w:left w:val="none" w:sz="0" w:space="0" w:color="auto"/>
            <w:bottom w:val="none" w:sz="0" w:space="0" w:color="auto"/>
            <w:right w:val="none" w:sz="0" w:space="0" w:color="auto"/>
          </w:divBdr>
        </w:div>
        <w:div w:id="2024702709">
          <w:marLeft w:val="0"/>
          <w:marRight w:val="0"/>
          <w:marTop w:val="0"/>
          <w:marBottom w:val="0"/>
          <w:divBdr>
            <w:top w:val="none" w:sz="0" w:space="0" w:color="auto"/>
            <w:left w:val="none" w:sz="0" w:space="0" w:color="auto"/>
            <w:bottom w:val="none" w:sz="0" w:space="0" w:color="auto"/>
            <w:right w:val="none" w:sz="0" w:space="0" w:color="auto"/>
          </w:divBdr>
        </w:div>
        <w:div w:id="2024702710">
          <w:marLeft w:val="0"/>
          <w:marRight w:val="0"/>
          <w:marTop w:val="0"/>
          <w:marBottom w:val="0"/>
          <w:divBdr>
            <w:top w:val="none" w:sz="0" w:space="0" w:color="auto"/>
            <w:left w:val="none" w:sz="0" w:space="0" w:color="auto"/>
            <w:bottom w:val="none" w:sz="0" w:space="0" w:color="auto"/>
            <w:right w:val="none" w:sz="0" w:space="0" w:color="auto"/>
          </w:divBdr>
        </w:div>
        <w:div w:id="2024702711">
          <w:marLeft w:val="0"/>
          <w:marRight w:val="0"/>
          <w:marTop w:val="0"/>
          <w:marBottom w:val="0"/>
          <w:divBdr>
            <w:top w:val="none" w:sz="0" w:space="0" w:color="auto"/>
            <w:left w:val="none" w:sz="0" w:space="0" w:color="auto"/>
            <w:bottom w:val="none" w:sz="0" w:space="0" w:color="auto"/>
            <w:right w:val="none" w:sz="0" w:space="0" w:color="auto"/>
          </w:divBdr>
        </w:div>
        <w:div w:id="2024702712">
          <w:marLeft w:val="0"/>
          <w:marRight w:val="0"/>
          <w:marTop w:val="0"/>
          <w:marBottom w:val="0"/>
          <w:divBdr>
            <w:top w:val="none" w:sz="0" w:space="0" w:color="auto"/>
            <w:left w:val="none" w:sz="0" w:space="0" w:color="auto"/>
            <w:bottom w:val="none" w:sz="0" w:space="0" w:color="auto"/>
            <w:right w:val="none" w:sz="0" w:space="0" w:color="auto"/>
          </w:divBdr>
        </w:div>
        <w:div w:id="2024702713">
          <w:marLeft w:val="0"/>
          <w:marRight w:val="0"/>
          <w:marTop w:val="0"/>
          <w:marBottom w:val="0"/>
          <w:divBdr>
            <w:top w:val="none" w:sz="0" w:space="0" w:color="auto"/>
            <w:left w:val="none" w:sz="0" w:space="0" w:color="auto"/>
            <w:bottom w:val="none" w:sz="0" w:space="0" w:color="auto"/>
            <w:right w:val="none" w:sz="0" w:space="0" w:color="auto"/>
          </w:divBdr>
        </w:div>
        <w:div w:id="2024702714">
          <w:marLeft w:val="0"/>
          <w:marRight w:val="0"/>
          <w:marTop w:val="0"/>
          <w:marBottom w:val="0"/>
          <w:divBdr>
            <w:top w:val="none" w:sz="0" w:space="0" w:color="auto"/>
            <w:left w:val="none" w:sz="0" w:space="0" w:color="auto"/>
            <w:bottom w:val="none" w:sz="0" w:space="0" w:color="auto"/>
            <w:right w:val="none" w:sz="0" w:space="0" w:color="auto"/>
          </w:divBdr>
        </w:div>
        <w:div w:id="2024702715">
          <w:marLeft w:val="0"/>
          <w:marRight w:val="0"/>
          <w:marTop w:val="0"/>
          <w:marBottom w:val="0"/>
          <w:divBdr>
            <w:top w:val="none" w:sz="0" w:space="0" w:color="auto"/>
            <w:left w:val="none" w:sz="0" w:space="0" w:color="auto"/>
            <w:bottom w:val="none" w:sz="0" w:space="0" w:color="auto"/>
            <w:right w:val="none" w:sz="0" w:space="0" w:color="auto"/>
          </w:divBdr>
        </w:div>
        <w:div w:id="2024702716">
          <w:marLeft w:val="0"/>
          <w:marRight w:val="0"/>
          <w:marTop w:val="0"/>
          <w:marBottom w:val="0"/>
          <w:divBdr>
            <w:top w:val="none" w:sz="0" w:space="0" w:color="auto"/>
            <w:left w:val="none" w:sz="0" w:space="0" w:color="auto"/>
            <w:bottom w:val="none" w:sz="0" w:space="0" w:color="auto"/>
            <w:right w:val="none" w:sz="0" w:space="0" w:color="auto"/>
          </w:divBdr>
        </w:div>
        <w:div w:id="2024702717">
          <w:marLeft w:val="0"/>
          <w:marRight w:val="0"/>
          <w:marTop w:val="0"/>
          <w:marBottom w:val="0"/>
          <w:divBdr>
            <w:top w:val="none" w:sz="0" w:space="0" w:color="auto"/>
            <w:left w:val="none" w:sz="0" w:space="0" w:color="auto"/>
            <w:bottom w:val="none" w:sz="0" w:space="0" w:color="auto"/>
            <w:right w:val="none" w:sz="0" w:space="0" w:color="auto"/>
          </w:divBdr>
        </w:div>
        <w:div w:id="2024702718">
          <w:marLeft w:val="0"/>
          <w:marRight w:val="0"/>
          <w:marTop w:val="0"/>
          <w:marBottom w:val="0"/>
          <w:divBdr>
            <w:top w:val="none" w:sz="0" w:space="0" w:color="auto"/>
            <w:left w:val="none" w:sz="0" w:space="0" w:color="auto"/>
            <w:bottom w:val="none" w:sz="0" w:space="0" w:color="auto"/>
            <w:right w:val="none" w:sz="0" w:space="0" w:color="auto"/>
          </w:divBdr>
        </w:div>
        <w:div w:id="2024702719">
          <w:marLeft w:val="0"/>
          <w:marRight w:val="0"/>
          <w:marTop w:val="0"/>
          <w:marBottom w:val="0"/>
          <w:divBdr>
            <w:top w:val="none" w:sz="0" w:space="0" w:color="auto"/>
            <w:left w:val="none" w:sz="0" w:space="0" w:color="auto"/>
            <w:bottom w:val="none" w:sz="0" w:space="0" w:color="auto"/>
            <w:right w:val="none" w:sz="0" w:space="0" w:color="auto"/>
          </w:divBdr>
        </w:div>
        <w:div w:id="2024702720">
          <w:marLeft w:val="0"/>
          <w:marRight w:val="0"/>
          <w:marTop w:val="0"/>
          <w:marBottom w:val="0"/>
          <w:divBdr>
            <w:top w:val="none" w:sz="0" w:space="0" w:color="auto"/>
            <w:left w:val="none" w:sz="0" w:space="0" w:color="auto"/>
            <w:bottom w:val="none" w:sz="0" w:space="0" w:color="auto"/>
            <w:right w:val="none" w:sz="0" w:space="0" w:color="auto"/>
          </w:divBdr>
        </w:div>
        <w:div w:id="2024702721">
          <w:marLeft w:val="0"/>
          <w:marRight w:val="0"/>
          <w:marTop w:val="0"/>
          <w:marBottom w:val="0"/>
          <w:divBdr>
            <w:top w:val="none" w:sz="0" w:space="0" w:color="auto"/>
            <w:left w:val="none" w:sz="0" w:space="0" w:color="auto"/>
            <w:bottom w:val="none" w:sz="0" w:space="0" w:color="auto"/>
            <w:right w:val="none" w:sz="0" w:space="0" w:color="auto"/>
          </w:divBdr>
        </w:div>
        <w:div w:id="2024702722">
          <w:marLeft w:val="0"/>
          <w:marRight w:val="0"/>
          <w:marTop w:val="0"/>
          <w:marBottom w:val="0"/>
          <w:divBdr>
            <w:top w:val="none" w:sz="0" w:space="0" w:color="auto"/>
            <w:left w:val="none" w:sz="0" w:space="0" w:color="auto"/>
            <w:bottom w:val="none" w:sz="0" w:space="0" w:color="auto"/>
            <w:right w:val="none" w:sz="0" w:space="0" w:color="auto"/>
          </w:divBdr>
        </w:div>
        <w:div w:id="2024702723">
          <w:marLeft w:val="0"/>
          <w:marRight w:val="0"/>
          <w:marTop w:val="0"/>
          <w:marBottom w:val="0"/>
          <w:divBdr>
            <w:top w:val="none" w:sz="0" w:space="0" w:color="auto"/>
            <w:left w:val="none" w:sz="0" w:space="0" w:color="auto"/>
            <w:bottom w:val="none" w:sz="0" w:space="0" w:color="auto"/>
            <w:right w:val="none" w:sz="0" w:space="0" w:color="auto"/>
          </w:divBdr>
        </w:div>
        <w:div w:id="2024702724">
          <w:marLeft w:val="0"/>
          <w:marRight w:val="0"/>
          <w:marTop w:val="0"/>
          <w:marBottom w:val="0"/>
          <w:divBdr>
            <w:top w:val="none" w:sz="0" w:space="0" w:color="auto"/>
            <w:left w:val="none" w:sz="0" w:space="0" w:color="auto"/>
            <w:bottom w:val="none" w:sz="0" w:space="0" w:color="auto"/>
            <w:right w:val="none" w:sz="0" w:space="0" w:color="auto"/>
          </w:divBdr>
        </w:div>
        <w:div w:id="2024702725">
          <w:marLeft w:val="0"/>
          <w:marRight w:val="0"/>
          <w:marTop w:val="0"/>
          <w:marBottom w:val="0"/>
          <w:divBdr>
            <w:top w:val="none" w:sz="0" w:space="0" w:color="auto"/>
            <w:left w:val="none" w:sz="0" w:space="0" w:color="auto"/>
            <w:bottom w:val="none" w:sz="0" w:space="0" w:color="auto"/>
            <w:right w:val="none" w:sz="0" w:space="0" w:color="auto"/>
          </w:divBdr>
        </w:div>
        <w:div w:id="2024702726">
          <w:marLeft w:val="0"/>
          <w:marRight w:val="0"/>
          <w:marTop w:val="0"/>
          <w:marBottom w:val="0"/>
          <w:divBdr>
            <w:top w:val="none" w:sz="0" w:space="0" w:color="auto"/>
            <w:left w:val="none" w:sz="0" w:space="0" w:color="auto"/>
            <w:bottom w:val="none" w:sz="0" w:space="0" w:color="auto"/>
            <w:right w:val="none" w:sz="0" w:space="0" w:color="auto"/>
          </w:divBdr>
        </w:div>
        <w:div w:id="2024702727">
          <w:marLeft w:val="0"/>
          <w:marRight w:val="0"/>
          <w:marTop w:val="0"/>
          <w:marBottom w:val="0"/>
          <w:divBdr>
            <w:top w:val="none" w:sz="0" w:space="0" w:color="auto"/>
            <w:left w:val="none" w:sz="0" w:space="0" w:color="auto"/>
            <w:bottom w:val="none" w:sz="0" w:space="0" w:color="auto"/>
            <w:right w:val="none" w:sz="0" w:space="0" w:color="auto"/>
          </w:divBdr>
        </w:div>
        <w:div w:id="2024702728">
          <w:marLeft w:val="0"/>
          <w:marRight w:val="0"/>
          <w:marTop w:val="0"/>
          <w:marBottom w:val="0"/>
          <w:divBdr>
            <w:top w:val="none" w:sz="0" w:space="0" w:color="auto"/>
            <w:left w:val="none" w:sz="0" w:space="0" w:color="auto"/>
            <w:bottom w:val="none" w:sz="0" w:space="0" w:color="auto"/>
            <w:right w:val="none" w:sz="0" w:space="0" w:color="auto"/>
          </w:divBdr>
        </w:div>
        <w:div w:id="2024702729">
          <w:marLeft w:val="0"/>
          <w:marRight w:val="0"/>
          <w:marTop w:val="0"/>
          <w:marBottom w:val="0"/>
          <w:divBdr>
            <w:top w:val="none" w:sz="0" w:space="0" w:color="auto"/>
            <w:left w:val="none" w:sz="0" w:space="0" w:color="auto"/>
            <w:bottom w:val="none" w:sz="0" w:space="0" w:color="auto"/>
            <w:right w:val="none" w:sz="0" w:space="0" w:color="auto"/>
          </w:divBdr>
        </w:div>
        <w:div w:id="2024702730">
          <w:marLeft w:val="0"/>
          <w:marRight w:val="0"/>
          <w:marTop w:val="0"/>
          <w:marBottom w:val="0"/>
          <w:divBdr>
            <w:top w:val="none" w:sz="0" w:space="0" w:color="auto"/>
            <w:left w:val="none" w:sz="0" w:space="0" w:color="auto"/>
            <w:bottom w:val="none" w:sz="0" w:space="0" w:color="auto"/>
            <w:right w:val="none" w:sz="0" w:space="0" w:color="auto"/>
          </w:divBdr>
        </w:div>
        <w:div w:id="2024702731">
          <w:marLeft w:val="0"/>
          <w:marRight w:val="0"/>
          <w:marTop w:val="0"/>
          <w:marBottom w:val="0"/>
          <w:divBdr>
            <w:top w:val="none" w:sz="0" w:space="0" w:color="auto"/>
            <w:left w:val="none" w:sz="0" w:space="0" w:color="auto"/>
            <w:bottom w:val="none" w:sz="0" w:space="0" w:color="auto"/>
            <w:right w:val="none" w:sz="0" w:space="0" w:color="auto"/>
          </w:divBdr>
        </w:div>
        <w:div w:id="2024702732">
          <w:marLeft w:val="0"/>
          <w:marRight w:val="0"/>
          <w:marTop w:val="0"/>
          <w:marBottom w:val="0"/>
          <w:divBdr>
            <w:top w:val="none" w:sz="0" w:space="0" w:color="auto"/>
            <w:left w:val="none" w:sz="0" w:space="0" w:color="auto"/>
            <w:bottom w:val="none" w:sz="0" w:space="0" w:color="auto"/>
            <w:right w:val="none" w:sz="0" w:space="0" w:color="auto"/>
          </w:divBdr>
        </w:div>
        <w:div w:id="2024702733">
          <w:marLeft w:val="0"/>
          <w:marRight w:val="0"/>
          <w:marTop w:val="0"/>
          <w:marBottom w:val="0"/>
          <w:divBdr>
            <w:top w:val="none" w:sz="0" w:space="0" w:color="auto"/>
            <w:left w:val="none" w:sz="0" w:space="0" w:color="auto"/>
            <w:bottom w:val="none" w:sz="0" w:space="0" w:color="auto"/>
            <w:right w:val="none" w:sz="0" w:space="0" w:color="auto"/>
          </w:divBdr>
        </w:div>
        <w:div w:id="2024702734">
          <w:marLeft w:val="0"/>
          <w:marRight w:val="0"/>
          <w:marTop w:val="0"/>
          <w:marBottom w:val="0"/>
          <w:divBdr>
            <w:top w:val="none" w:sz="0" w:space="0" w:color="auto"/>
            <w:left w:val="none" w:sz="0" w:space="0" w:color="auto"/>
            <w:bottom w:val="none" w:sz="0" w:space="0" w:color="auto"/>
            <w:right w:val="none" w:sz="0" w:space="0" w:color="auto"/>
          </w:divBdr>
        </w:div>
        <w:div w:id="2024702735">
          <w:marLeft w:val="0"/>
          <w:marRight w:val="0"/>
          <w:marTop w:val="0"/>
          <w:marBottom w:val="0"/>
          <w:divBdr>
            <w:top w:val="none" w:sz="0" w:space="0" w:color="auto"/>
            <w:left w:val="none" w:sz="0" w:space="0" w:color="auto"/>
            <w:bottom w:val="none" w:sz="0" w:space="0" w:color="auto"/>
            <w:right w:val="none" w:sz="0" w:space="0" w:color="auto"/>
          </w:divBdr>
        </w:div>
        <w:div w:id="2024702736">
          <w:marLeft w:val="0"/>
          <w:marRight w:val="0"/>
          <w:marTop w:val="0"/>
          <w:marBottom w:val="0"/>
          <w:divBdr>
            <w:top w:val="none" w:sz="0" w:space="0" w:color="auto"/>
            <w:left w:val="none" w:sz="0" w:space="0" w:color="auto"/>
            <w:bottom w:val="none" w:sz="0" w:space="0" w:color="auto"/>
            <w:right w:val="none" w:sz="0" w:space="0" w:color="auto"/>
          </w:divBdr>
        </w:div>
        <w:div w:id="2024702737">
          <w:marLeft w:val="0"/>
          <w:marRight w:val="0"/>
          <w:marTop w:val="0"/>
          <w:marBottom w:val="0"/>
          <w:divBdr>
            <w:top w:val="none" w:sz="0" w:space="0" w:color="auto"/>
            <w:left w:val="none" w:sz="0" w:space="0" w:color="auto"/>
            <w:bottom w:val="none" w:sz="0" w:space="0" w:color="auto"/>
            <w:right w:val="none" w:sz="0" w:space="0" w:color="auto"/>
          </w:divBdr>
        </w:div>
        <w:div w:id="2024702738">
          <w:marLeft w:val="0"/>
          <w:marRight w:val="0"/>
          <w:marTop w:val="0"/>
          <w:marBottom w:val="0"/>
          <w:divBdr>
            <w:top w:val="none" w:sz="0" w:space="0" w:color="auto"/>
            <w:left w:val="none" w:sz="0" w:space="0" w:color="auto"/>
            <w:bottom w:val="none" w:sz="0" w:space="0" w:color="auto"/>
            <w:right w:val="none" w:sz="0" w:space="0" w:color="auto"/>
          </w:divBdr>
        </w:div>
        <w:div w:id="2024702739">
          <w:marLeft w:val="0"/>
          <w:marRight w:val="0"/>
          <w:marTop w:val="0"/>
          <w:marBottom w:val="0"/>
          <w:divBdr>
            <w:top w:val="none" w:sz="0" w:space="0" w:color="auto"/>
            <w:left w:val="none" w:sz="0" w:space="0" w:color="auto"/>
            <w:bottom w:val="none" w:sz="0" w:space="0" w:color="auto"/>
            <w:right w:val="none" w:sz="0" w:space="0" w:color="auto"/>
          </w:divBdr>
        </w:div>
        <w:div w:id="2024702740">
          <w:marLeft w:val="0"/>
          <w:marRight w:val="0"/>
          <w:marTop w:val="0"/>
          <w:marBottom w:val="0"/>
          <w:divBdr>
            <w:top w:val="none" w:sz="0" w:space="0" w:color="auto"/>
            <w:left w:val="none" w:sz="0" w:space="0" w:color="auto"/>
            <w:bottom w:val="none" w:sz="0" w:space="0" w:color="auto"/>
            <w:right w:val="none" w:sz="0" w:space="0" w:color="auto"/>
          </w:divBdr>
        </w:div>
        <w:div w:id="2024702741">
          <w:marLeft w:val="0"/>
          <w:marRight w:val="0"/>
          <w:marTop w:val="0"/>
          <w:marBottom w:val="0"/>
          <w:divBdr>
            <w:top w:val="none" w:sz="0" w:space="0" w:color="auto"/>
            <w:left w:val="none" w:sz="0" w:space="0" w:color="auto"/>
            <w:bottom w:val="none" w:sz="0" w:space="0" w:color="auto"/>
            <w:right w:val="none" w:sz="0" w:space="0" w:color="auto"/>
          </w:divBdr>
        </w:div>
        <w:div w:id="2024702742">
          <w:marLeft w:val="0"/>
          <w:marRight w:val="0"/>
          <w:marTop w:val="0"/>
          <w:marBottom w:val="0"/>
          <w:divBdr>
            <w:top w:val="none" w:sz="0" w:space="0" w:color="auto"/>
            <w:left w:val="none" w:sz="0" w:space="0" w:color="auto"/>
            <w:bottom w:val="none" w:sz="0" w:space="0" w:color="auto"/>
            <w:right w:val="none" w:sz="0" w:space="0" w:color="auto"/>
          </w:divBdr>
        </w:div>
        <w:div w:id="2024702743">
          <w:marLeft w:val="0"/>
          <w:marRight w:val="0"/>
          <w:marTop w:val="0"/>
          <w:marBottom w:val="0"/>
          <w:divBdr>
            <w:top w:val="none" w:sz="0" w:space="0" w:color="auto"/>
            <w:left w:val="none" w:sz="0" w:space="0" w:color="auto"/>
            <w:bottom w:val="none" w:sz="0" w:space="0" w:color="auto"/>
            <w:right w:val="none" w:sz="0" w:space="0" w:color="auto"/>
          </w:divBdr>
        </w:div>
        <w:div w:id="2024702744">
          <w:marLeft w:val="0"/>
          <w:marRight w:val="0"/>
          <w:marTop w:val="0"/>
          <w:marBottom w:val="0"/>
          <w:divBdr>
            <w:top w:val="none" w:sz="0" w:space="0" w:color="auto"/>
            <w:left w:val="none" w:sz="0" w:space="0" w:color="auto"/>
            <w:bottom w:val="none" w:sz="0" w:space="0" w:color="auto"/>
            <w:right w:val="none" w:sz="0" w:space="0" w:color="auto"/>
          </w:divBdr>
        </w:div>
        <w:div w:id="2024702745">
          <w:marLeft w:val="0"/>
          <w:marRight w:val="0"/>
          <w:marTop w:val="0"/>
          <w:marBottom w:val="0"/>
          <w:divBdr>
            <w:top w:val="none" w:sz="0" w:space="0" w:color="auto"/>
            <w:left w:val="none" w:sz="0" w:space="0" w:color="auto"/>
            <w:bottom w:val="none" w:sz="0" w:space="0" w:color="auto"/>
            <w:right w:val="none" w:sz="0" w:space="0" w:color="auto"/>
          </w:divBdr>
        </w:div>
        <w:div w:id="2024702746">
          <w:marLeft w:val="0"/>
          <w:marRight w:val="0"/>
          <w:marTop w:val="0"/>
          <w:marBottom w:val="0"/>
          <w:divBdr>
            <w:top w:val="none" w:sz="0" w:space="0" w:color="auto"/>
            <w:left w:val="none" w:sz="0" w:space="0" w:color="auto"/>
            <w:bottom w:val="none" w:sz="0" w:space="0" w:color="auto"/>
            <w:right w:val="none" w:sz="0" w:space="0" w:color="auto"/>
          </w:divBdr>
        </w:div>
        <w:div w:id="2024702747">
          <w:marLeft w:val="0"/>
          <w:marRight w:val="0"/>
          <w:marTop w:val="0"/>
          <w:marBottom w:val="0"/>
          <w:divBdr>
            <w:top w:val="none" w:sz="0" w:space="0" w:color="auto"/>
            <w:left w:val="none" w:sz="0" w:space="0" w:color="auto"/>
            <w:bottom w:val="none" w:sz="0" w:space="0" w:color="auto"/>
            <w:right w:val="none" w:sz="0" w:space="0" w:color="auto"/>
          </w:divBdr>
        </w:div>
        <w:div w:id="2024702748">
          <w:marLeft w:val="0"/>
          <w:marRight w:val="0"/>
          <w:marTop w:val="0"/>
          <w:marBottom w:val="0"/>
          <w:divBdr>
            <w:top w:val="none" w:sz="0" w:space="0" w:color="auto"/>
            <w:left w:val="none" w:sz="0" w:space="0" w:color="auto"/>
            <w:bottom w:val="none" w:sz="0" w:space="0" w:color="auto"/>
            <w:right w:val="none" w:sz="0" w:space="0" w:color="auto"/>
          </w:divBdr>
        </w:div>
        <w:div w:id="2024702749">
          <w:marLeft w:val="0"/>
          <w:marRight w:val="0"/>
          <w:marTop w:val="0"/>
          <w:marBottom w:val="0"/>
          <w:divBdr>
            <w:top w:val="none" w:sz="0" w:space="0" w:color="auto"/>
            <w:left w:val="none" w:sz="0" w:space="0" w:color="auto"/>
            <w:bottom w:val="none" w:sz="0" w:space="0" w:color="auto"/>
            <w:right w:val="none" w:sz="0" w:space="0" w:color="auto"/>
          </w:divBdr>
        </w:div>
        <w:div w:id="2024702750">
          <w:marLeft w:val="0"/>
          <w:marRight w:val="0"/>
          <w:marTop w:val="0"/>
          <w:marBottom w:val="0"/>
          <w:divBdr>
            <w:top w:val="none" w:sz="0" w:space="0" w:color="auto"/>
            <w:left w:val="none" w:sz="0" w:space="0" w:color="auto"/>
            <w:bottom w:val="none" w:sz="0" w:space="0" w:color="auto"/>
            <w:right w:val="none" w:sz="0" w:space="0" w:color="auto"/>
          </w:divBdr>
        </w:div>
        <w:div w:id="2024702751">
          <w:marLeft w:val="0"/>
          <w:marRight w:val="0"/>
          <w:marTop w:val="0"/>
          <w:marBottom w:val="0"/>
          <w:divBdr>
            <w:top w:val="none" w:sz="0" w:space="0" w:color="auto"/>
            <w:left w:val="none" w:sz="0" w:space="0" w:color="auto"/>
            <w:bottom w:val="none" w:sz="0" w:space="0" w:color="auto"/>
            <w:right w:val="none" w:sz="0" w:space="0" w:color="auto"/>
          </w:divBdr>
        </w:div>
        <w:div w:id="2024702753">
          <w:marLeft w:val="0"/>
          <w:marRight w:val="0"/>
          <w:marTop w:val="0"/>
          <w:marBottom w:val="0"/>
          <w:divBdr>
            <w:top w:val="none" w:sz="0" w:space="0" w:color="auto"/>
            <w:left w:val="none" w:sz="0" w:space="0" w:color="auto"/>
            <w:bottom w:val="none" w:sz="0" w:space="0" w:color="auto"/>
            <w:right w:val="none" w:sz="0" w:space="0" w:color="auto"/>
          </w:divBdr>
        </w:div>
        <w:div w:id="2024702754">
          <w:marLeft w:val="0"/>
          <w:marRight w:val="0"/>
          <w:marTop w:val="0"/>
          <w:marBottom w:val="0"/>
          <w:divBdr>
            <w:top w:val="none" w:sz="0" w:space="0" w:color="auto"/>
            <w:left w:val="none" w:sz="0" w:space="0" w:color="auto"/>
            <w:bottom w:val="none" w:sz="0" w:space="0" w:color="auto"/>
            <w:right w:val="none" w:sz="0" w:space="0" w:color="auto"/>
          </w:divBdr>
        </w:div>
        <w:div w:id="2024702755">
          <w:marLeft w:val="0"/>
          <w:marRight w:val="0"/>
          <w:marTop w:val="0"/>
          <w:marBottom w:val="0"/>
          <w:divBdr>
            <w:top w:val="none" w:sz="0" w:space="0" w:color="auto"/>
            <w:left w:val="none" w:sz="0" w:space="0" w:color="auto"/>
            <w:bottom w:val="none" w:sz="0" w:space="0" w:color="auto"/>
            <w:right w:val="none" w:sz="0" w:space="0" w:color="auto"/>
          </w:divBdr>
        </w:div>
        <w:div w:id="2024702756">
          <w:marLeft w:val="0"/>
          <w:marRight w:val="0"/>
          <w:marTop w:val="0"/>
          <w:marBottom w:val="0"/>
          <w:divBdr>
            <w:top w:val="none" w:sz="0" w:space="0" w:color="auto"/>
            <w:left w:val="none" w:sz="0" w:space="0" w:color="auto"/>
            <w:bottom w:val="none" w:sz="0" w:space="0" w:color="auto"/>
            <w:right w:val="none" w:sz="0" w:space="0" w:color="auto"/>
          </w:divBdr>
        </w:div>
        <w:div w:id="2024702757">
          <w:marLeft w:val="0"/>
          <w:marRight w:val="0"/>
          <w:marTop w:val="0"/>
          <w:marBottom w:val="0"/>
          <w:divBdr>
            <w:top w:val="none" w:sz="0" w:space="0" w:color="auto"/>
            <w:left w:val="none" w:sz="0" w:space="0" w:color="auto"/>
            <w:bottom w:val="none" w:sz="0" w:space="0" w:color="auto"/>
            <w:right w:val="none" w:sz="0" w:space="0" w:color="auto"/>
          </w:divBdr>
        </w:div>
        <w:div w:id="2024702758">
          <w:marLeft w:val="0"/>
          <w:marRight w:val="0"/>
          <w:marTop w:val="0"/>
          <w:marBottom w:val="0"/>
          <w:divBdr>
            <w:top w:val="none" w:sz="0" w:space="0" w:color="auto"/>
            <w:left w:val="none" w:sz="0" w:space="0" w:color="auto"/>
            <w:bottom w:val="none" w:sz="0" w:space="0" w:color="auto"/>
            <w:right w:val="none" w:sz="0" w:space="0" w:color="auto"/>
          </w:divBdr>
        </w:div>
        <w:div w:id="2024702759">
          <w:marLeft w:val="0"/>
          <w:marRight w:val="0"/>
          <w:marTop w:val="0"/>
          <w:marBottom w:val="0"/>
          <w:divBdr>
            <w:top w:val="none" w:sz="0" w:space="0" w:color="auto"/>
            <w:left w:val="none" w:sz="0" w:space="0" w:color="auto"/>
            <w:bottom w:val="none" w:sz="0" w:space="0" w:color="auto"/>
            <w:right w:val="none" w:sz="0" w:space="0" w:color="auto"/>
          </w:divBdr>
        </w:div>
        <w:div w:id="2024702761">
          <w:marLeft w:val="0"/>
          <w:marRight w:val="0"/>
          <w:marTop w:val="0"/>
          <w:marBottom w:val="0"/>
          <w:divBdr>
            <w:top w:val="none" w:sz="0" w:space="0" w:color="auto"/>
            <w:left w:val="none" w:sz="0" w:space="0" w:color="auto"/>
            <w:bottom w:val="none" w:sz="0" w:space="0" w:color="auto"/>
            <w:right w:val="none" w:sz="0" w:space="0" w:color="auto"/>
          </w:divBdr>
        </w:div>
        <w:div w:id="2024702762">
          <w:marLeft w:val="0"/>
          <w:marRight w:val="0"/>
          <w:marTop w:val="0"/>
          <w:marBottom w:val="0"/>
          <w:divBdr>
            <w:top w:val="none" w:sz="0" w:space="0" w:color="auto"/>
            <w:left w:val="none" w:sz="0" w:space="0" w:color="auto"/>
            <w:bottom w:val="none" w:sz="0" w:space="0" w:color="auto"/>
            <w:right w:val="none" w:sz="0" w:space="0" w:color="auto"/>
          </w:divBdr>
        </w:div>
        <w:div w:id="2024702763">
          <w:marLeft w:val="0"/>
          <w:marRight w:val="0"/>
          <w:marTop w:val="0"/>
          <w:marBottom w:val="0"/>
          <w:divBdr>
            <w:top w:val="none" w:sz="0" w:space="0" w:color="auto"/>
            <w:left w:val="none" w:sz="0" w:space="0" w:color="auto"/>
            <w:bottom w:val="none" w:sz="0" w:space="0" w:color="auto"/>
            <w:right w:val="none" w:sz="0" w:space="0" w:color="auto"/>
          </w:divBdr>
        </w:div>
        <w:div w:id="2024702764">
          <w:marLeft w:val="0"/>
          <w:marRight w:val="0"/>
          <w:marTop w:val="0"/>
          <w:marBottom w:val="0"/>
          <w:divBdr>
            <w:top w:val="none" w:sz="0" w:space="0" w:color="auto"/>
            <w:left w:val="none" w:sz="0" w:space="0" w:color="auto"/>
            <w:bottom w:val="none" w:sz="0" w:space="0" w:color="auto"/>
            <w:right w:val="none" w:sz="0" w:space="0" w:color="auto"/>
          </w:divBdr>
        </w:div>
        <w:div w:id="2024702765">
          <w:marLeft w:val="0"/>
          <w:marRight w:val="0"/>
          <w:marTop w:val="0"/>
          <w:marBottom w:val="0"/>
          <w:divBdr>
            <w:top w:val="none" w:sz="0" w:space="0" w:color="auto"/>
            <w:left w:val="none" w:sz="0" w:space="0" w:color="auto"/>
            <w:bottom w:val="none" w:sz="0" w:space="0" w:color="auto"/>
            <w:right w:val="none" w:sz="0" w:space="0" w:color="auto"/>
          </w:divBdr>
        </w:div>
        <w:div w:id="2024702766">
          <w:marLeft w:val="0"/>
          <w:marRight w:val="0"/>
          <w:marTop w:val="0"/>
          <w:marBottom w:val="0"/>
          <w:divBdr>
            <w:top w:val="none" w:sz="0" w:space="0" w:color="auto"/>
            <w:left w:val="none" w:sz="0" w:space="0" w:color="auto"/>
            <w:bottom w:val="none" w:sz="0" w:space="0" w:color="auto"/>
            <w:right w:val="none" w:sz="0" w:space="0" w:color="auto"/>
          </w:divBdr>
        </w:div>
        <w:div w:id="2024702767">
          <w:marLeft w:val="0"/>
          <w:marRight w:val="0"/>
          <w:marTop w:val="0"/>
          <w:marBottom w:val="0"/>
          <w:divBdr>
            <w:top w:val="none" w:sz="0" w:space="0" w:color="auto"/>
            <w:left w:val="none" w:sz="0" w:space="0" w:color="auto"/>
            <w:bottom w:val="none" w:sz="0" w:space="0" w:color="auto"/>
            <w:right w:val="none" w:sz="0" w:space="0" w:color="auto"/>
          </w:divBdr>
        </w:div>
        <w:div w:id="2024702768">
          <w:marLeft w:val="0"/>
          <w:marRight w:val="0"/>
          <w:marTop w:val="0"/>
          <w:marBottom w:val="0"/>
          <w:divBdr>
            <w:top w:val="none" w:sz="0" w:space="0" w:color="auto"/>
            <w:left w:val="none" w:sz="0" w:space="0" w:color="auto"/>
            <w:bottom w:val="none" w:sz="0" w:space="0" w:color="auto"/>
            <w:right w:val="none" w:sz="0" w:space="0" w:color="auto"/>
          </w:divBdr>
        </w:div>
        <w:div w:id="2024702769">
          <w:marLeft w:val="0"/>
          <w:marRight w:val="0"/>
          <w:marTop w:val="0"/>
          <w:marBottom w:val="0"/>
          <w:divBdr>
            <w:top w:val="none" w:sz="0" w:space="0" w:color="auto"/>
            <w:left w:val="none" w:sz="0" w:space="0" w:color="auto"/>
            <w:bottom w:val="none" w:sz="0" w:space="0" w:color="auto"/>
            <w:right w:val="none" w:sz="0" w:space="0" w:color="auto"/>
          </w:divBdr>
        </w:div>
        <w:div w:id="2024702770">
          <w:marLeft w:val="0"/>
          <w:marRight w:val="0"/>
          <w:marTop w:val="0"/>
          <w:marBottom w:val="0"/>
          <w:divBdr>
            <w:top w:val="none" w:sz="0" w:space="0" w:color="auto"/>
            <w:left w:val="none" w:sz="0" w:space="0" w:color="auto"/>
            <w:bottom w:val="none" w:sz="0" w:space="0" w:color="auto"/>
            <w:right w:val="none" w:sz="0" w:space="0" w:color="auto"/>
          </w:divBdr>
        </w:div>
        <w:div w:id="2024702771">
          <w:marLeft w:val="0"/>
          <w:marRight w:val="0"/>
          <w:marTop w:val="0"/>
          <w:marBottom w:val="0"/>
          <w:divBdr>
            <w:top w:val="none" w:sz="0" w:space="0" w:color="auto"/>
            <w:left w:val="none" w:sz="0" w:space="0" w:color="auto"/>
            <w:bottom w:val="none" w:sz="0" w:space="0" w:color="auto"/>
            <w:right w:val="none" w:sz="0" w:space="0" w:color="auto"/>
          </w:divBdr>
        </w:div>
        <w:div w:id="2024702772">
          <w:marLeft w:val="0"/>
          <w:marRight w:val="0"/>
          <w:marTop w:val="0"/>
          <w:marBottom w:val="0"/>
          <w:divBdr>
            <w:top w:val="none" w:sz="0" w:space="0" w:color="auto"/>
            <w:left w:val="none" w:sz="0" w:space="0" w:color="auto"/>
            <w:bottom w:val="none" w:sz="0" w:space="0" w:color="auto"/>
            <w:right w:val="none" w:sz="0" w:space="0" w:color="auto"/>
          </w:divBdr>
        </w:div>
        <w:div w:id="2024702773">
          <w:marLeft w:val="0"/>
          <w:marRight w:val="0"/>
          <w:marTop w:val="0"/>
          <w:marBottom w:val="0"/>
          <w:divBdr>
            <w:top w:val="none" w:sz="0" w:space="0" w:color="auto"/>
            <w:left w:val="none" w:sz="0" w:space="0" w:color="auto"/>
            <w:bottom w:val="none" w:sz="0" w:space="0" w:color="auto"/>
            <w:right w:val="none" w:sz="0" w:space="0" w:color="auto"/>
          </w:divBdr>
        </w:div>
        <w:div w:id="2024702774">
          <w:marLeft w:val="0"/>
          <w:marRight w:val="0"/>
          <w:marTop w:val="0"/>
          <w:marBottom w:val="0"/>
          <w:divBdr>
            <w:top w:val="none" w:sz="0" w:space="0" w:color="auto"/>
            <w:left w:val="none" w:sz="0" w:space="0" w:color="auto"/>
            <w:bottom w:val="none" w:sz="0" w:space="0" w:color="auto"/>
            <w:right w:val="none" w:sz="0" w:space="0" w:color="auto"/>
          </w:divBdr>
        </w:div>
        <w:div w:id="2024702775">
          <w:marLeft w:val="0"/>
          <w:marRight w:val="0"/>
          <w:marTop w:val="0"/>
          <w:marBottom w:val="0"/>
          <w:divBdr>
            <w:top w:val="none" w:sz="0" w:space="0" w:color="auto"/>
            <w:left w:val="none" w:sz="0" w:space="0" w:color="auto"/>
            <w:bottom w:val="none" w:sz="0" w:space="0" w:color="auto"/>
            <w:right w:val="none" w:sz="0" w:space="0" w:color="auto"/>
          </w:divBdr>
        </w:div>
        <w:div w:id="2024702776">
          <w:marLeft w:val="0"/>
          <w:marRight w:val="0"/>
          <w:marTop w:val="0"/>
          <w:marBottom w:val="0"/>
          <w:divBdr>
            <w:top w:val="none" w:sz="0" w:space="0" w:color="auto"/>
            <w:left w:val="none" w:sz="0" w:space="0" w:color="auto"/>
            <w:bottom w:val="none" w:sz="0" w:space="0" w:color="auto"/>
            <w:right w:val="none" w:sz="0" w:space="0" w:color="auto"/>
          </w:divBdr>
        </w:div>
        <w:div w:id="2024702777">
          <w:marLeft w:val="0"/>
          <w:marRight w:val="0"/>
          <w:marTop w:val="0"/>
          <w:marBottom w:val="0"/>
          <w:divBdr>
            <w:top w:val="none" w:sz="0" w:space="0" w:color="auto"/>
            <w:left w:val="none" w:sz="0" w:space="0" w:color="auto"/>
            <w:bottom w:val="none" w:sz="0" w:space="0" w:color="auto"/>
            <w:right w:val="none" w:sz="0" w:space="0" w:color="auto"/>
          </w:divBdr>
        </w:div>
        <w:div w:id="2024702778">
          <w:marLeft w:val="0"/>
          <w:marRight w:val="0"/>
          <w:marTop w:val="0"/>
          <w:marBottom w:val="0"/>
          <w:divBdr>
            <w:top w:val="none" w:sz="0" w:space="0" w:color="auto"/>
            <w:left w:val="none" w:sz="0" w:space="0" w:color="auto"/>
            <w:bottom w:val="none" w:sz="0" w:space="0" w:color="auto"/>
            <w:right w:val="none" w:sz="0" w:space="0" w:color="auto"/>
          </w:divBdr>
        </w:div>
        <w:div w:id="2024702779">
          <w:marLeft w:val="0"/>
          <w:marRight w:val="0"/>
          <w:marTop w:val="0"/>
          <w:marBottom w:val="0"/>
          <w:divBdr>
            <w:top w:val="none" w:sz="0" w:space="0" w:color="auto"/>
            <w:left w:val="none" w:sz="0" w:space="0" w:color="auto"/>
            <w:bottom w:val="none" w:sz="0" w:space="0" w:color="auto"/>
            <w:right w:val="none" w:sz="0" w:space="0" w:color="auto"/>
          </w:divBdr>
        </w:div>
        <w:div w:id="2024702780">
          <w:marLeft w:val="0"/>
          <w:marRight w:val="0"/>
          <w:marTop w:val="0"/>
          <w:marBottom w:val="0"/>
          <w:divBdr>
            <w:top w:val="none" w:sz="0" w:space="0" w:color="auto"/>
            <w:left w:val="none" w:sz="0" w:space="0" w:color="auto"/>
            <w:bottom w:val="none" w:sz="0" w:space="0" w:color="auto"/>
            <w:right w:val="none" w:sz="0" w:space="0" w:color="auto"/>
          </w:divBdr>
        </w:div>
        <w:div w:id="2024702781">
          <w:marLeft w:val="0"/>
          <w:marRight w:val="0"/>
          <w:marTop w:val="0"/>
          <w:marBottom w:val="0"/>
          <w:divBdr>
            <w:top w:val="none" w:sz="0" w:space="0" w:color="auto"/>
            <w:left w:val="none" w:sz="0" w:space="0" w:color="auto"/>
            <w:bottom w:val="none" w:sz="0" w:space="0" w:color="auto"/>
            <w:right w:val="none" w:sz="0" w:space="0" w:color="auto"/>
          </w:divBdr>
        </w:div>
        <w:div w:id="2024702782">
          <w:marLeft w:val="0"/>
          <w:marRight w:val="0"/>
          <w:marTop w:val="0"/>
          <w:marBottom w:val="0"/>
          <w:divBdr>
            <w:top w:val="none" w:sz="0" w:space="0" w:color="auto"/>
            <w:left w:val="none" w:sz="0" w:space="0" w:color="auto"/>
            <w:bottom w:val="none" w:sz="0" w:space="0" w:color="auto"/>
            <w:right w:val="none" w:sz="0" w:space="0" w:color="auto"/>
          </w:divBdr>
        </w:div>
        <w:div w:id="2024702783">
          <w:marLeft w:val="0"/>
          <w:marRight w:val="0"/>
          <w:marTop w:val="0"/>
          <w:marBottom w:val="0"/>
          <w:divBdr>
            <w:top w:val="none" w:sz="0" w:space="0" w:color="auto"/>
            <w:left w:val="none" w:sz="0" w:space="0" w:color="auto"/>
            <w:bottom w:val="none" w:sz="0" w:space="0" w:color="auto"/>
            <w:right w:val="none" w:sz="0" w:space="0" w:color="auto"/>
          </w:divBdr>
        </w:div>
        <w:div w:id="2024702784">
          <w:marLeft w:val="0"/>
          <w:marRight w:val="0"/>
          <w:marTop w:val="0"/>
          <w:marBottom w:val="0"/>
          <w:divBdr>
            <w:top w:val="none" w:sz="0" w:space="0" w:color="auto"/>
            <w:left w:val="none" w:sz="0" w:space="0" w:color="auto"/>
            <w:bottom w:val="none" w:sz="0" w:space="0" w:color="auto"/>
            <w:right w:val="none" w:sz="0" w:space="0" w:color="auto"/>
          </w:divBdr>
        </w:div>
        <w:div w:id="2024702785">
          <w:marLeft w:val="0"/>
          <w:marRight w:val="0"/>
          <w:marTop w:val="0"/>
          <w:marBottom w:val="0"/>
          <w:divBdr>
            <w:top w:val="none" w:sz="0" w:space="0" w:color="auto"/>
            <w:left w:val="none" w:sz="0" w:space="0" w:color="auto"/>
            <w:bottom w:val="none" w:sz="0" w:space="0" w:color="auto"/>
            <w:right w:val="none" w:sz="0" w:space="0" w:color="auto"/>
          </w:divBdr>
        </w:div>
        <w:div w:id="2024702786">
          <w:marLeft w:val="0"/>
          <w:marRight w:val="0"/>
          <w:marTop w:val="0"/>
          <w:marBottom w:val="0"/>
          <w:divBdr>
            <w:top w:val="none" w:sz="0" w:space="0" w:color="auto"/>
            <w:left w:val="none" w:sz="0" w:space="0" w:color="auto"/>
            <w:bottom w:val="none" w:sz="0" w:space="0" w:color="auto"/>
            <w:right w:val="none" w:sz="0" w:space="0" w:color="auto"/>
          </w:divBdr>
        </w:div>
        <w:div w:id="2024702787">
          <w:marLeft w:val="0"/>
          <w:marRight w:val="0"/>
          <w:marTop w:val="0"/>
          <w:marBottom w:val="0"/>
          <w:divBdr>
            <w:top w:val="none" w:sz="0" w:space="0" w:color="auto"/>
            <w:left w:val="none" w:sz="0" w:space="0" w:color="auto"/>
            <w:bottom w:val="none" w:sz="0" w:space="0" w:color="auto"/>
            <w:right w:val="none" w:sz="0" w:space="0" w:color="auto"/>
          </w:divBdr>
        </w:div>
        <w:div w:id="2024702788">
          <w:marLeft w:val="0"/>
          <w:marRight w:val="0"/>
          <w:marTop w:val="0"/>
          <w:marBottom w:val="0"/>
          <w:divBdr>
            <w:top w:val="none" w:sz="0" w:space="0" w:color="auto"/>
            <w:left w:val="none" w:sz="0" w:space="0" w:color="auto"/>
            <w:bottom w:val="none" w:sz="0" w:space="0" w:color="auto"/>
            <w:right w:val="none" w:sz="0" w:space="0" w:color="auto"/>
          </w:divBdr>
        </w:div>
        <w:div w:id="2024702789">
          <w:marLeft w:val="0"/>
          <w:marRight w:val="0"/>
          <w:marTop w:val="0"/>
          <w:marBottom w:val="0"/>
          <w:divBdr>
            <w:top w:val="none" w:sz="0" w:space="0" w:color="auto"/>
            <w:left w:val="none" w:sz="0" w:space="0" w:color="auto"/>
            <w:bottom w:val="none" w:sz="0" w:space="0" w:color="auto"/>
            <w:right w:val="none" w:sz="0" w:space="0" w:color="auto"/>
          </w:divBdr>
        </w:div>
        <w:div w:id="2024702790">
          <w:marLeft w:val="0"/>
          <w:marRight w:val="0"/>
          <w:marTop w:val="0"/>
          <w:marBottom w:val="0"/>
          <w:divBdr>
            <w:top w:val="none" w:sz="0" w:space="0" w:color="auto"/>
            <w:left w:val="none" w:sz="0" w:space="0" w:color="auto"/>
            <w:bottom w:val="none" w:sz="0" w:space="0" w:color="auto"/>
            <w:right w:val="none" w:sz="0" w:space="0" w:color="auto"/>
          </w:divBdr>
        </w:div>
        <w:div w:id="2024702791">
          <w:marLeft w:val="0"/>
          <w:marRight w:val="0"/>
          <w:marTop w:val="0"/>
          <w:marBottom w:val="0"/>
          <w:divBdr>
            <w:top w:val="none" w:sz="0" w:space="0" w:color="auto"/>
            <w:left w:val="none" w:sz="0" w:space="0" w:color="auto"/>
            <w:bottom w:val="none" w:sz="0" w:space="0" w:color="auto"/>
            <w:right w:val="none" w:sz="0" w:space="0" w:color="auto"/>
          </w:divBdr>
        </w:div>
        <w:div w:id="2024702792">
          <w:marLeft w:val="0"/>
          <w:marRight w:val="0"/>
          <w:marTop w:val="0"/>
          <w:marBottom w:val="0"/>
          <w:divBdr>
            <w:top w:val="none" w:sz="0" w:space="0" w:color="auto"/>
            <w:left w:val="none" w:sz="0" w:space="0" w:color="auto"/>
            <w:bottom w:val="none" w:sz="0" w:space="0" w:color="auto"/>
            <w:right w:val="none" w:sz="0" w:space="0" w:color="auto"/>
          </w:divBdr>
        </w:div>
        <w:div w:id="2024702793">
          <w:marLeft w:val="0"/>
          <w:marRight w:val="0"/>
          <w:marTop w:val="0"/>
          <w:marBottom w:val="0"/>
          <w:divBdr>
            <w:top w:val="none" w:sz="0" w:space="0" w:color="auto"/>
            <w:left w:val="none" w:sz="0" w:space="0" w:color="auto"/>
            <w:bottom w:val="none" w:sz="0" w:space="0" w:color="auto"/>
            <w:right w:val="none" w:sz="0" w:space="0" w:color="auto"/>
          </w:divBdr>
        </w:div>
        <w:div w:id="2024702794">
          <w:marLeft w:val="0"/>
          <w:marRight w:val="0"/>
          <w:marTop w:val="0"/>
          <w:marBottom w:val="0"/>
          <w:divBdr>
            <w:top w:val="none" w:sz="0" w:space="0" w:color="auto"/>
            <w:left w:val="none" w:sz="0" w:space="0" w:color="auto"/>
            <w:bottom w:val="none" w:sz="0" w:space="0" w:color="auto"/>
            <w:right w:val="none" w:sz="0" w:space="0" w:color="auto"/>
          </w:divBdr>
        </w:div>
        <w:div w:id="2024702795">
          <w:marLeft w:val="0"/>
          <w:marRight w:val="0"/>
          <w:marTop w:val="0"/>
          <w:marBottom w:val="0"/>
          <w:divBdr>
            <w:top w:val="none" w:sz="0" w:space="0" w:color="auto"/>
            <w:left w:val="none" w:sz="0" w:space="0" w:color="auto"/>
            <w:bottom w:val="none" w:sz="0" w:space="0" w:color="auto"/>
            <w:right w:val="none" w:sz="0" w:space="0" w:color="auto"/>
          </w:divBdr>
        </w:div>
        <w:div w:id="2024702796">
          <w:marLeft w:val="0"/>
          <w:marRight w:val="0"/>
          <w:marTop w:val="0"/>
          <w:marBottom w:val="0"/>
          <w:divBdr>
            <w:top w:val="none" w:sz="0" w:space="0" w:color="auto"/>
            <w:left w:val="none" w:sz="0" w:space="0" w:color="auto"/>
            <w:bottom w:val="none" w:sz="0" w:space="0" w:color="auto"/>
            <w:right w:val="none" w:sz="0" w:space="0" w:color="auto"/>
          </w:divBdr>
        </w:div>
        <w:div w:id="2024702797">
          <w:marLeft w:val="0"/>
          <w:marRight w:val="0"/>
          <w:marTop w:val="0"/>
          <w:marBottom w:val="0"/>
          <w:divBdr>
            <w:top w:val="none" w:sz="0" w:space="0" w:color="auto"/>
            <w:left w:val="none" w:sz="0" w:space="0" w:color="auto"/>
            <w:bottom w:val="none" w:sz="0" w:space="0" w:color="auto"/>
            <w:right w:val="none" w:sz="0" w:space="0" w:color="auto"/>
          </w:divBdr>
        </w:div>
        <w:div w:id="2024702798">
          <w:marLeft w:val="0"/>
          <w:marRight w:val="0"/>
          <w:marTop w:val="0"/>
          <w:marBottom w:val="0"/>
          <w:divBdr>
            <w:top w:val="none" w:sz="0" w:space="0" w:color="auto"/>
            <w:left w:val="none" w:sz="0" w:space="0" w:color="auto"/>
            <w:bottom w:val="none" w:sz="0" w:space="0" w:color="auto"/>
            <w:right w:val="none" w:sz="0" w:space="0" w:color="auto"/>
          </w:divBdr>
        </w:div>
        <w:div w:id="2024702799">
          <w:marLeft w:val="0"/>
          <w:marRight w:val="0"/>
          <w:marTop w:val="0"/>
          <w:marBottom w:val="0"/>
          <w:divBdr>
            <w:top w:val="none" w:sz="0" w:space="0" w:color="auto"/>
            <w:left w:val="none" w:sz="0" w:space="0" w:color="auto"/>
            <w:bottom w:val="none" w:sz="0" w:space="0" w:color="auto"/>
            <w:right w:val="none" w:sz="0" w:space="0" w:color="auto"/>
          </w:divBdr>
        </w:div>
        <w:div w:id="2024702800">
          <w:marLeft w:val="0"/>
          <w:marRight w:val="0"/>
          <w:marTop w:val="0"/>
          <w:marBottom w:val="0"/>
          <w:divBdr>
            <w:top w:val="none" w:sz="0" w:space="0" w:color="auto"/>
            <w:left w:val="none" w:sz="0" w:space="0" w:color="auto"/>
            <w:bottom w:val="none" w:sz="0" w:space="0" w:color="auto"/>
            <w:right w:val="none" w:sz="0" w:space="0" w:color="auto"/>
          </w:divBdr>
        </w:div>
        <w:div w:id="2024702801">
          <w:marLeft w:val="0"/>
          <w:marRight w:val="0"/>
          <w:marTop w:val="0"/>
          <w:marBottom w:val="0"/>
          <w:divBdr>
            <w:top w:val="none" w:sz="0" w:space="0" w:color="auto"/>
            <w:left w:val="none" w:sz="0" w:space="0" w:color="auto"/>
            <w:bottom w:val="none" w:sz="0" w:space="0" w:color="auto"/>
            <w:right w:val="none" w:sz="0" w:space="0" w:color="auto"/>
          </w:divBdr>
        </w:div>
        <w:div w:id="2024702802">
          <w:marLeft w:val="0"/>
          <w:marRight w:val="0"/>
          <w:marTop w:val="0"/>
          <w:marBottom w:val="0"/>
          <w:divBdr>
            <w:top w:val="none" w:sz="0" w:space="0" w:color="auto"/>
            <w:left w:val="none" w:sz="0" w:space="0" w:color="auto"/>
            <w:bottom w:val="none" w:sz="0" w:space="0" w:color="auto"/>
            <w:right w:val="none" w:sz="0" w:space="0" w:color="auto"/>
          </w:divBdr>
        </w:div>
        <w:div w:id="2024702803">
          <w:marLeft w:val="0"/>
          <w:marRight w:val="0"/>
          <w:marTop w:val="0"/>
          <w:marBottom w:val="0"/>
          <w:divBdr>
            <w:top w:val="none" w:sz="0" w:space="0" w:color="auto"/>
            <w:left w:val="none" w:sz="0" w:space="0" w:color="auto"/>
            <w:bottom w:val="none" w:sz="0" w:space="0" w:color="auto"/>
            <w:right w:val="none" w:sz="0" w:space="0" w:color="auto"/>
          </w:divBdr>
        </w:div>
        <w:div w:id="2024702804">
          <w:marLeft w:val="0"/>
          <w:marRight w:val="0"/>
          <w:marTop w:val="0"/>
          <w:marBottom w:val="0"/>
          <w:divBdr>
            <w:top w:val="none" w:sz="0" w:space="0" w:color="auto"/>
            <w:left w:val="none" w:sz="0" w:space="0" w:color="auto"/>
            <w:bottom w:val="none" w:sz="0" w:space="0" w:color="auto"/>
            <w:right w:val="none" w:sz="0" w:space="0" w:color="auto"/>
          </w:divBdr>
        </w:div>
        <w:div w:id="2024702805">
          <w:marLeft w:val="0"/>
          <w:marRight w:val="0"/>
          <w:marTop w:val="0"/>
          <w:marBottom w:val="0"/>
          <w:divBdr>
            <w:top w:val="none" w:sz="0" w:space="0" w:color="auto"/>
            <w:left w:val="none" w:sz="0" w:space="0" w:color="auto"/>
            <w:bottom w:val="none" w:sz="0" w:space="0" w:color="auto"/>
            <w:right w:val="none" w:sz="0" w:space="0" w:color="auto"/>
          </w:divBdr>
        </w:div>
        <w:div w:id="2024702806">
          <w:marLeft w:val="0"/>
          <w:marRight w:val="0"/>
          <w:marTop w:val="0"/>
          <w:marBottom w:val="0"/>
          <w:divBdr>
            <w:top w:val="none" w:sz="0" w:space="0" w:color="auto"/>
            <w:left w:val="none" w:sz="0" w:space="0" w:color="auto"/>
            <w:bottom w:val="none" w:sz="0" w:space="0" w:color="auto"/>
            <w:right w:val="none" w:sz="0" w:space="0" w:color="auto"/>
          </w:divBdr>
        </w:div>
        <w:div w:id="2024702807">
          <w:marLeft w:val="0"/>
          <w:marRight w:val="0"/>
          <w:marTop w:val="0"/>
          <w:marBottom w:val="0"/>
          <w:divBdr>
            <w:top w:val="none" w:sz="0" w:space="0" w:color="auto"/>
            <w:left w:val="none" w:sz="0" w:space="0" w:color="auto"/>
            <w:bottom w:val="none" w:sz="0" w:space="0" w:color="auto"/>
            <w:right w:val="none" w:sz="0" w:space="0" w:color="auto"/>
          </w:divBdr>
        </w:div>
        <w:div w:id="2024702808">
          <w:marLeft w:val="0"/>
          <w:marRight w:val="0"/>
          <w:marTop w:val="0"/>
          <w:marBottom w:val="0"/>
          <w:divBdr>
            <w:top w:val="none" w:sz="0" w:space="0" w:color="auto"/>
            <w:left w:val="none" w:sz="0" w:space="0" w:color="auto"/>
            <w:bottom w:val="none" w:sz="0" w:space="0" w:color="auto"/>
            <w:right w:val="none" w:sz="0" w:space="0" w:color="auto"/>
          </w:divBdr>
        </w:div>
        <w:div w:id="2024702809">
          <w:marLeft w:val="0"/>
          <w:marRight w:val="0"/>
          <w:marTop w:val="0"/>
          <w:marBottom w:val="0"/>
          <w:divBdr>
            <w:top w:val="none" w:sz="0" w:space="0" w:color="auto"/>
            <w:left w:val="none" w:sz="0" w:space="0" w:color="auto"/>
            <w:bottom w:val="none" w:sz="0" w:space="0" w:color="auto"/>
            <w:right w:val="none" w:sz="0" w:space="0" w:color="auto"/>
          </w:divBdr>
        </w:div>
        <w:div w:id="2024702810">
          <w:marLeft w:val="0"/>
          <w:marRight w:val="0"/>
          <w:marTop w:val="0"/>
          <w:marBottom w:val="0"/>
          <w:divBdr>
            <w:top w:val="none" w:sz="0" w:space="0" w:color="auto"/>
            <w:left w:val="none" w:sz="0" w:space="0" w:color="auto"/>
            <w:bottom w:val="none" w:sz="0" w:space="0" w:color="auto"/>
            <w:right w:val="none" w:sz="0" w:space="0" w:color="auto"/>
          </w:divBdr>
        </w:div>
        <w:div w:id="2024702811">
          <w:marLeft w:val="0"/>
          <w:marRight w:val="0"/>
          <w:marTop w:val="0"/>
          <w:marBottom w:val="0"/>
          <w:divBdr>
            <w:top w:val="none" w:sz="0" w:space="0" w:color="auto"/>
            <w:left w:val="none" w:sz="0" w:space="0" w:color="auto"/>
            <w:bottom w:val="none" w:sz="0" w:space="0" w:color="auto"/>
            <w:right w:val="none" w:sz="0" w:space="0" w:color="auto"/>
          </w:divBdr>
        </w:div>
        <w:div w:id="2024702812">
          <w:marLeft w:val="0"/>
          <w:marRight w:val="0"/>
          <w:marTop w:val="0"/>
          <w:marBottom w:val="0"/>
          <w:divBdr>
            <w:top w:val="none" w:sz="0" w:space="0" w:color="auto"/>
            <w:left w:val="none" w:sz="0" w:space="0" w:color="auto"/>
            <w:bottom w:val="none" w:sz="0" w:space="0" w:color="auto"/>
            <w:right w:val="none" w:sz="0" w:space="0" w:color="auto"/>
          </w:divBdr>
        </w:div>
        <w:div w:id="2024702813">
          <w:marLeft w:val="0"/>
          <w:marRight w:val="0"/>
          <w:marTop w:val="0"/>
          <w:marBottom w:val="0"/>
          <w:divBdr>
            <w:top w:val="none" w:sz="0" w:space="0" w:color="auto"/>
            <w:left w:val="none" w:sz="0" w:space="0" w:color="auto"/>
            <w:bottom w:val="none" w:sz="0" w:space="0" w:color="auto"/>
            <w:right w:val="none" w:sz="0" w:space="0" w:color="auto"/>
          </w:divBdr>
        </w:div>
        <w:div w:id="2024702814">
          <w:marLeft w:val="0"/>
          <w:marRight w:val="0"/>
          <w:marTop w:val="0"/>
          <w:marBottom w:val="0"/>
          <w:divBdr>
            <w:top w:val="none" w:sz="0" w:space="0" w:color="auto"/>
            <w:left w:val="none" w:sz="0" w:space="0" w:color="auto"/>
            <w:bottom w:val="none" w:sz="0" w:space="0" w:color="auto"/>
            <w:right w:val="none" w:sz="0" w:space="0" w:color="auto"/>
          </w:divBdr>
        </w:div>
        <w:div w:id="2024702815">
          <w:marLeft w:val="0"/>
          <w:marRight w:val="0"/>
          <w:marTop w:val="0"/>
          <w:marBottom w:val="0"/>
          <w:divBdr>
            <w:top w:val="none" w:sz="0" w:space="0" w:color="auto"/>
            <w:left w:val="none" w:sz="0" w:space="0" w:color="auto"/>
            <w:bottom w:val="none" w:sz="0" w:space="0" w:color="auto"/>
            <w:right w:val="none" w:sz="0" w:space="0" w:color="auto"/>
          </w:divBdr>
        </w:div>
        <w:div w:id="2024702816">
          <w:marLeft w:val="0"/>
          <w:marRight w:val="0"/>
          <w:marTop w:val="0"/>
          <w:marBottom w:val="0"/>
          <w:divBdr>
            <w:top w:val="none" w:sz="0" w:space="0" w:color="auto"/>
            <w:left w:val="none" w:sz="0" w:space="0" w:color="auto"/>
            <w:bottom w:val="none" w:sz="0" w:space="0" w:color="auto"/>
            <w:right w:val="none" w:sz="0" w:space="0" w:color="auto"/>
          </w:divBdr>
        </w:div>
        <w:div w:id="2024702817">
          <w:marLeft w:val="0"/>
          <w:marRight w:val="0"/>
          <w:marTop w:val="0"/>
          <w:marBottom w:val="0"/>
          <w:divBdr>
            <w:top w:val="none" w:sz="0" w:space="0" w:color="auto"/>
            <w:left w:val="none" w:sz="0" w:space="0" w:color="auto"/>
            <w:bottom w:val="none" w:sz="0" w:space="0" w:color="auto"/>
            <w:right w:val="none" w:sz="0" w:space="0" w:color="auto"/>
          </w:divBdr>
        </w:div>
        <w:div w:id="2024702818">
          <w:marLeft w:val="0"/>
          <w:marRight w:val="0"/>
          <w:marTop w:val="0"/>
          <w:marBottom w:val="0"/>
          <w:divBdr>
            <w:top w:val="none" w:sz="0" w:space="0" w:color="auto"/>
            <w:left w:val="none" w:sz="0" w:space="0" w:color="auto"/>
            <w:bottom w:val="none" w:sz="0" w:space="0" w:color="auto"/>
            <w:right w:val="none" w:sz="0" w:space="0" w:color="auto"/>
          </w:divBdr>
        </w:div>
        <w:div w:id="2024702819">
          <w:marLeft w:val="0"/>
          <w:marRight w:val="0"/>
          <w:marTop w:val="0"/>
          <w:marBottom w:val="0"/>
          <w:divBdr>
            <w:top w:val="none" w:sz="0" w:space="0" w:color="auto"/>
            <w:left w:val="none" w:sz="0" w:space="0" w:color="auto"/>
            <w:bottom w:val="none" w:sz="0" w:space="0" w:color="auto"/>
            <w:right w:val="none" w:sz="0" w:space="0" w:color="auto"/>
          </w:divBdr>
        </w:div>
        <w:div w:id="2024702820">
          <w:marLeft w:val="0"/>
          <w:marRight w:val="0"/>
          <w:marTop w:val="0"/>
          <w:marBottom w:val="0"/>
          <w:divBdr>
            <w:top w:val="none" w:sz="0" w:space="0" w:color="auto"/>
            <w:left w:val="none" w:sz="0" w:space="0" w:color="auto"/>
            <w:bottom w:val="none" w:sz="0" w:space="0" w:color="auto"/>
            <w:right w:val="none" w:sz="0" w:space="0" w:color="auto"/>
          </w:divBdr>
        </w:div>
        <w:div w:id="2024702822">
          <w:marLeft w:val="0"/>
          <w:marRight w:val="0"/>
          <w:marTop w:val="0"/>
          <w:marBottom w:val="0"/>
          <w:divBdr>
            <w:top w:val="none" w:sz="0" w:space="0" w:color="auto"/>
            <w:left w:val="none" w:sz="0" w:space="0" w:color="auto"/>
            <w:bottom w:val="none" w:sz="0" w:space="0" w:color="auto"/>
            <w:right w:val="none" w:sz="0" w:space="0" w:color="auto"/>
          </w:divBdr>
        </w:div>
        <w:div w:id="2024702823">
          <w:marLeft w:val="0"/>
          <w:marRight w:val="0"/>
          <w:marTop w:val="0"/>
          <w:marBottom w:val="0"/>
          <w:divBdr>
            <w:top w:val="none" w:sz="0" w:space="0" w:color="auto"/>
            <w:left w:val="none" w:sz="0" w:space="0" w:color="auto"/>
            <w:bottom w:val="none" w:sz="0" w:space="0" w:color="auto"/>
            <w:right w:val="none" w:sz="0" w:space="0" w:color="auto"/>
          </w:divBdr>
        </w:div>
        <w:div w:id="2024702824">
          <w:marLeft w:val="0"/>
          <w:marRight w:val="0"/>
          <w:marTop w:val="0"/>
          <w:marBottom w:val="0"/>
          <w:divBdr>
            <w:top w:val="none" w:sz="0" w:space="0" w:color="auto"/>
            <w:left w:val="none" w:sz="0" w:space="0" w:color="auto"/>
            <w:bottom w:val="none" w:sz="0" w:space="0" w:color="auto"/>
            <w:right w:val="none" w:sz="0" w:space="0" w:color="auto"/>
          </w:divBdr>
        </w:div>
        <w:div w:id="2024702825">
          <w:marLeft w:val="0"/>
          <w:marRight w:val="0"/>
          <w:marTop w:val="0"/>
          <w:marBottom w:val="0"/>
          <w:divBdr>
            <w:top w:val="none" w:sz="0" w:space="0" w:color="auto"/>
            <w:left w:val="none" w:sz="0" w:space="0" w:color="auto"/>
            <w:bottom w:val="none" w:sz="0" w:space="0" w:color="auto"/>
            <w:right w:val="none" w:sz="0" w:space="0" w:color="auto"/>
          </w:divBdr>
        </w:div>
        <w:div w:id="2024702826">
          <w:marLeft w:val="0"/>
          <w:marRight w:val="0"/>
          <w:marTop w:val="0"/>
          <w:marBottom w:val="0"/>
          <w:divBdr>
            <w:top w:val="none" w:sz="0" w:space="0" w:color="auto"/>
            <w:left w:val="none" w:sz="0" w:space="0" w:color="auto"/>
            <w:bottom w:val="none" w:sz="0" w:space="0" w:color="auto"/>
            <w:right w:val="none" w:sz="0" w:space="0" w:color="auto"/>
          </w:divBdr>
        </w:div>
        <w:div w:id="2024702827">
          <w:marLeft w:val="0"/>
          <w:marRight w:val="0"/>
          <w:marTop w:val="0"/>
          <w:marBottom w:val="0"/>
          <w:divBdr>
            <w:top w:val="none" w:sz="0" w:space="0" w:color="auto"/>
            <w:left w:val="none" w:sz="0" w:space="0" w:color="auto"/>
            <w:bottom w:val="none" w:sz="0" w:space="0" w:color="auto"/>
            <w:right w:val="none" w:sz="0" w:space="0" w:color="auto"/>
          </w:divBdr>
        </w:div>
        <w:div w:id="2024702828">
          <w:marLeft w:val="0"/>
          <w:marRight w:val="0"/>
          <w:marTop w:val="0"/>
          <w:marBottom w:val="0"/>
          <w:divBdr>
            <w:top w:val="none" w:sz="0" w:space="0" w:color="auto"/>
            <w:left w:val="none" w:sz="0" w:space="0" w:color="auto"/>
            <w:bottom w:val="none" w:sz="0" w:space="0" w:color="auto"/>
            <w:right w:val="none" w:sz="0" w:space="0" w:color="auto"/>
          </w:divBdr>
        </w:div>
        <w:div w:id="2024702829">
          <w:marLeft w:val="0"/>
          <w:marRight w:val="0"/>
          <w:marTop w:val="0"/>
          <w:marBottom w:val="0"/>
          <w:divBdr>
            <w:top w:val="none" w:sz="0" w:space="0" w:color="auto"/>
            <w:left w:val="none" w:sz="0" w:space="0" w:color="auto"/>
            <w:bottom w:val="none" w:sz="0" w:space="0" w:color="auto"/>
            <w:right w:val="none" w:sz="0" w:space="0" w:color="auto"/>
          </w:divBdr>
        </w:div>
        <w:div w:id="2024702830">
          <w:marLeft w:val="0"/>
          <w:marRight w:val="0"/>
          <w:marTop w:val="0"/>
          <w:marBottom w:val="0"/>
          <w:divBdr>
            <w:top w:val="none" w:sz="0" w:space="0" w:color="auto"/>
            <w:left w:val="none" w:sz="0" w:space="0" w:color="auto"/>
            <w:bottom w:val="none" w:sz="0" w:space="0" w:color="auto"/>
            <w:right w:val="none" w:sz="0" w:space="0" w:color="auto"/>
          </w:divBdr>
        </w:div>
        <w:div w:id="2024702831">
          <w:marLeft w:val="0"/>
          <w:marRight w:val="0"/>
          <w:marTop w:val="0"/>
          <w:marBottom w:val="0"/>
          <w:divBdr>
            <w:top w:val="none" w:sz="0" w:space="0" w:color="auto"/>
            <w:left w:val="none" w:sz="0" w:space="0" w:color="auto"/>
            <w:bottom w:val="none" w:sz="0" w:space="0" w:color="auto"/>
            <w:right w:val="none" w:sz="0" w:space="0" w:color="auto"/>
          </w:divBdr>
        </w:div>
        <w:div w:id="2024702832">
          <w:marLeft w:val="0"/>
          <w:marRight w:val="0"/>
          <w:marTop w:val="0"/>
          <w:marBottom w:val="0"/>
          <w:divBdr>
            <w:top w:val="none" w:sz="0" w:space="0" w:color="auto"/>
            <w:left w:val="none" w:sz="0" w:space="0" w:color="auto"/>
            <w:bottom w:val="none" w:sz="0" w:space="0" w:color="auto"/>
            <w:right w:val="none" w:sz="0" w:space="0" w:color="auto"/>
          </w:divBdr>
        </w:div>
        <w:div w:id="2024702833">
          <w:marLeft w:val="0"/>
          <w:marRight w:val="0"/>
          <w:marTop w:val="0"/>
          <w:marBottom w:val="0"/>
          <w:divBdr>
            <w:top w:val="none" w:sz="0" w:space="0" w:color="auto"/>
            <w:left w:val="none" w:sz="0" w:space="0" w:color="auto"/>
            <w:bottom w:val="none" w:sz="0" w:space="0" w:color="auto"/>
            <w:right w:val="none" w:sz="0" w:space="0" w:color="auto"/>
          </w:divBdr>
        </w:div>
        <w:div w:id="2024702834">
          <w:marLeft w:val="0"/>
          <w:marRight w:val="0"/>
          <w:marTop w:val="0"/>
          <w:marBottom w:val="0"/>
          <w:divBdr>
            <w:top w:val="none" w:sz="0" w:space="0" w:color="auto"/>
            <w:left w:val="none" w:sz="0" w:space="0" w:color="auto"/>
            <w:bottom w:val="none" w:sz="0" w:space="0" w:color="auto"/>
            <w:right w:val="none" w:sz="0" w:space="0" w:color="auto"/>
          </w:divBdr>
        </w:div>
        <w:div w:id="2024702835">
          <w:marLeft w:val="0"/>
          <w:marRight w:val="0"/>
          <w:marTop w:val="0"/>
          <w:marBottom w:val="0"/>
          <w:divBdr>
            <w:top w:val="none" w:sz="0" w:space="0" w:color="auto"/>
            <w:left w:val="none" w:sz="0" w:space="0" w:color="auto"/>
            <w:bottom w:val="none" w:sz="0" w:space="0" w:color="auto"/>
            <w:right w:val="none" w:sz="0" w:space="0" w:color="auto"/>
          </w:divBdr>
        </w:div>
        <w:div w:id="2024702836">
          <w:marLeft w:val="0"/>
          <w:marRight w:val="0"/>
          <w:marTop w:val="0"/>
          <w:marBottom w:val="0"/>
          <w:divBdr>
            <w:top w:val="none" w:sz="0" w:space="0" w:color="auto"/>
            <w:left w:val="none" w:sz="0" w:space="0" w:color="auto"/>
            <w:bottom w:val="none" w:sz="0" w:space="0" w:color="auto"/>
            <w:right w:val="none" w:sz="0" w:space="0" w:color="auto"/>
          </w:divBdr>
        </w:div>
        <w:div w:id="2024702837">
          <w:marLeft w:val="0"/>
          <w:marRight w:val="0"/>
          <w:marTop w:val="0"/>
          <w:marBottom w:val="0"/>
          <w:divBdr>
            <w:top w:val="none" w:sz="0" w:space="0" w:color="auto"/>
            <w:left w:val="none" w:sz="0" w:space="0" w:color="auto"/>
            <w:bottom w:val="none" w:sz="0" w:space="0" w:color="auto"/>
            <w:right w:val="none" w:sz="0" w:space="0" w:color="auto"/>
          </w:divBdr>
        </w:div>
        <w:div w:id="2024702838">
          <w:marLeft w:val="0"/>
          <w:marRight w:val="0"/>
          <w:marTop w:val="0"/>
          <w:marBottom w:val="0"/>
          <w:divBdr>
            <w:top w:val="none" w:sz="0" w:space="0" w:color="auto"/>
            <w:left w:val="none" w:sz="0" w:space="0" w:color="auto"/>
            <w:bottom w:val="none" w:sz="0" w:space="0" w:color="auto"/>
            <w:right w:val="none" w:sz="0" w:space="0" w:color="auto"/>
          </w:divBdr>
        </w:div>
        <w:div w:id="2024702839">
          <w:marLeft w:val="0"/>
          <w:marRight w:val="0"/>
          <w:marTop w:val="0"/>
          <w:marBottom w:val="0"/>
          <w:divBdr>
            <w:top w:val="none" w:sz="0" w:space="0" w:color="auto"/>
            <w:left w:val="none" w:sz="0" w:space="0" w:color="auto"/>
            <w:bottom w:val="none" w:sz="0" w:space="0" w:color="auto"/>
            <w:right w:val="none" w:sz="0" w:space="0" w:color="auto"/>
          </w:divBdr>
        </w:div>
        <w:div w:id="2024702841">
          <w:marLeft w:val="0"/>
          <w:marRight w:val="0"/>
          <w:marTop w:val="0"/>
          <w:marBottom w:val="0"/>
          <w:divBdr>
            <w:top w:val="none" w:sz="0" w:space="0" w:color="auto"/>
            <w:left w:val="none" w:sz="0" w:space="0" w:color="auto"/>
            <w:bottom w:val="none" w:sz="0" w:space="0" w:color="auto"/>
            <w:right w:val="none" w:sz="0" w:space="0" w:color="auto"/>
          </w:divBdr>
        </w:div>
        <w:div w:id="2024702842">
          <w:marLeft w:val="0"/>
          <w:marRight w:val="0"/>
          <w:marTop w:val="0"/>
          <w:marBottom w:val="0"/>
          <w:divBdr>
            <w:top w:val="none" w:sz="0" w:space="0" w:color="auto"/>
            <w:left w:val="none" w:sz="0" w:space="0" w:color="auto"/>
            <w:bottom w:val="none" w:sz="0" w:space="0" w:color="auto"/>
            <w:right w:val="none" w:sz="0" w:space="0" w:color="auto"/>
          </w:divBdr>
        </w:div>
        <w:div w:id="2024702843">
          <w:marLeft w:val="0"/>
          <w:marRight w:val="0"/>
          <w:marTop w:val="0"/>
          <w:marBottom w:val="0"/>
          <w:divBdr>
            <w:top w:val="none" w:sz="0" w:space="0" w:color="auto"/>
            <w:left w:val="none" w:sz="0" w:space="0" w:color="auto"/>
            <w:bottom w:val="none" w:sz="0" w:space="0" w:color="auto"/>
            <w:right w:val="none" w:sz="0" w:space="0" w:color="auto"/>
          </w:divBdr>
        </w:div>
        <w:div w:id="2024702844">
          <w:marLeft w:val="0"/>
          <w:marRight w:val="0"/>
          <w:marTop w:val="0"/>
          <w:marBottom w:val="0"/>
          <w:divBdr>
            <w:top w:val="none" w:sz="0" w:space="0" w:color="auto"/>
            <w:left w:val="none" w:sz="0" w:space="0" w:color="auto"/>
            <w:bottom w:val="none" w:sz="0" w:space="0" w:color="auto"/>
            <w:right w:val="none" w:sz="0" w:space="0" w:color="auto"/>
          </w:divBdr>
        </w:div>
        <w:div w:id="2024702845">
          <w:marLeft w:val="0"/>
          <w:marRight w:val="0"/>
          <w:marTop w:val="0"/>
          <w:marBottom w:val="0"/>
          <w:divBdr>
            <w:top w:val="none" w:sz="0" w:space="0" w:color="auto"/>
            <w:left w:val="none" w:sz="0" w:space="0" w:color="auto"/>
            <w:bottom w:val="none" w:sz="0" w:space="0" w:color="auto"/>
            <w:right w:val="none" w:sz="0" w:space="0" w:color="auto"/>
          </w:divBdr>
        </w:div>
        <w:div w:id="2024702846">
          <w:marLeft w:val="0"/>
          <w:marRight w:val="0"/>
          <w:marTop w:val="0"/>
          <w:marBottom w:val="0"/>
          <w:divBdr>
            <w:top w:val="none" w:sz="0" w:space="0" w:color="auto"/>
            <w:left w:val="none" w:sz="0" w:space="0" w:color="auto"/>
            <w:bottom w:val="none" w:sz="0" w:space="0" w:color="auto"/>
            <w:right w:val="none" w:sz="0" w:space="0" w:color="auto"/>
          </w:divBdr>
        </w:div>
        <w:div w:id="2024702847">
          <w:marLeft w:val="0"/>
          <w:marRight w:val="0"/>
          <w:marTop w:val="0"/>
          <w:marBottom w:val="0"/>
          <w:divBdr>
            <w:top w:val="none" w:sz="0" w:space="0" w:color="auto"/>
            <w:left w:val="none" w:sz="0" w:space="0" w:color="auto"/>
            <w:bottom w:val="none" w:sz="0" w:space="0" w:color="auto"/>
            <w:right w:val="none" w:sz="0" w:space="0" w:color="auto"/>
          </w:divBdr>
        </w:div>
        <w:div w:id="2024702848">
          <w:marLeft w:val="0"/>
          <w:marRight w:val="0"/>
          <w:marTop w:val="0"/>
          <w:marBottom w:val="0"/>
          <w:divBdr>
            <w:top w:val="none" w:sz="0" w:space="0" w:color="auto"/>
            <w:left w:val="none" w:sz="0" w:space="0" w:color="auto"/>
            <w:bottom w:val="none" w:sz="0" w:space="0" w:color="auto"/>
            <w:right w:val="none" w:sz="0" w:space="0" w:color="auto"/>
          </w:divBdr>
        </w:div>
        <w:div w:id="2024702849">
          <w:marLeft w:val="0"/>
          <w:marRight w:val="0"/>
          <w:marTop w:val="0"/>
          <w:marBottom w:val="0"/>
          <w:divBdr>
            <w:top w:val="none" w:sz="0" w:space="0" w:color="auto"/>
            <w:left w:val="none" w:sz="0" w:space="0" w:color="auto"/>
            <w:bottom w:val="none" w:sz="0" w:space="0" w:color="auto"/>
            <w:right w:val="none" w:sz="0" w:space="0" w:color="auto"/>
          </w:divBdr>
        </w:div>
        <w:div w:id="2024702850">
          <w:marLeft w:val="0"/>
          <w:marRight w:val="0"/>
          <w:marTop w:val="0"/>
          <w:marBottom w:val="0"/>
          <w:divBdr>
            <w:top w:val="none" w:sz="0" w:space="0" w:color="auto"/>
            <w:left w:val="none" w:sz="0" w:space="0" w:color="auto"/>
            <w:bottom w:val="none" w:sz="0" w:space="0" w:color="auto"/>
            <w:right w:val="none" w:sz="0" w:space="0" w:color="auto"/>
          </w:divBdr>
        </w:div>
        <w:div w:id="2024702851">
          <w:marLeft w:val="0"/>
          <w:marRight w:val="0"/>
          <w:marTop w:val="0"/>
          <w:marBottom w:val="0"/>
          <w:divBdr>
            <w:top w:val="none" w:sz="0" w:space="0" w:color="auto"/>
            <w:left w:val="none" w:sz="0" w:space="0" w:color="auto"/>
            <w:bottom w:val="none" w:sz="0" w:space="0" w:color="auto"/>
            <w:right w:val="none" w:sz="0" w:space="0" w:color="auto"/>
          </w:divBdr>
        </w:div>
        <w:div w:id="2024702852">
          <w:marLeft w:val="0"/>
          <w:marRight w:val="0"/>
          <w:marTop w:val="0"/>
          <w:marBottom w:val="0"/>
          <w:divBdr>
            <w:top w:val="none" w:sz="0" w:space="0" w:color="auto"/>
            <w:left w:val="none" w:sz="0" w:space="0" w:color="auto"/>
            <w:bottom w:val="none" w:sz="0" w:space="0" w:color="auto"/>
            <w:right w:val="none" w:sz="0" w:space="0" w:color="auto"/>
          </w:divBdr>
        </w:div>
        <w:div w:id="2024702853">
          <w:marLeft w:val="0"/>
          <w:marRight w:val="0"/>
          <w:marTop w:val="0"/>
          <w:marBottom w:val="0"/>
          <w:divBdr>
            <w:top w:val="none" w:sz="0" w:space="0" w:color="auto"/>
            <w:left w:val="none" w:sz="0" w:space="0" w:color="auto"/>
            <w:bottom w:val="none" w:sz="0" w:space="0" w:color="auto"/>
            <w:right w:val="none" w:sz="0" w:space="0" w:color="auto"/>
          </w:divBdr>
        </w:div>
        <w:div w:id="2024702854">
          <w:marLeft w:val="0"/>
          <w:marRight w:val="0"/>
          <w:marTop w:val="0"/>
          <w:marBottom w:val="0"/>
          <w:divBdr>
            <w:top w:val="none" w:sz="0" w:space="0" w:color="auto"/>
            <w:left w:val="none" w:sz="0" w:space="0" w:color="auto"/>
            <w:bottom w:val="none" w:sz="0" w:space="0" w:color="auto"/>
            <w:right w:val="none" w:sz="0" w:space="0" w:color="auto"/>
          </w:divBdr>
        </w:div>
        <w:div w:id="2024702855">
          <w:marLeft w:val="0"/>
          <w:marRight w:val="0"/>
          <w:marTop w:val="0"/>
          <w:marBottom w:val="0"/>
          <w:divBdr>
            <w:top w:val="none" w:sz="0" w:space="0" w:color="auto"/>
            <w:left w:val="none" w:sz="0" w:space="0" w:color="auto"/>
            <w:bottom w:val="none" w:sz="0" w:space="0" w:color="auto"/>
            <w:right w:val="none" w:sz="0" w:space="0" w:color="auto"/>
          </w:divBdr>
        </w:div>
        <w:div w:id="2024702856">
          <w:marLeft w:val="0"/>
          <w:marRight w:val="0"/>
          <w:marTop w:val="0"/>
          <w:marBottom w:val="0"/>
          <w:divBdr>
            <w:top w:val="none" w:sz="0" w:space="0" w:color="auto"/>
            <w:left w:val="none" w:sz="0" w:space="0" w:color="auto"/>
            <w:bottom w:val="none" w:sz="0" w:space="0" w:color="auto"/>
            <w:right w:val="none" w:sz="0" w:space="0" w:color="auto"/>
          </w:divBdr>
        </w:div>
        <w:div w:id="2024702857">
          <w:marLeft w:val="0"/>
          <w:marRight w:val="0"/>
          <w:marTop w:val="0"/>
          <w:marBottom w:val="0"/>
          <w:divBdr>
            <w:top w:val="none" w:sz="0" w:space="0" w:color="auto"/>
            <w:left w:val="none" w:sz="0" w:space="0" w:color="auto"/>
            <w:bottom w:val="none" w:sz="0" w:space="0" w:color="auto"/>
            <w:right w:val="none" w:sz="0" w:space="0" w:color="auto"/>
          </w:divBdr>
        </w:div>
        <w:div w:id="2024702858">
          <w:marLeft w:val="0"/>
          <w:marRight w:val="0"/>
          <w:marTop w:val="0"/>
          <w:marBottom w:val="0"/>
          <w:divBdr>
            <w:top w:val="none" w:sz="0" w:space="0" w:color="auto"/>
            <w:left w:val="none" w:sz="0" w:space="0" w:color="auto"/>
            <w:bottom w:val="none" w:sz="0" w:space="0" w:color="auto"/>
            <w:right w:val="none" w:sz="0" w:space="0" w:color="auto"/>
          </w:divBdr>
        </w:div>
        <w:div w:id="2024702859">
          <w:marLeft w:val="0"/>
          <w:marRight w:val="0"/>
          <w:marTop w:val="0"/>
          <w:marBottom w:val="0"/>
          <w:divBdr>
            <w:top w:val="none" w:sz="0" w:space="0" w:color="auto"/>
            <w:left w:val="none" w:sz="0" w:space="0" w:color="auto"/>
            <w:bottom w:val="none" w:sz="0" w:space="0" w:color="auto"/>
            <w:right w:val="none" w:sz="0" w:space="0" w:color="auto"/>
          </w:divBdr>
        </w:div>
        <w:div w:id="2024702860">
          <w:marLeft w:val="0"/>
          <w:marRight w:val="0"/>
          <w:marTop w:val="0"/>
          <w:marBottom w:val="0"/>
          <w:divBdr>
            <w:top w:val="none" w:sz="0" w:space="0" w:color="auto"/>
            <w:left w:val="none" w:sz="0" w:space="0" w:color="auto"/>
            <w:bottom w:val="none" w:sz="0" w:space="0" w:color="auto"/>
            <w:right w:val="none" w:sz="0" w:space="0" w:color="auto"/>
          </w:divBdr>
        </w:div>
        <w:div w:id="2024702861">
          <w:marLeft w:val="0"/>
          <w:marRight w:val="0"/>
          <w:marTop w:val="0"/>
          <w:marBottom w:val="0"/>
          <w:divBdr>
            <w:top w:val="none" w:sz="0" w:space="0" w:color="auto"/>
            <w:left w:val="none" w:sz="0" w:space="0" w:color="auto"/>
            <w:bottom w:val="none" w:sz="0" w:space="0" w:color="auto"/>
            <w:right w:val="none" w:sz="0" w:space="0" w:color="auto"/>
          </w:divBdr>
        </w:div>
        <w:div w:id="2024702862">
          <w:marLeft w:val="0"/>
          <w:marRight w:val="0"/>
          <w:marTop w:val="0"/>
          <w:marBottom w:val="0"/>
          <w:divBdr>
            <w:top w:val="none" w:sz="0" w:space="0" w:color="auto"/>
            <w:left w:val="none" w:sz="0" w:space="0" w:color="auto"/>
            <w:bottom w:val="none" w:sz="0" w:space="0" w:color="auto"/>
            <w:right w:val="none" w:sz="0" w:space="0" w:color="auto"/>
          </w:divBdr>
        </w:div>
        <w:div w:id="2024702863">
          <w:marLeft w:val="0"/>
          <w:marRight w:val="0"/>
          <w:marTop w:val="0"/>
          <w:marBottom w:val="0"/>
          <w:divBdr>
            <w:top w:val="none" w:sz="0" w:space="0" w:color="auto"/>
            <w:left w:val="none" w:sz="0" w:space="0" w:color="auto"/>
            <w:bottom w:val="none" w:sz="0" w:space="0" w:color="auto"/>
            <w:right w:val="none" w:sz="0" w:space="0" w:color="auto"/>
          </w:divBdr>
        </w:div>
        <w:div w:id="2024702864">
          <w:marLeft w:val="0"/>
          <w:marRight w:val="0"/>
          <w:marTop w:val="0"/>
          <w:marBottom w:val="0"/>
          <w:divBdr>
            <w:top w:val="none" w:sz="0" w:space="0" w:color="auto"/>
            <w:left w:val="none" w:sz="0" w:space="0" w:color="auto"/>
            <w:bottom w:val="none" w:sz="0" w:space="0" w:color="auto"/>
            <w:right w:val="none" w:sz="0" w:space="0" w:color="auto"/>
          </w:divBdr>
        </w:div>
        <w:div w:id="2024702865">
          <w:marLeft w:val="0"/>
          <w:marRight w:val="0"/>
          <w:marTop w:val="0"/>
          <w:marBottom w:val="0"/>
          <w:divBdr>
            <w:top w:val="none" w:sz="0" w:space="0" w:color="auto"/>
            <w:left w:val="none" w:sz="0" w:space="0" w:color="auto"/>
            <w:bottom w:val="none" w:sz="0" w:space="0" w:color="auto"/>
            <w:right w:val="none" w:sz="0" w:space="0" w:color="auto"/>
          </w:divBdr>
        </w:div>
        <w:div w:id="2024702866">
          <w:marLeft w:val="0"/>
          <w:marRight w:val="0"/>
          <w:marTop w:val="0"/>
          <w:marBottom w:val="0"/>
          <w:divBdr>
            <w:top w:val="none" w:sz="0" w:space="0" w:color="auto"/>
            <w:left w:val="none" w:sz="0" w:space="0" w:color="auto"/>
            <w:bottom w:val="none" w:sz="0" w:space="0" w:color="auto"/>
            <w:right w:val="none" w:sz="0" w:space="0" w:color="auto"/>
          </w:divBdr>
        </w:div>
        <w:div w:id="2024702867">
          <w:marLeft w:val="0"/>
          <w:marRight w:val="0"/>
          <w:marTop w:val="0"/>
          <w:marBottom w:val="0"/>
          <w:divBdr>
            <w:top w:val="none" w:sz="0" w:space="0" w:color="auto"/>
            <w:left w:val="none" w:sz="0" w:space="0" w:color="auto"/>
            <w:bottom w:val="none" w:sz="0" w:space="0" w:color="auto"/>
            <w:right w:val="none" w:sz="0" w:space="0" w:color="auto"/>
          </w:divBdr>
        </w:div>
        <w:div w:id="2024702868">
          <w:marLeft w:val="0"/>
          <w:marRight w:val="0"/>
          <w:marTop w:val="0"/>
          <w:marBottom w:val="0"/>
          <w:divBdr>
            <w:top w:val="none" w:sz="0" w:space="0" w:color="auto"/>
            <w:left w:val="none" w:sz="0" w:space="0" w:color="auto"/>
            <w:bottom w:val="none" w:sz="0" w:space="0" w:color="auto"/>
            <w:right w:val="none" w:sz="0" w:space="0" w:color="auto"/>
          </w:divBdr>
        </w:div>
        <w:div w:id="2024702869">
          <w:marLeft w:val="0"/>
          <w:marRight w:val="0"/>
          <w:marTop w:val="0"/>
          <w:marBottom w:val="0"/>
          <w:divBdr>
            <w:top w:val="none" w:sz="0" w:space="0" w:color="auto"/>
            <w:left w:val="none" w:sz="0" w:space="0" w:color="auto"/>
            <w:bottom w:val="none" w:sz="0" w:space="0" w:color="auto"/>
            <w:right w:val="none" w:sz="0" w:space="0" w:color="auto"/>
          </w:divBdr>
        </w:div>
        <w:div w:id="2024702870">
          <w:marLeft w:val="0"/>
          <w:marRight w:val="0"/>
          <w:marTop w:val="0"/>
          <w:marBottom w:val="0"/>
          <w:divBdr>
            <w:top w:val="none" w:sz="0" w:space="0" w:color="auto"/>
            <w:left w:val="none" w:sz="0" w:space="0" w:color="auto"/>
            <w:bottom w:val="none" w:sz="0" w:space="0" w:color="auto"/>
            <w:right w:val="none" w:sz="0" w:space="0" w:color="auto"/>
          </w:divBdr>
        </w:div>
        <w:div w:id="2024702871">
          <w:marLeft w:val="0"/>
          <w:marRight w:val="0"/>
          <w:marTop w:val="0"/>
          <w:marBottom w:val="0"/>
          <w:divBdr>
            <w:top w:val="none" w:sz="0" w:space="0" w:color="auto"/>
            <w:left w:val="none" w:sz="0" w:space="0" w:color="auto"/>
            <w:bottom w:val="none" w:sz="0" w:space="0" w:color="auto"/>
            <w:right w:val="none" w:sz="0" w:space="0" w:color="auto"/>
          </w:divBdr>
        </w:div>
        <w:div w:id="2024702873">
          <w:marLeft w:val="0"/>
          <w:marRight w:val="0"/>
          <w:marTop w:val="0"/>
          <w:marBottom w:val="0"/>
          <w:divBdr>
            <w:top w:val="none" w:sz="0" w:space="0" w:color="auto"/>
            <w:left w:val="none" w:sz="0" w:space="0" w:color="auto"/>
            <w:bottom w:val="none" w:sz="0" w:space="0" w:color="auto"/>
            <w:right w:val="none" w:sz="0" w:space="0" w:color="auto"/>
          </w:divBdr>
        </w:div>
        <w:div w:id="2024702874">
          <w:marLeft w:val="0"/>
          <w:marRight w:val="0"/>
          <w:marTop w:val="0"/>
          <w:marBottom w:val="0"/>
          <w:divBdr>
            <w:top w:val="none" w:sz="0" w:space="0" w:color="auto"/>
            <w:left w:val="none" w:sz="0" w:space="0" w:color="auto"/>
            <w:bottom w:val="none" w:sz="0" w:space="0" w:color="auto"/>
            <w:right w:val="none" w:sz="0" w:space="0" w:color="auto"/>
          </w:divBdr>
        </w:div>
        <w:div w:id="2024702875">
          <w:marLeft w:val="0"/>
          <w:marRight w:val="0"/>
          <w:marTop w:val="0"/>
          <w:marBottom w:val="0"/>
          <w:divBdr>
            <w:top w:val="none" w:sz="0" w:space="0" w:color="auto"/>
            <w:left w:val="none" w:sz="0" w:space="0" w:color="auto"/>
            <w:bottom w:val="none" w:sz="0" w:space="0" w:color="auto"/>
            <w:right w:val="none" w:sz="0" w:space="0" w:color="auto"/>
          </w:divBdr>
        </w:div>
        <w:div w:id="2024702876">
          <w:marLeft w:val="0"/>
          <w:marRight w:val="0"/>
          <w:marTop w:val="0"/>
          <w:marBottom w:val="0"/>
          <w:divBdr>
            <w:top w:val="none" w:sz="0" w:space="0" w:color="auto"/>
            <w:left w:val="none" w:sz="0" w:space="0" w:color="auto"/>
            <w:bottom w:val="none" w:sz="0" w:space="0" w:color="auto"/>
            <w:right w:val="none" w:sz="0" w:space="0" w:color="auto"/>
          </w:divBdr>
        </w:div>
        <w:div w:id="2024702878">
          <w:marLeft w:val="0"/>
          <w:marRight w:val="0"/>
          <w:marTop w:val="0"/>
          <w:marBottom w:val="0"/>
          <w:divBdr>
            <w:top w:val="none" w:sz="0" w:space="0" w:color="auto"/>
            <w:left w:val="none" w:sz="0" w:space="0" w:color="auto"/>
            <w:bottom w:val="none" w:sz="0" w:space="0" w:color="auto"/>
            <w:right w:val="none" w:sz="0" w:space="0" w:color="auto"/>
          </w:divBdr>
        </w:div>
        <w:div w:id="2024702879">
          <w:marLeft w:val="0"/>
          <w:marRight w:val="0"/>
          <w:marTop w:val="0"/>
          <w:marBottom w:val="0"/>
          <w:divBdr>
            <w:top w:val="none" w:sz="0" w:space="0" w:color="auto"/>
            <w:left w:val="none" w:sz="0" w:space="0" w:color="auto"/>
            <w:bottom w:val="none" w:sz="0" w:space="0" w:color="auto"/>
            <w:right w:val="none" w:sz="0" w:space="0" w:color="auto"/>
          </w:divBdr>
        </w:div>
        <w:div w:id="2024702880">
          <w:marLeft w:val="0"/>
          <w:marRight w:val="0"/>
          <w:marTop w:val="0"/>
          <w:marBottom w:val="0"/>
          <w:divBdr>
            <w:top w:val="none" w:sz="0" w:space="0" w:color="auto"/>
            <w:left w:val="none" w:sz="0" w:space="0" w:color="auto"/>
            <w:bottom w:val="none" w:sz="0" w:space="0" w:color="auto"/>
            <w:right w:val="none" w:sz="0" w:space="0" w:color="auto"/>
          </w:divBdr>
        </w:div>
        <w:div w:id="2024702881">
          <w:marLeft w:val="0"/>
          <w:marRight w:val="0"/>
          <w:marTop w:val="0"/>
          <w:marBottom w:val="0"/>
          <w:divBdr>
            <w:top w:val="none" w:sz="0" w:space="0" w:color="auto"/>
            <w:left w:val="none" w:sz="0" w:space="0" w:color="auto"/>
            <w:bottom w:val="none" w:sz="0" w:space="0" w:color="auto"/>
            <w:right w:val="none" w:sz="0" w:space="0" w:color="auto"/>
          </w:divBdr>
        </w:div>
        <w:div w:id="2024702882">
          <w:marLeft w:val="0"/>
          <w:marRight w:val="0"/>
          <w:marTop w:val="0"/>
          <w:marBottom w:val="0"/>
          <w:divBdr>
            <w:top w:val="none" w:sz="0" w:space="0" w:color="auto"/>
            <w:left w:val="none" w:sz="0" w:space="0" w:color="auto"/>
            <w:bottom w:val="none" w:sz="0" w:space="0" w:color="auto"/>
            <w:right w:val="none" w:sz="0" w:space="0" w:color="auto"/>
          </w:divBdr>
        </w:div>
        <w:div w:id="2024702883">
          <w:marLeft w:val="0"/>
          <w:marRight w:val="0"/>
          <w:marTop w:val="0"/>
          <w:marBottom w:val="0"/>
          <w:divBdr>
            <w:top w:val="none" w:sz="0" w:space="0" w:color="auto"/>
            <w:left w:val="none" w:sz="0" w:space="0" w:color="auto"/>
            <w:bottom w:val="none" w:sz="0" w:space="0" w:color="auto"/>
            <w:right w:val="none" w:sz="0" w:space="0" w:color="auto"/>
          </w:divBdr>
        </w:div>
        <w:div w:id="2024702884">
          <w:marLeft w:val="0"/>
          <w:marRight w:val="0"/>
          <w:marTop w:val="0"/>
          <w:marBottom w:val="0"/>
          <w:divBdr>
            <w:top w:val="none" w:sz="0" w:space="0" w:color="auto"/>
            <w:left w:val="none" w:sz="0" w:space="0" w:color="auto"/>
            <w:bottom w:val="none" w:sz="0" w:space="0" w:color="auto"/>
            <w:right w:val="none" w:sz="0" w:space="0" w:color="auto"/>
          </w:divBdr>
        </w:div>
        <w:div w:id="2024702885">
          <w:marLeft w:val="0"/>
          <w:marRight w:val="0"/>
          <w:marTop w:val="0"/>
          <w:marBottom w:val="0"/>
          <w:divBdr>
            <w:top w:val="none" w:sz="0" w:space="0" w:color="auto"/>
            <w:left w:val="none" w:sz="0" w:space="0" w:color="auto"/>
            <w:bottom w:val="none" w:sz="0" w:space="0" w:color="auto"/>
            <w:right w:val="none" w:sz="0" w:space="0" w:color="auto"/>
          </w:divBdr>
        </w:div>
        <w:div w:id="2024702886">
          <w:marLeft w:val="0"/>
          <w:marRight w:val="0"/>
          <w:marTop w:val="0"/>
          <w:marBottom w:val="0"/>
          <w:divBdr>
            <w:top w:val="none" w:sz="0" w:space="0" w:color="auto"/>
            <w:left w:val="none" w:sz="0" w:space="0" w:color="auto"/>
            <w:bottom w:val="none" w:sz="0" w:space="0" w:color="auto"/>
            <w:right w:val="none" w:sz="0" w:space="0" w:color="auto"/>
          </w:divBdr>
        </w:div>
        <w:div w:id="2024702887">
          <w:marLeft w:val="0"/>
          <w:marRight w:val="0"/>
          <w:marTop w:val="0"/>
          <w:marBottom w:val="0"/>
          <w:divBdr>
            <w:top w:val="none" w:sz="0" w:space="0" w:color="auto"/>
            <w:left w:val="none" w:sz="0" w:space="0" w:color="auto"/>
            <w:bottom w:val="none" w:sz="0" w:space="0" w:color="auto"/>
            <w:right w:val="none" w:sz="0" w:space="0" w:color="auto"/>
          </w:divBdr>
        </w:div>
        <w:div w:id="2024702888">
          <w:marLeft w:val="0"/>
          <w:marRight w:val="0"/>
          <w:marTop w:val="0"/>
          <w:marBottom w:val="0"/>
          <w:divBdr>
            <w:top w:val="none" w:sz="0" w:space="0" w:color="auto"/>
            <w:left w:val="none" w:sz="0" w:space="0" w:color="auto"/>
            <w:bottom w:val="none" w:sz="0" w:space="0" w:color="auto"/>
            <w:right w:val="none" w:sz="0" w:space="0" w:color="auto"/>
          </w:divBdr>
        </w:div>
        <w:div w:id="2024702889">
          <w:marLeft w:val="0"/>
          <w:marRight w:val="0"/>
          <w:marTop w:val="0"/>
          <w:marBottom w:val="0"/>
          <w:divBdr>
            <w:top w:val="none" w:sz="0" w:space="0" w:color="auto"/>
            <w:left w:val="none" w:sz="0" w:space="0" w:color="auto"/>
            <w:bottom w:val="none" w:sz="0" w:space="0" w:color="auto"/>
            <w:right w:val="none" w:sz="0" w:space="0" w:color="auto"/>
          </w:divBdr>
        </w:div>
        <w:div w:id="2024702890">
          <w:marLeft w:val="0"/>
          <w:marRight w:val="0"/>
          <w:marTop w:val="0"/>
          <w:marBottom w:val="0"/>
          <w:divBdr>
            <w:top w:val="none" w:sz="0" w:space="0" w:color="auto"/>
            <w:left w:val="none" w:sz="0" w:space="0" w:color="auto"/>
            <w:bottom w:val="none" w:sz="0" w:space="0" w:color="auto"/>
            <w:right w:val="none" w:sz="0" w:space="0" w:color="auto"/>
          </w:divBdr>
        </w:div>
        <w:div w:id="2024702891">
          <w:marLeft w:val="0"/>
          <w:marRight w:val="0"/>
          <w:marTop w:val="0"/>
          <w:marBottom w:val="0"/>
          <w:divBdr>
            <w:top w:val="none" w:sz="0" w:space="0" w:color="auto"/>
            <w:left w:val="none" w:sz="0" w:space="0" w:color="auto"/>
            <w:bottom w:val="none" w:sz="0" w:space="0" w:color="auto"/>
            <w:right w:val="none" w:sz="0" w:space="0" w:color="auto"/>
          </w:divBdr>
        </w:div>
        <w:div w:id="2024702892">
          <w:marLeft w:val="0"/>
          <w:marRight w:val="0"/>
          <w:marTop w:val="0"/>
          <w:marBottom w:val="0"/>
          <w:divBdr>
            <w:top w:val="none" w:sz="0" w:space="0" w:color="auto"/>
            <w:left w:val="none" w:sz="0" w:space="0" w:color="auto"/>
            <w:bottom w:val="none" w:sz="0" w:space="0" w:color="auto"/>
            <w:right w:val="none" w:sz="0" w:space="0" w:color="auto"/>
          </w:divBdr>
        </w:div>
        <w:div w:id="2024702893">
          <w:marLeft w:val="0"/>
          <w:marRight w:val="0"/>
          <w:marTop w:val="0"/>
          <w:marBottom w:val="0"/>
          <w:divBdr>
            <w:top w:val="none" w:sz="0" w:space="0" w:color="auto"/>
            <w:left w:val="none" w:sz="0" w:space="0" w:color="auto"/>
            <w:bottom w:val="none" w:sz="0" w:space="0" w:color="auto"/>
            <w:right w:val="none" w:sz="0" w:space="0" w:color="auto"/>
          </w:divBdr>
        </w:div>
        <w:div w:id="2024702894">
          <w:marLeft w:val="0"/>
          <w:marRight w:val="0"/>
          <w:marTop w:val="0"/>
          <w:marBottom w:val="0"/>
          <w:divBdr>
            <w:top w:val="none" w:sz="0" w:space="0" w:color="auto"/>
            <w:left w:val="none" w:sz="0" w:space="0" w:color="auto"/>
            <w:bottom w:val="none" w:sz="0" w:space="0" w:color="auto"/>
            <w:right w:val="none" w:sz="0" w:space="0" w:color="auto"/>
          </w:divBdr>
        </w:div>
        <w:div w:id="2024702895">
          <w:marLeft w:val="0"/>
          <w:marRight w:val="0"/>
          <w:marTop w:val="0"/>
          <w:marBottom w:val="0"/>
          <w:divBdr>
            <w:top w:val="none" w:sz="0" w:space="0" w:color="auto"/>
            <w:left w:val="none" w:sz="0" w:space="0" w:color="auto"/>
            <w:bottom w:val="none" w:sz="0" w:space="0" w:color="auto"/>
            <w:right w:val="none" w:sz="0" w:space="0" w:color="auto"/>
          </w:divBdr>
        </w:div>
        <w:div w:id="2024702896">
          <w:marLeft w:val="0"/>
          <w:marRight w:val="0"/>
          <w:marTop w:val="0"/>
          <w:marBottom w:val="0"/>
          <w:divBdr>
            <w:top w:val="none" w:sz="0" w:space="0" w:color="auto"/>
            <w:left w:val="none" w:sz="0" w:space="0" w:color="auto"/>
            <w:bottom w:val="none" w:sz="0" w:space="0" w:color="auto"/>
            <w:right w:val="none" w:sz="0" w:space="0" w:color="auto"/>
          </w:divBdr>
        </w:div>
        <w:div w:id="2024702897">
          <w:marLeft w:val="0"/>
          <w:marRight w:val="0"/>
          <w:marTop w:val="0"/>
          <w:marBottom w:val="0"/>
          <w:divBdr>
            <w:top w:val="none" w:sz="0" w:space="0" w:color="auto"/>
            <w:left w:val="none" w:sz="0" w:space="0" w:color="auto"/>
            <w:bottom w:val="none" w:sz="0" w:space="0" w:color="auto"/>
            <w:right w:val="none" w:sz="0" w:space="0" w:color="auto"/>
          </w:divBdr>
        </w:div>
        <w:div w:id="2024702898">
          <w:marLeft w:val="0"/>
          <w:marRight w:val="0"/>
          <w:marTop w:val="0"/>
          <w:marBottom w:val="0"/>
          <w:divBdr>
            <w:top w:val="none" w:sz="0" w:space="0" w:color="auto"/>
            <w:left w:val="none" w:sz="0" w:space="0" w:color="auto"/>
            <w:bottom w:val="none" w:sz="0" w:space="0" w:color="auto"/>
            <w:right w:val="none" w:sz="0" w:space="0" w:color="auto"/>
          </w:divBdr>
        </w:div>
        <w:div w:id="2024702899">
          <w:marLeft w:val="0"/>
          <w:marRight w:val="0"/>
          <w:marTop w:val="0"/>
          <w:marBottom w:val="0"/>
          <w:divBdr>
            <w:top w:val="none" w:sz="0" w:space="0" w:color="auto"/>
            <w:left w:val="none" w:sz="0" w:space="0" w:color="auto"/>
            <w:bottom w:val="none" w:sz="0" w:space="0" w:color="auto"/>
            <w:right w:val="none" w:sz="0" w:space="0" w:color="auto"/>
          </w:divBdr>
        </w:div>
        <w:div w:id="2024702900">
          <w:marLeft w:val="0"/>
          <w:marRight w:val="0"/>
          <w:marTop w:val="0"/>
          <w:marBottom w:val="0"/>
          <w:divBdr>
            <w:top w:val="none" w:sz="0" w:space="0" w:color="auto"/>
            <w:left w:val="none" w:sz="0" w:space="0" w:color="auto"/>
            <w:bottom w:val="none" w:sz="0" w:space="0" w:color="auto"/>
            <w:right w:val="none" w:sz="0" w:space="0" w:color="auto"/>
          </w:divBdr>
        </w:div>
        <w:div w:id="2024702901">
          <w:marLeft w:val="0"/>
          <w:marRight w:val="0"/>
          <w:marTop w:val="0"/>
          <w:marBottom w:val="0"/>
          <w:divBdr>
            <w:top w:val="none" w:sz="0" w:space="0" w:color="auto"/>
            <w:left w:val="none" w:sz="0" w:space="0" w:color="auto"/>
            <w:bottom w:val="none" w:sz="0" w:space="0" w:color="auto"/>
            <w:right w:val="none" w:sz="0" w:space="0" w:color="auto"/>
          </w:divBdr>
        </w:div>
        <w:div w:id="2024702902">
          <w:marLeft w:val="0"/>
          <w:marRight w:val="0"/>
          <w:marTop w:val="0"/>
          <w:marBottom w:val="0"/>
          <w:divBdr>
            <w:top w:val="none" w:sz="0" w:space="0" w:color="auto"/>
            <w:left w:val="none" w:sz="0" w:space="0" w:color="auto"/>
            <w:bottom w:val="none" w:sz="0" w:space="0" w:color="auto"/>
            <w:right w:val="none" w:sz="0" w:space="0" w:color="auto"/>
          </w:divBdr>
        </w:div>
        <w:div w:id="2024702903">
          <w:marLeft w:val="0"/>
          <w:marRight w:val="0"/>
          <w:marTop w:val="0"/>
          <w:marBottom w:val="0"/>
          <w:divBdr>
            <w:top w:val="none" w:sz="0" w:space="0" w:color="auto"/>
            <w:left w:val="none" w:sz="0" w:space="0" w:color="auto"/>
            <w:bottom w:val="none" w:sz="0" w:space="0" w:color="auto"/>
            <w:right w:val="none" w:sz="0" w:space="0" w:color="auto"/>
          </w:divBdr>
        </w:div>
        <w:div w:id="2024702904">
          <w:marLeft w:val="0"/>
          <w:marRight w:val="0"/>
          <w:marTop w:val="0"/>
          <w:marBottom w:val="0"/>
          <w:divBdr>
            <w:top w:val="none" w:sz="0" w:space="0" w:color="auto"/>
            <w:left w:val="none" w:sz="0" w:space="0" w:color="auto"/>
            <w:bottom w:val="none" w:sz="0" w:space="0" w:color="auto"/>
            <w:right w:val="none" w:sz="0" w:space="0" w:color="auto"/>
          </w:divBdr>
        </w:div>
        <w:div w:id="2024702905">
          <w:marLeft w:val="0"/>
          <w:marRight w:val="0"/>
          <w:marTop w:val="0"/>
          <w:marBottom w:val="0"/>
          <w:divBdr>
            <w:top w:val="none" w:sz="0" w:space="0" w:color="auto"/>
            <w:left w:val="none" w:sz="0" w:space="0" w:color="auto"/>
            <w:bottom w:val="none" w:sz="0" w:space="0" w:color="auto"/>
            <w:right w:val="none" w:sz="0" w:space="0" w:color="auto"/>
          </w:divBdr>
        </w:div>
        <w:div w:id="2024702907">
          <w:marLeft w:val="0"/>
          <w:marRight w:val="0"/>
          <w:marTop w:val="0"/>
          <w:marBottom w:val="0"/>
          <w:divBdr>
            <w:top w:val="none" w:sz="0" w:space="0" w:color="auto"/>
            <w:left w:val="none" w:sz="0" w:space="0" w:color="auto"/>
            <w:bottom w:val="none" w:sz="0" w:space="0" w:color="auto"/>
            <w:right w:val="none" w:sz="0" w:space="0" w:color="auto"/>
          </w:divBdr>
        </w:div>
        <w:div w:id="2024702908">
          <w:marLeft w:val="0"/>
          <w:marRight w:val="0"/>
          <w:marTop w:val="0"/>
          <w:marBottom w:val="0"/>
          <w:divBdr>
            <w:top w:val="none" w:sz="0" w:space="0" w:color="auto"/>
            <w:left w:val="none" w:sz="0" w:space="0" w:color="auto"/>
            <w:bottom w:val="none" w:sz="0" w:space="0" w:color="auto"/>
            <w:right w:val="none" w:sz="0" w:space="0" w:color="auto"/>
          </w:divBdr>
        </w:div>
        <w:div w:id="2024702909">
          <w:marLeft w:val="0"/>
          <w:marRight w:val="0"/>
          <w:marTop w:val="0"/>
          <w:marBottom w:val="0"/>
          <w:divBdr>
            <w:top w:val="none" w:sz="0" w:space="0" w:color="auto"/>
            <w:left w:val="none" w:sz="0" w:space="0" w:color="auto"/>
            <w:bottom w:val="none" w:sz="0" w:space="0" w:color="auto"/>
            <w:right w:val="none" w:sz="0" w:space="0" w:color="auto"/>
          </w:divBdr>
        </w:div>
        <w:div w:id="2024702910">
          <w:marLeft w:val="0"/>
          <w:marRight w:val="0"/>
          <w:marTop w:val="0"/>
          <w:marBottom w:val="0"/>
          <w:divBdr>
            <w:top w:val="none" w:sz="0" w:space="0" w:color="auto"/>
            <w:left w:val="none" w:sz="0" w:space="0" w:color="auto"/>
            <w:bottom w:val="none" w:sz="0" w:space="0" w:color="auto"/>
            <w:right w:val="none" w:sz="0" w:space="0" w:color="auto"/>
          </w:divBdr>
        </w:div>
        <w:div w:id="2024702911">
          <w:marLeft w:val="0"/>
          <w:marRight w:val="0"/>
          <w:marTop w:val="0"/>
          <w:marBottom w:val="0"/>
          <w:divBdr>
            <w:top w:val="none" w:sz="0" w:space="0" w:color="auto"/>
            <w:left w:val="none" w:sz="0" w:space="0" w:color="auto"/>
            <w:bottom w:val="none" w:sz="0" w:space="0" w:color="auto"/>
            <w:right w:val="none" w:sz="0" w:space="0" w:color="auto"/>
          </w:divBdr>
        </w:div>
        <w:div w:id="2024702912">
          <w:marLeft w:val="0"/>
          <w:marRight w:val="0"/>
          <w:marTop w:val="0"/>
          <w:marBottom w:val="0"/>
          <w:divBdr>
            <w:top w:val="none" w:sz="0" w:space="0" w:color="auto"/>
            <w:left w:val="none" w:sz="0" w:space="0" w:color="auto"/>
            <w:bottom w:val="none" w:sz="0" w:space="0" w:color="auto"/>
            <w:right w:val="none" w:sz="0" w:space="0" w:color="auto"/>
          </w:divBdr>
        </w:div>
        <w:div w:id="2024702914">
          <w:marLeft w:val="0"/>
          <w:marRight w:val="0"/>
          <w:marTop w:val="0"/>
          <w:marBottom w:val="0"/>
          <w:divBdr>
            <w:top w:val="none" w:sz="0" w:space="0" w:color="auto"/>
            <w:left w:val="none" w:sz="0" w:space="0" w:color="auto"/>
            <w:bottom w:val="none" w:sz="0" w:space="0" w:color="auto"/>
            <w:right w:val="none" w:sz="0" w:space="0" w:color="auto"/>
          </w:divBdr>
        </w:div>
        <w:div w:id="2024702915">
          <w:marLeft w:val="0"/>
          <w:marRight w:val="0"/>
          <w:marTop w:val="0"/>
          <w:marBottom w:val="0"/>
          <w:divBdr>
            <w:top w:val="none" w:sz="0" w:space="0" w:color="auto"/>
            <w:left w:val="none" w:sz="0" w:space="0" w:color="auto"/>
            <w:bottom w:val="none" w:sz="0" w:space="0" w:color="auto"/>
            <w:right w:val="none" w:sz="0" w:space="0" w:color="auto"/>
          </w:divBdr>
        </w:div>
        <w:div w:id="2024702916">
          <w:marLeft w:val="0"/>
          <w:marRight w:val="0"/>
          <w:marTop w:val="0"/>
          <w:marBottom w:val="0"/>
          <w:divBdr>
            <w:top w:val="none" w:sz="0" w:space="0" w:color="auto"/>
            <w:left w:val="none" w:sz="0" w:space="0" w:color="auto"/>
            <w:bottom w:val="none" w:sz="0" w:space="0" w:color="auto"/>
            <w:right w:val="none" w:sz="0" w:space="0" w:color="auto"/>
          </w:divBdr>
        </w:div>
        <w:div w:id="2024702917">
          <w:marLeft w:val="0"/>
          <w:marRight w:val="0"/>
          <w:marTop w:val="0"/>
          <w:marBottom w:val="0"/>
          <w:divBdr>
            <w:top w:val="none" w:sz="0" w:space="0" w:color="auto"/>
            <w:left w:val="none" w:sz="0" w:space="0" w:color="auto"/>
            <w:bottom w:val="none" w:sz="0" w:space="0" w:color="auto"/>
            <w:right w:val="none" w:sz="0" w:space="0" w:color="auto"/>
          </w:divBdr>
        </w:div>
        <w:div w:id="2024702918">
          <w:marLeft w:val="0"/>
          <w:marRight w:val="0"/>
          <w:marTop w:val="0"/>
          <w:marBottom w:val="0"/>
          <w:divBdr>
            <w:top w:val="none" w:sz="0" w:space="0" w:color="auto"/>
            <w:left w:val="none" w:sz="0" w:space="0" w:color="auto"/>
            <w:bottom w:val="none" w:sz="0" w:space="0" w:color="auto"/>
            <w:right w:val="none" w:sz="0" w:space="0" w:color="auto"/>
          </w:divBdr>
        </w:div>
        <w:div w:id="2024702919">
          <w:marLeft w:val="0"/>
          <w:marRight w:val="0"/>
          <w:marTop w:val="0"/>
          <w:marBottom w:val="0"/>
          <w:divBdr>
            <w:top w:val="none" w:sz="0" w:space="0" w:color="auto"/>
            <w:left w:val="none" w:sz="0" w:space="0" w:color="auto"/>
            <w:bottom w:val="none" w:sz="0" w:space="0" w:color="auto"/>
            <w:right w:val="none" w:sz="0" w:space="0" w:color="auto"/>
          </w:divBdr>
        </w:div>
        <w:div w:id="2024702920">
          <w:marLeft w:val="0"/>
          <w:marRight w:val="0"/>
          <w:marTop w:val="0"/>
          <w:marBottom w:val="0"/>
          <w:divBdr>
            <w:top w:val="none" w:sz="0" w:space="0" w:color="auto"/>
            <w:left w:val="none" w:sz="0" w:space="0" w:color="auto"/>
            <w:bottom w:val="none" w:sz="0" w:space="0" w:color="auto"/>
            <w:right w:val="none" w:sz="0" w:space="0" w:color="auto"/>
          </w:divBdr>
        </w:div>
        <w:div w:id="2024702921">
          <w:marLeft w:val="0"/>
          <w:marRight w:val="0"/>
          <w:marTop w:val="0"/>
          <w:marBottom w:val="0"/>
          <w:divBdr>
            <w:top w:val="none" w:sz="0" w:space="0" w:color="auto"/>
            <w:left w:val="none" w:sz="0" w:space="0" w:color="auto"/>
            <w:bottom w:val="none" w:sz="0" w:space="0" w:color="auto"/>
            <w:right w:val="none" w:sz="0" w:space="0" w:color="auto"/>
          </w:divBdr>
        </w:div>
        <w:div w:id="2024702922">
          <w:marLeft w:val="0"/>
          <w:marRight w:val="0"/>
          <w:marTop w:val="0"/>
          <w:marBottom w:val="0"/>
          <w:divBdr>
            <w:top w:val="none" w:sz="0" w:space="0" w:color="auto"/>
            <w:left w:val="none" w:sz="0" w:space="0" w:color="auto"/>
            <w:bottom w:val="none" w:sz="0" w:space="0" w:color="auto"/>
            <w:right w:val="none" w:sz="0" w:space="0" w:color="auto"/>
          </w:divBdr>
        </w:div>
        <w:div w:id="2024702923">
          <w:marLeft w:val="0"/>
          <w:marRight w:val="0"/>
          <w:marTop w:val="0"/>
          <w:marBottom w:val="0"/>
          <w:divBdr>
            <w:top w:val="none" w:sz="0" w:space="0" w:color="auto"/>
            <w:left w:val="none" w:sz="0" w:space="0" w:color="auto"/>
            <w:bottom w:val="none" w:sz="0" w:space="0" w:color="auto"/>
            <w:right w:val="none" w:sz="0" w:space="0" w:color="auto"/>
          </w:divBdr>
        </w:div>
        <w:div w:id="2024702924">
          <w:marLeft w:val="0"/>
          <w:marRight w:val="0"/>
          <w:marTop w:val="0"/>
          <w:marBottom w:val="0"/>
          <w:divBdr>
            <w:top w:val="none" w:sz="0" w:space="0" w:color="auto"/>
            <w:left w:val="none" w:sz="0" w:space="0" w:color="auto"/>
            <w:bottom w:val="none" w:sz="0" w:space="0" w:color="auto"/>
            <w:right w:val="none" w:sz="0" w:space="0" w:color="auto"/>
          </w:divBdr>
        </w:div>
        <w:div w:id="2024702925">
          <w:marLeft w:val="0"/>
          <w:marRight w:val="0"/>
          <w:marTop w:val="0"/>
          <w:marBottom w:val="0"/>
          <w:divBdr>
            <w:top w:val="none" w:sz="0" w:space="0" w:color="auto"/>
            <w:left w:val="none" w:sz="0" w:space="0" w:color="auto"/>
            <w:bottom w:val="none" w:sz="0" w:space="0" w:color="auto"/>
            <w:right w:val="none" w:sz="0" w:space="0" w:color="auto"/>
          </w:divBdr>
        </w:div>
        <w:div w:id="2024702926">
          <w:marLeft w:val="0"/>
          <w:marRight w:val="0"/>
          <w:marTop w:val="0"/>
          <w:marBottom w:val="0"/>
          <w:divBdr>
            <w:top w:val="none" w:sz="0" w:space="0" w:color="auto"/>
            <w:left w:val="none" w:sz="0" w:space="0" w:color="auto"/>
            <w:bottom w:val="none" w:sz="0" w:space="0" w:color="auto"/>
            <w:right w:val="none" w:sz="0" w:space="0" w:color="auto"/>
          </w:divBdr>
        </w:div>
        <w:div w:id="2024702927">
          <w:marLeft w:val="0"/>
          <w:marRight w:val="0"/>
          <w:marTop w:val="0"/>
          <w:marBottom w:val="0"/>
          <w:divBdr>
            <w:top w:val="none" w:sz="0" w:space="0" w:color="auto"/>
            <w:left w:val="none" w:sz="0" w:space="0" w:color="auto"/>
            <w:bottom w:val="none" w:sz="0" w:space="0" w:color="auto"/>
            <w:right w:val="none" w:sz="0" w:space="0" w:color="auto"/>
          </w:divBdr>
        </w:div>
        <w:div w:id="2024702928">
          <w:marLeft w:val="0"/>
          <w:marRight w:val="0"/>
          <w:marTop w:val="0"/>
          <w:marBottom w:val="0"/>
          <w:divBdr>
            <w:top w:val="none" w:sz="0" w:space="0" w:color="auto"/>
            <w:left w:val="none" w:sz="0" w:space="0" w:color="auto"/>
            <w:bottom w:val="none" w:sz="0" w:space="0" w:color="auto"/>
            <w:right w:val="none" w:sz="0" w:space="0" w:color="auto"/>
          </w:divBdr>
        </w:div>
        <w:div w:id="2024702929">
          <w:marLeft w:val="0"/>
          <w:marRight w:val="0"/>
          <w:marTop w:val="0"/>
          <w:marBottom w:val="0"/>
          <w:divBdr>
            <w:top w:val="none" w:sz="0" w:space="0" w:color="auto"/>
            <w:left w:val="none" w:sz="0" w:space="0" w:color="auto"/>
            <w:bottom w:val="none" w:sz="0" w:space="0" w:color="auto"/>
            <w:right w:val="none" w:sz="0" w:space="0" w:color="auto"/>
          </w:divBdr>
        </w:div>
        <w:div w:id="2024702930">
          <w:marLeft w:val="0"/>
          <w:marRight w:val="0"/>
          <w:marTop w:val="0"/>
          <w:marBottom w:val="0"/>
          <w:divBdr>
            <w:top w:val="none" w:sz="0" w:space="0" w:color="auto"/>
            <w:left w:val="none" w:sz="0" w:space="0" w:color="auto"/>
            <w:bottom w:val="none" w:sz="0" w:space="0" w:color="auto"/>
            <w:right w:val="none" w:sz="0" w:space="0" w:color="auto"/>
          </w:divBdr>
        </w:div>
        <w:div w:id="2024702931">
          <w:marLeft w:val="0"/>
          <w:marRight w:val="0"/>
          <w:marTop w:val="0"/>
          <w:marBottom w:val="0"/>
          <w:divBdr>
            <w:top w:val="none" w:sz="0" w:space="0" w:color="auto"/>
            <w:left w:val="none" w:sz="0" w:space="0" w:color="auto"/>
            <w:bottom w:val="none" w:sz="0" w:space="0" w:color="auto"/>
            <w:right w:val="none" w:sz="0" w:space="0" w:color="auto"/>
          </w:divBdr>
        </w:div>
        <w:div w:id="2024702932">
          <w:marLeft w:val="0"/>
          <w:marRight w:val="0"/>
          <w:marTop w:val="0"/>
          <w:marBottom w:val="0"/>
          <w:divBdr>
            <w:top w:val="none" w:sz="0" w:space="0" w:color="auto"/>
            <w:left w:val="none" w:sz="0" w:space="0" w:color="auto"/>
            <w:bottom w:val="none" w:sz="0" w:space="0" w:color="auto"/>
            <w:right w:val="none" w:sz="0" w:space="0" w:color="auto"/>
          </w:divBdr>
        </w:div>
        <w:div w:id="2024702933">
          <w:marLeft w:val="0"/>
          <w:marRight w:val="0"/>
          <w:marTop w:val="0"/>
          <w:marBottom w:val="0"/>
          <w:divBdr>
            <w:top w:val="none" w:sz="0" w:space="0" w:color="auto"/>
            <w:left w:val="none" w:sz="0" w:space="0" w:color="auto"/>
            <w:bottom w:val="none" w:sz="0" w:space="0" w:color="auto"/>
            <w:right w:val="none" w:sz="0" w:space="0" w:color="auto"/>
          </w:divBdr>
        </w:div>
        <w:div w:id="2024702934">
          <w:marLeft w:val="0"/>
          <w:marRight w:val="0"/>
          <w:marTop w:val="0"/>
          <w:marBottom w:val="0"/>
          <w:divBdr>
            <w:top w:val="none" w:sz="0" w:space="0" w:color="auto"/>
            <w:left w:val="none" w:sz="0" w:space="0" w:color="auto"/>
            <w:bottom w:val="none" w:sz="0" w:space="0" w:color="auto"/>
            <w:right w:val="none" w:sz="0" w:space="0" w:color="auto"/>
          </w:divBdr>
        </w:div>
        <w:div w:id="2024702935">
          <w:marLeft w:val="0"/>
          <w:marRight w:val="0"/>
          <w:marTop w:val="0"/>
          <w:marBottom w:val="0"/>
          <w:divBdr>
            <w:top w:val="none" w:sz="0" w:space="0" w:color="auto"/>
            <w:left w:val="none" w:sz="0" w:space="0" w:color="auto"/>
            <w:bottom w:val="none" w:sz="0" w:space="0" w:color="auto"/>
            <w:right w:val="none" w:sz="0" w:space="0" w:color="auto"/>
          </w:divBdr>
        </w:div>
        <w:div w:id="2024702936">
          <w:marLeft w:val="0"/>
          <w:marRight w:val="0"/>
          <w:marTop w:val="0"/>
          <w:marBottom w:val="0"/>
          <w:divBdr>
            <w:top w:val="none" w:sz="0" w:space="0" w:color="auto"/>
            <w:left w:val="none" w:sz="0" w:space="0" w:color="auto"/>
            <w:bottom w:val="none" w:sz="0" w:space="0" w:color="auto"/>
            <w:right w:val="none" w:sz="0" w:space="0" w:color="auto"/>
          </w:divBdr>
        </w:div>
        <w:div w:id="2024702937">
          <w:marLeft w:val="0"/>
          <w:marRight w:val="0"/>
          <w:marTop w:val="0"/>
          <w:marBottom w:val="0"/>
          <w:divBdr>
            <w:top w:val="none" w:sz="0" w:space="0" w:color="auto"/>
            <w:left w:val="none" w:sz="0" w:space="0" w:color="auto"/>
            <w:bottom w:val="none" w:sz="0" w:space="0" w:color="auto"/>
            <w:right w:val="none" w:sz="0" w:space="0" w:color="auto"/>
          </w:divBdr>
        </w:div>
        <w:div w:id="2024702938">
          <w:marLeft w:val="0"/>
          <w:marRight w:val="0"/>
          <w:marTop w:val="0"/>
          <w:marBottom w:val="0"/>
          <w:divBdr>
            <w:top w:val="none" w:sz="0" w:space="0" w:color="auto"/>
            <w:left w:val="none" w:sz="0" w:space="0" w:color="auto"/>
            <w:bottom w:val="none" w:sz="0" w:space="0" w:color="auto"/>
            <w:right w:val="none" w:sz="0" w:space="0" w:color="auto"/>
          </w:divBdr>
        </w:div>
        <w:div w:id="2024702939">
          <w:marLeft w:val="0"/>
          <w:marRight w:val="0"/>
          <w:marTop w:val="0"/>
          <w:marBottom w:val="0"/>
          <w:divBdr>
            <w:top w:val="none" w:sz="0" w:space="0" w:color="auto"/>
            <w:left w:val="none" w:sz="0" w:space="0" w:color="auto"/>
            <w:bottom w:val="none" w:sz="0" w:space="0" w:color="auto"/>
            <w:right w:val="none" w:sz="0" w:space="0" w:color="auto"/>
          </w:divBdr>
        </w:div>
        <w:div w:id="2024702940">
          <w:marLeft w:val="0"/>
          <w:marRight w:val="0"/>
          <w:marTop w:val="0"/>
          <w:marBottom w:val="0"/>
          <w:divBdr>
            <w:top w:val="none" w:sz="0" w:space="0" w:color="auto"/>
            <w:left w:val="none" w:sz="0" w:space="0" w:color="auto"/>
            <w:bottom w:val="none" w:sz="0" w:space="0" w:color="auto"/>
            <w:right w:val="none" w:sz="0" w:space="0" w:color="auto"/>
          </w:divBdr>
        </w:div>
        <w:div w:id="2024702941">
          <w:marLeft w:val="0"/>
          <w:marRight w:val="0"/>
          <w:marTop w:val="0"/>
          <w:marBottom w:val="0"/>
          <w:divBdr>
            <w:top w:val="none" w:sz="0" w:space="0" w:color="auto"/>
            <w:left w:val="none" w:sz="0" w:space="0" w:color="auto"/>
            <w:bottom w:val="none" w:sz="0" w:space="0" w:color="auto"/>
            <w:right w:val="none" w:sz="0" w:space="0" w:color="auto"/>
          </w:divBdr>
        </w:div>
        <w:div w:id="2024702942">
          <w:marLeft w:val="0"/>
          <w:marRight w:val="0"/>
          <w:marTop w:val="0"/>
          <w:marBottom w:val="0"/>
          <w:divBdr>
            <w:top w:val="none" w:sz="0" w:space="0" w:color="auto"/>
            <w:left w:val="none" w:sz="0" w:space="0" w:color="auto"/>
            <w:bottom w:val="none" w:sz="0" w:space="0" w:color="auto"/>
            <w:right w:val="none" w:sz="0" w:space="0" w:color="auto"/>
          </w:divBdr>
        </w:div>
        <w:div w:id="2024702943">
          <w:marLeft w:val="0"/>
          <w:marRight w:val="0"/>
          <w:marTop w:val="0"/>
          <w:marBottom w:val="0"/>
          <w:divBdr>
            <w:top w:val="none" w:sz="0" w:space="0" w:color="auto"/>
            <w:left w:val="none" w:sz="0" w:space="0" w:color="auto"/>
            <w:bottom w:val="none" w:sz="0" w:space="0" w:color="auto"/>
            <w:right w:val="none" w:sz="0" w:space="0" w:color="auto"/>
          </w:divBdr>
        </w:div>
        <w:div w:id="2024702944">
          <w:marLeft w:val="0"/>
          <w:marRight w:val="0"/>
          <w:marTop w:val="0"/>
          <w:marBottom w:val="0"/>
          <w:divBdr>
            <w:top w:val="none" w:sz="0" w:space="0" w:color="auto"/>
            <w:left w:val="none" w:sz="0" w:space="0" w:color="auto"/>
            <w:bottom w:val="none" w:sz="0" w:space="0" w:color="auto"/>
            <w:right w:val="none" w:sz="0" w:space="0" w:color="auto"/>
          </w:divBdr>
        </w:div>
        <w:div w:id="2024702945">
          <w:marLeft w:val="0"/>
          <w:marRight w:val="0"/>
          <w:marTop w:val="0"/>
          <w:marBottom w:val="0"/>
          <w:divBdr>
            <w:top w:val="none" w:sz="0" w:space="0" w:color="auto"/>
            <w:left w:val="none" w:sz="0" w:space="0" w:color="auto"/>
            <w:bottom w:val="none" w:sz="0" w:space="0" w:color="auto"/>
            <w:right w:val="none" w:sz="0" w:space="0" w:color="auto"/>
          </w:divBdr>
        </w:div>
        <w:div w:id="2024702946">
          <w:marLeft w:val="0"/>
          <w:marRight w:val="0"/>
          <w:marTop w:val="0"/>
          <w:marBottom w:val="0"/>
          <w:divBdr>
            <w:top w:val="none" w:sz="0" w:space="0" w:color="auto"/>
            <w:left w:val="none" w:sz="0" w:space="0" w:color="auto"/>
            <w:bottom w:val="none" w:sz="0" w:space="0" w:color="auto"/>
            <w:right w:val="none" w:sz="0" w:space="0" w:color="auto"/>
          </w:divBdr>
        </w:div>
        <w:div w:id="2024702947">
          <w:marLeft w:val="0"/>
          <w:marRight w:val="0"/>
          <w:marTop w:val="0"/>
          <w:marBottom w:val="0"/>
          <w:divBdr>
            <w:top w:val="none" w:sz="0" w:space="0" w:color="auto"/>
            <w:left w:val="none" w:sz="0" w:space="0" w:color="auto"/>
            <w:bottom w:val="none" w:sz="0" w:space="0" w:color="auto"/>
            <w:right w:val="none" w:sz="0" w:space="0" w:color="auto"/>
          </w:divBdr>
        </w:div>
        <w:div w:id="2024702948">
          <w:marLeft w:val="0"/>
          <w:marRight w:val="0"/>
          <w:marTop w:val="0"/>
          <w:marBottom w:val="0"/>
          <w:divBdr>
            <w:top w:val="none" w:sz="0" w:space="0" w:color="auto"/>
            <w:left w:val="none" w:sz="0" w:space="0" w:color="auto"/>
            <w:bottom w:val="none" w:sz="0" w:space="0" w:color="auto"/>
            <w:right w:val="none" w:sz="0" w:space="0" w:color="auto"/>
          </w:divBdr>
        </w:div>
        <w:div w:id="2024702949">
          <w:marLeft w:val="0"/>
          <w:marRight w:val="0"/>
          <w:marTop w:val="0"/>
          <w:marBottom w:val="0"/>
          <w:divBdr>
            <w:top w:val="none" w:sz="0" w:space="0" w:color="auto"/>
            <w:left w:val="none" w:sz="0" w:space="0" w:color="auto"/>
            <w:bottom w:val="none" w:sz="0" w:space="0" w:color="auto"/>
            <w:right w:val="none" w:sz="0" w:space="0" w:color="auto"/>
          </w:divBdr>
        </w:div>
        <w:div w:id="2024702950">
          <w:marLeft w:val="0"/>
          <w:marRight w:val="0"/>
          <w:marTop w:val="0"/>
          <w:marBottom w:val="0"/>
          <w:divBdr>
            <w:top w:val="none" w:sz="0" w:space="0" w:color="auto"/>
            <w:left w:val="none" w:sz="0" w:space="0" w:color="auto"/>
            <w:bottom w:val="none" w:sz="0" w:space="0" w:color="auto"/>
            <w:right w:val="none" w:sz="0" w:space="0" w:color="auto"/>
          </w:divBdr>
        </w:div>
        <w:div w:id="2024702951">
          <w:marLeft w:val="0"/>
          <w:marRight w:val="0"/>
          <w:marTop w:val="0"/>
          <w:marBottom w:val="0"/>
          <w:divBdr>
            <w:top w:val="none" w:sz="0" w:space="0" w:color="auto"/>
            <w:left w:val="none" w:sz="0" w:space="0" w:color="auto"/>
            <w:bottom w:val="none" w:sz="0" w:space="0" w:color="auto"/>
            <w:right w:val="none" w:sz="0" w:space="0" w:color="auto"/>
          </w:divBdr>
        </w:div>
        <w:div w:id="2024702952">
          <w:marLeft w:val="0"/>
          <w:marRight w:val="0"/>
          <w:marTop w:val="0"/>
          <w:marBottom w:val="0"/>
          <w:divBdr>
            <w:top w:val="none" w:sz="0" w:space="0" w:color="auto"/>
            <w:left w:val="none" w:sz="0" w:space="0" w:color="auto"/>
            <w:bottom w:val="none" w:sz="0" w:space="0" w:color="auto"/>
            <w:right w:val="none" w:sz="0" w:space="0" w:color="auto"/>
          </w:divBdr>
        </w:div>
        <w:div w:id="2024702953">
          <w:marLeft w:val="0"/>
          <w:marRight w:val="0"/>
          <w:marTop w:val="0"/>
          <w:marBottom w:val="0"/>
          <w:divBdr>
            <w:top w:val="none" w:sz="0" w:space="0" w:color="auto"/>
            <w:left w:val="none" w:sz="0" w:space="0" w:color="auto"/>
            <w:bottom w:val="none" w:sz="0" w:space="0" w:color="auto"/>
            <w:right w:val="none" w:sz="0" w:space="0" w:color="auto"/>
          </w:divBdr>
        </w:div>
        <w:div w:id="2024702954">
          <w:marLeft w:val="0"/>
          <w:marRight w:val="0"/>
          <w:marTop w:val="0"/>
          <w:marBottom w:val="0"/>
          <w:divBdr>
            <w:top w:val="none" w:sz="0" w:space="0" w:color="auto"/>
            <w:left w:val="none" w:sz="0" w:space="0" w:color="auto"/>
            <w:bottom w:val="none" w:sz="0" w:space="0" w:color="auto"/>
            <w:right w:val="none" w:sz="0" w:space="0" w:color="auto"/>
          </w:divBdr>
        </w:div>
        <w:div w:id="2024702955">
          <w:marLeft w:val="0"/>
          <w:marRight w:val="0"/>
          <w:marTop w:val="0"/>
          <w:marBottom w:val="0"/>
          <w:divBdr>
            <w:top w:val="none" w:sz="0" w:space="0" w:color="auto"/>
            <w:left w:val="none" w:sz="0" w:space="0" w:color="auto"/>
            <w:bottom w:val="none" w:sz="0" w:space="0" w:color="auto"/>
            <w:right w:val="none" w:sz="0" w:space="0" w:color="auto"/>
          </w:divBdr>
        </w:div>
        <w:div w:id="2024702956">
          <w:marLeft w:val="0"/>
          <w:marRight w:val="0"/>
          <w:marTop w:val="0"/>
          <w:marBottom w:val="0"/>
          <w:divBdr>
            <w:top w:val="none" w:sz="0" w:space="0" w:color="auto"/>
            <w:left w:val="none" w:sz="0" w:space="0" w:color="auto"/>
            <w:bottom w:val="none" w:sz="0" w:space="0" w:color="auto"/>
            <w:right w:val="none" w:sz="0" w:space="0" w:color="auto"/>
          </w:divBdr>
        </w:div>
        <w:div w:id="2024702957">
          <w:marLeft w:val="0"/>
          <w:marRight w:val="0"/>
          <w:marTop w:val="0"/>
          <w:marBottom w:val="0"/>
          <w:divBdr>
            <w:top w:val="none" w:sz="0" w:space="0" w:color="auto"/>
            <w:left w:val="none" w:sz="0" w:space="0" w:color="auto"/>
            <w:bottom w:val="none" w:sz="0" w:space="0" w:color="auto"/>
            <w:right w:val="none" w:sz="0" w:space="0" w:color="auto"/>
          </w:divBdr>
        </w:div>
        <w:div w:id="2024702958">
          <w:marLeft w:val="0"/>
          <w:marRight w:val="0"/>
          <w:marTop w:val="0"/>
          <w:marBottom w:val="0"/>
          <w:divBdr>
            <w:top w:val="none" w:sz="0" w:space="0" w:color="auto"/>
            <w:left w:val="none" w:sz="0" w:space="0" w:color="auto"/>
            <w:bottom w:val="none" w:sz="0" w:space="0" w:color="auto"/>
            <w:right w:val="none" w:sz="0" w:space="0" w:color="auto"/>
          </w:divBdr>
        </w:div>
        <w:div w:id="2024702959">
          <w:marLeft w:val="0"/>
          <w:marRight w:val="0"/>
          <w:marTop w:val="0"/>
          <w:marBottom w:val="0"/>
          <w:divBdr>
            <w:top w:val="none" w:sz="0" w:space="0" w:color="auto"/>
            <w:left w:val="none" w:sz="0" w:space="0" w:color="auto"/>
            <w:bottom w:val="none" w:sz="0" w:space="0" w:color="auto"/>
            <w:right w:val="none" w:sz="0" w:space="0" w:color="auto"/>
          </w:divBdr>
        </w:div>
        <w:div w:id="2024702960">
          <w:marLeft w:val="0"/>
          <w:marRight w:val="0"/>
          <w:marTop w:val="0"/>
          <w:marBottom w:val="0"/>
          <w:divBdr>
            <w:top w:val="none" w:sz="0" w:space="0" w:color="auto"/>
            <w:left w:val="none" w:sz="0" w:space="0" w:color="auto"/>
            <w:bottom w:val="none" w:sz="0" w:space="0" w:color="auto"/>
            <w:right w:val="none" w:sz="0" w:space="0" w:color="auto"/>
          </w:divBdr>
        </w:div>
        <w:div w:id="2024702961">
          <w:marLeft w:val="0"/>
          <w:marRight w:val="0"/>
          <w:marTop w:val="0"/>
          <w:marBottom w:val="0"/>
          <w:divBdr>
            <w:top w:val="none" w:sz="0" w:space="0" w:color="auto"/>
            <w:left w:val="none" w:sz="0" w:space="0" w:color="auto"/>
            <w:bottom w:val="none" w:sz="0" w:space="0" w:color="auto"/>
            <w:right w:val="none" w:sz="0" w:space="0" w:color="auto"/>
          </w:divBdr>
        </w:div>
        <w:div w:id="2024702962">
          <w:marLeft w:val="0"/>
          <w:marRight w:val="0"/>
          <w:marTop w:val="0"/>
          <w:marBottom w:val="0"/>
          <w:divBdr>
            <w:top w:val="none" w:sz="0" w:space="0" w:color="auto"/>
            <w:left w:val="none" w:sz="0" w:space="0" w:color="auto"/>
            <w:bottom w:val="none" w:sz="0" w:space="0" w:color="auto"/>
            <w:right w:val="none" w:sz="0" w:space="0" w:color="auto"/>
          </w:divBdr>
        </w:div>
        <w:div w:id="2024702963">
          <w:marLeft w:val="0"/>
          <w:marRight w:val="0"/>
          <w:marTop w:val="0"/>
          <w:marBottom w:val="0"/>
          <w:divBdr>
            <w:top w:val="none" w:sz="0" w:space="0" w:color="auto"/>
            <w:left w:val="none" w:sz="0" w:space="0" w:color="auto"/>
            <w:bottom w:val="none" w:sz="0" w:space="0" w:color="auto"/>
            <w:right w:val="none" w:sz="0" w:space="0" w:color="auto"/>
          </w:divBdr>
        </w:div>
        <w:div w:id="2024702964">
          <w:marLeft w:val="0"/>
          <w:marRight w:val="0"/>
          <w:marTop w:val="0"/>
          <w:marBottom w:val="0"/>
          <w:divBdr>
            <w:top w:val="none" w:sz="0" w:space="0" w:color="auto"/>
            <w:left w:val="none" w:sz="0" w:space="0" w:color="auto"/>
            <w:bottom w:val="none" w:sz="0" w:space="0" w:color="auto"/>
            <w:right w:val="none" w:sz="0" w:space="0" w:color="auto"/>
          </w:divBdr>
        </w:div>
        <w:div w:id="2024702965">
          <w:marLeft w:val="0"/>
          <w:marRight w:val="0"/>
          <w:marTop w:val="0"/>
          <w:marBottom w:val="0"/>
          <w:divBdr>
            <w:top w:val="none" w:sz="0" w:space="0" w:color="auto"/>
            <w:left w:val="none" w:sz="0" w:space="0" w:color="auto"/>
            <w:bottom w:val="none" w:sz="0" w:space="0" w:color="auto"/>
            <w:right w:val="none" w:sz="0" w:space="0" w:color="auto"/>
          </w:divBdr>
        </w:div>
        <w:div w:id="2024702966">
          <w:marLeft w:val="0"/>
          <w:marRight w:val="0"/>
          <w:marTop w:val="0"/>
          <w:marBottom w:val="0"/>
          <w:divBdr>
            <w:top w:val="none" w:sz="0" w:space="0" w:color="auto"/>
            <w:left w:val="none" w:sz="0" w:space="0" w:color="auto"/>
            <w:bottom w:val="none" w:sz="0" w:space="0" w:color="auto"/>
            <w:right w:val="none" w:sz="0" w:space="0" w:color="auto"/>
          </w:divBdr>
        </w:div>
        <w:div w:id="2024702967">
          <w:marLeft w:val="0"/>
          <w:marRight w:val="0"/>
          <w:marTop w:val="0"/>
          <w:marBottom w:val="0"/>
          <w:divBdr>
            <w:top w:val="none" w:sz="0" w:space="0" w:color="auto"/>
            <w:left w:val="none" w:sz="0" w:space="0" w:color="auto"/>
            <w:bottom w:val="none" w:sz="0" w:space="0" w:color="auto"/>
            <w:right w:val="none" w:sz="0" w:space="0" w:color="auto"/>
          </w:divBdr>
        </w:div>
        <w:div w:id="2024702968">
          <w:marLeft w:val="0"/>
          <w:marRight w:val="0"/>
          <w:marTop w:val="0"/>
          <w:marBottom w:val="0"/>
          <w:divBdr>
            <w:top w:val="none" w:sz="0" w:space="0" w:color="auto"/>
            <w:left w:val="none" w:sz="0" w:space="0" w:color="auto"/>
            <w:bottom w:val="none" w:sz="0" w:space="0" w:color="auto"/>
            <w:right w:val="none" w:sz="0" w:space="0" w:color="auto"/>
          </w:divBdr>
        </w:div>
        <w:div w:id="2024702970">
          <w:marLeft w:val="0"/>
          <w:marRight w:val="0"/>
          <w:marTop w:val="0"/>
          <w:marBottom w:val="0"/>
          <w:divBdr>
            <w:top w:val="none" w:sz="0" w:space="0" w:color="auto"/>
            <w:left w:val="none" w:sz="0" w:space="0" w:color="auto"/>
            <w:bottom w:val="none" w:sz="0" w:space="0" w:color="auto"/>
            <w:right w:val="none" w:sz="0" w:space="0" w:color="auto"/>
          </w:divBdr>
        </w:div>
        <w:div w:id="2024702971">
          <w:marLeft w:val="0"/>
          <w:marRight w:val="0"/>
          <w:marTop w:val="0"/>
          <w:marBottom w:val="0"/>
          <w:divBdr>
            <w:top w:val="none" w:sz="0" w:space="0" w:color="auto"/>
            <w:left w:val="none" w:sz="0" w:space="0" w:color="auto"/>
            <w:bottom w:val="none" w:sz="0" w:space="0" w:color="auto"/>
            <w:right w:val="none" w:sz="0" w:space="0" w:color="auto"/>
          </w:divBdr>
        </w:div>
        <w:div w:id="2024702972">
          <w:marLeft w:val="0"/>
          <w:marRight w:val="0"/>
          <w:marTop w:val="0"/>
          <w:marBottom w:val="0"/>
          <w:divBdr>
            <w:top w:val="none" w:sz="0" w:space="0" w:color="auto"/>
            <w:left w:val="none" w:sz="0" w:space="0" w:color="auto"/>
            <w:bottom w:val="none" w:sz="0" w:space="0" w:color="auto"/>
            <w:right w:val="none" w:sz="0" w:space="0" w:color="auto"/>
          </w:divBdr>
        </w:div>
        <w:div w:id="2024702973">
          <w:marLeft w:val="0"/>
          <w:marRight w:val="0"/>
          <w:marTop w:val="0"/>
          <w:marBottom w:val="0"/>
          <w:divBdr>
            <w:top w:val="none" w:sz="0" w:space="0" w:color="auto"/>
            <w:left w:val="none" w:sz="0" w:space="0" w:color="auto"/>
            <w:bottom w:val="none" w:sz="0" w:space="0" w:color="auto"/>
            <w:right w:val="none" w:sz="0" w:space="0" w:color="auto"/>
          </w:divBdr>
        </w:div>
        <w:div w:id="2024702974">
          <w:marLeft w:val="0"/>
          <w:marRight w:val="0"/>
          <w:marTop w:val="0"/>
          <w:marBottom w:val="0"/>
          <w:divBdr>
            <w:top w:val="none" w:sz="0" w:space="0" w:color="auto"/>
            <w:left w:val="none" w:sz="0" w:space="0" w:color="auto"/>
            <w:bottom w:val="none" w:sz="0" w:space="0" w:color="auto"/>
            <w:right w:val="none" w:sz="0" w:space="0" w:color="auto"/>
          </w:divBdr>
        </w:div>
        <w:div w:id="2024702975">
          <w:marLeft w:val="0"/>
          <w:marRight w:val="0"/>
          <w:marTop w:val="0"/>
          <w:marBottom w:val="0"/>
          <w:divBdr>
            <w:top w:val="none" w:sz="0" w:space="0" w:color="auto"/>
            <w:left w:val="none" w:sz="0" w:space="0" w:color="auto"/>
            <w:bottom w:val="none" w:sz="0" w:space="0" w:color="auto"/>
            <w:right w:val="none" w:sz="0" w:space="0" w:color="auto"/>
          </w:divBdr>
        </w:div>
        <w:div w:id="2024702976">
          <w:marLeft w:val="0"/>
          <w:marRight w:val="0"/>
          <w:marTop w:val="0"/>
          <w:marBottom w:val="0"/>
          <w:divBdr>
            <w:top w:val="none" w:sz="0" w:space="0" w:color="auto"/>
            <w:left w:val="none" w:sz="0" w:space="0" w:color="auto"/>
            <w:bottom w:val="none" w:sz="0" w:space="0" w:color="auto"/>
            <w:right w:val="none" w:sz="0" w:space="0" w:color="auto"/>
          </w:divBdr>
        </w:div>
        <w:div w:id="2024702977">
          <w:marLeft w:val="0"/>
          <w:marRight w:val="0"/>
          <w:marTop w:val="0"/>
          <w:marBottom w:val="0"/>
          <w:divBdr>
            <w:top w:val="none" w:sz="0" w:space="0" w:color="auto"/>
            <w:left w:val="none" w:sz="0" w:space="0" w:color="auto"/>
            <w:bottom w:val="none" w:sz="0" w:space="0" w:color="auto"/>
            <w:right w:val="none" w:sz="0" w:space="0" w:color="auto"/>
          </w:divBdr>
        </w:div>
        <w:div w:id="2024702978">
          <w:marLeft w:val="0"/>
          <w:marRight w:val="0"/>
          <w:marTop w:val="0"/>
          <w:marBottom w:val="0"/>
          <w:divBdr>
            <w:top w:val="none" w:sz="0" w:space="0" w:color="auto"/>
            <w:left w:val="none" w:sz="0" w:space="0" w:color="auto"/>
            <w:bottom w:val="none" w:sz="0" w:space="0" w:color="auto"/>
            <w:right w:val="none" w:sz="0" w:space="0" w:color="auto"/>
          </w:divBdr>
        </w:div>
        <w:div w:id="2024702979">
          <w:marLeft w:val="0"/>
          <w:marRight w:val="0"/>
          <w:marTop w:val="0"/>
          <w:marBottom w:val="0"/>
          <w:divBdr>
            <w:top w:val="none" w:sz="0" w:space="0" w:color="auto"/>
            <w:left w:val="none" w:sz="0" w:space="0" w:color="auto"/>
            <w:bottom w:val="none" w:sz="0" w:space="0" w:color="auto"/>
            <w:right w:val="none" w:sz="0" w:space="0" w:color="auto"/>
          </w:divBdr>
        </w:div>
        <w:div w:id="2024702980">
          <w:marLeft w:val="0"/>
          <w:marRight w:val="0"/>
          <w:marTop w:val="0"/>
          <w:marBottom w:val="0"/>
          <w:divBdr>
            <w:top w:val="none" w:sz="0" w:space="0" w:color="auto"/>
            <w:left w:val="none" w:sz="0" w:space="0" w:color="auto"/>
            <w:bottom w:val="none" w:sz="0" w:space="0" w:color="auto"/>
            <w:right w:val="none" w:sz="0" w:space="0" w:color="auto"/>
          </w:divBdr>
        </w:div>
        <w:div w:id="2024702981">
          <w:marLeft w:val="0"/>
          <w:marRight w:val="0"/>
          <w:marTop w:val="0"/>
          <w:marBottom w:val="0"/>
          <w:divBdr>
            <w:top w:val="none" w:sz="0" w:space="0" w:color="auto"/>
            <w:left w:val="none" w:sz="0" w:space="0" w:color="auto"/>
            <w:bottom w:val="none" w:sz="0" w:space="0" w:color="auto"/>
            <w:right w:val="none" w:sz="0" w:space="0" w:color="auto"/>
          </w:divBdr>
        </w:div>
        <w:div w:id="2024702982">
          <w:marLeft w:val="0"/>
          <w:marRight w:val="0"/>
          <w:marTop w:val="0"/>
          <w:marBottom w:val="0"/>
          <w:divBdr>
            <w:top w:val="none" w:sz="0" w:space="0" w:color="auto"/>
            <w:left w:val="none" w:sz="0" w:space="0" w:color="auto"/>
            <w:bottom w:val="none" w:sz="0" w:space="0" w:color="auto"/>
            <w:right w:val="none" w:sz="0" w:space="0" w:color="auto"/>
          </w:divBdr>
        </w:div>
        <w:div w:id="2024702983">
          <w:marLeft w:val="0"/>
          <w:marRight w:val="0"/>
          <w:marTop w:val="0"/>
          <w:marBottom w:val="0"/>
          <w:divBdr>
            <w:top w:val="none" w:sz="0" w:space="0" w:color="auto"/>
            <w:left w:val="none" w:sz="0" w:space="0" w:color="auto"/>
            <w:bottom w:val="none" w:sz="0" w:space="0" w:color="auto"/>
            <w:right w:val="none" w:sz="0" w:space="0" w:color="auto"/>
          </w:divBdr>
        </w:div>
        <w:div w:id="2024702984">
          <w:marLeft w:val="0"/>
          <w:marRight w:val="0"/>
          <w:marTop w:val="0"/>
          <w:marBottom w:val="0"/>
          <w:divBdr>
            <w:top w:val="none" w:sz="0" w:space="0" w:color="auto"/>
            <w:left w:val="none" w:sz="0" w:space="0" w:color="auto"/>
            <w:bottom w:val="none" w:sz="0" w:space="0" w:color="auto"/>
            <w:right w:val="none" w:sz="0" w:space="0" w:color="auto"/>
          </w:divBdr>
        </w:div>
        <w:div w:id="2024702985">
          <w:marLeft w:val="0"/>
          <w:marRight w:val="0"/>
          <w:marTop w:val="0"/>
          <w:marBottom w:val="0"/>
          <w:divBdr>
            <w:top w:val="none" w:sz="0" w:space="0" w:color="auto"/>
            <w:left w:val="none" w:sz="0" w:space="0" w:color="auto"/>
            <w:bottom w:val="none" w:sz="0" w:space="0" w:color="auto"/>
            <w:right w:val="none" w:sz="0" w:space="0" w:color="auto"/>
          </w:divBdr>
        </w:div>
        <w:div w:id="2024702986">
          <w:marLeft w:val="0"/>
          <w:marRight w:val="0"/>
          <w:marTop w:val="0"/>
          <w:marBottom w:val="0"/>
          <w:divBdr>
            <w:top w:val="none" w:sz="0" w:space="0" w:color="auto"/>
            <w:left w:val="none" w:sz="0" w:space="0" w:color="auto"/>
            <w:bottom w:val="none" w:sz="0" w:space="0" w:color="auto"/>
            <w:right w:val="none" w:sz="0" w:space="0" w:color="auto"/>
          </w:divBdr>
        </w:div>
        <w:div w:id="2024702988">
          <w:marLeft w:val="0"/>
          <w:marRight w:val="0"/>
          <w:marTop w:val="0"/>
          <w:marBottom w:val="0"/>
          <w:divBdr>
            <w:top w:val="none" w:sz="0" w:space="0" w:color="auto"/>
            <w:left w:val="none" w:sz="0" w:space="0" w:color="auto"/>
            <w:bottom w:val="none" w:sz="0" w:space="0" w:color="auto"/>
            <w:right w:val="none" w:sz="0" w:space="0" w:color="auto"/>
          </w:divBdr>
        </w:div>
        <w:div w:id="2024702989">
          <w:marLeft w:val="0"/>
          <w:marRight w:val="0"/>
          <w:marTop w:val="0"/>
          <w:marBottom w:val="0"/>
          <w:divBdr>
            <w:top w:val="none" w:sz="0" w:space="0" w:color="auto"/>
            <w:left w:val="none" w:sz="0" w:space="0" w:color="auto"/>
            <w:bottom w:val="none" w:sz="0" w:space="0" w:color="auto"/>
            <w:right w:val="none" w:sz="0" w:space="0" w:color="auto"/>
          </w:divBdr>
        </w:div>
        <w:div w:id="2024702990">
          <w:marLeft w:val="0"/>
          <w:marRight w:val="0"/>
          <w:marTop w:val="0"/>
          <w:marBottom w:val="0"/>
          <w:divBdr>
            <w:top w:val="none" w:sz="0" w:space="0" w:color="auto"/>
            <w:left w:val="none" w:sz="0" w:space="0" w:color="auto"/>
            <w:bottom w:val="none" w:sz="0" w:space="0" w:color="auto"/>
            <w:right w:val="none" w:sz="0" w:space="0" w:color="auto"/>
          </w:divBdr>
        </w:div>
        <w:div w:id="2024702991">
          <w:marLeft w:val="0"/>
          <w:marRight w:val="0"/>
          <w:marTop w:val="0"/>
          <w:marBottom w:val="0"/>
          <w:divBdr>
            <w:top w:val="none" w:sz="0" w:space="0" w:color="auto"/>
            <w:left w:val="none" w:sz="0" w:space="0" w:color="auto"/>
            <w:bottom w:val="none" w:sz="0" w:space="0" w:color="auto"/>
            <w:right w:val="none" w:sz="0" w:space="0" w:color="auto"/>
          </w:divBdr>
        </w:div>
        <w:div w:id="2024702992">
          <w:marLeft w:val="0"/>
          <w:marRight w:val="0"/>
          <w:marTop w:val="0"/>
          <w:marBottom w:val="0"/>
          <w:divBdr>
            <w:top w:val="none" w:sz="0" w:space="0" w:color="auto"/>
            <w:left w:val="none" w:sz="0" w:space="0" w:color="auto"/>
            <w:bottom w:val="none" w:sz="0" w:space="0" w:color="auto"/>
            <w:right w:val="none" w:sz="0" w:space="0" w:color="auto"/>
          </w:divBdr>
        </w:div>
        <w:div w:id="2024702993">
          <w:marLeft w:val="0"/>
          <w:marRight w:val="0"/>
          <w:marTop w:val="0"/>
          <w:marBottom w:val="0"/>
          <w:divBdr>
            <w:top w:val="none" w:sz="0" w:space="0" w:color="auto"/>
            <w:left w:val="none" w:sz="0" w:space="0" w:color="auto"/>
            <w:bottom w:val="none" w:sz="0" w:space="0" w:color="auto"/>
            <w:right w:val="none" w:sz="0" w:space="0" w:color="auto"/>
          </w:divBdr>
        </w:div>
        <w:div w:id="2024702994">
          <w:marLeft w:val="0"/>
          <w:marRight w:val="0"/>
          <w:marTop w:val="0"/>
          <w:marBottom w:val="0"/>
          <w:divBdr>
            <w:top w:val="none" w:sz="0" w:space="0" w:color="auto"/>
            <w:left w:val="none" w:sz="0" w:space="0" w:color="auto"/>
            <w:bottom w:val="none" w:sz="0" w:space="0" w:color="auto"/>
            <w:right w:val="none" w:sz="0" w:space="0" w:color="auto"/>
          </w:divBdr>
        </w:div>
        <w:div w:id="2024702995">
          <w:marLeft w:val="0"/>
          <w:marRight w:val="0"/>
          <w:marTop w:val="0"/>
          <w:marBottom w:val="0"/>
          <w:divBdr>
            <w:top w:val="none" w:sz="0" w:space="0" w:color="auto"/>
            <w:left w:val="none" w:sz="0" w:space="0" w:color="auto"/>
            <w:bottom w:val="none" w:sz="0" w:space="0" w:color="auto"/>
            <w:right w:val="none" w:sz="0" w:space="0" w:color="auto"/>
          </w:divBdr>
        </w:div>
        <w:div w:id="2024702996">
          <w:marLeft w:val="0"/>
          <w:marRight w:val="0"/>
          <w:marTop w:val="0"/>
          <w:marBottom w:val="0"/>
          <w:divBdr>
            <w:top w:val="none" w:sz="0" w:space="0" w:color="auto"/>
            <w:left w:val="none" w:sz="0" w:space="0" w:color="auto"/>
            <w:bottom w:val="none" w:sz="0" w:space="0" w:color="auto"/>
            <w:right w:val="none" w:sz="0" w:space="0" w:color="auto"/>
          </w:divBdr>
        </w:div>
        <w:div w:id="2024702997">
          <w:marLeft w:val="0"/>
          <w:marRight w:val="0"/>
          <w:marTop w:val="0"/>
          <w:marBottom w:val="0"/>
          <w:divBdr>
            <w:top w:val="none" w:sz="0" w:space="0" w:color="auto"/>
            <w:left w:val="none" w:sz="0" w:space="0" w:color="auto"/>
            <w:bottom w:val="none" w:sz="0" w:space="0" w:color="auto"/>
            <w:right w:val="none" w:sz="0" w:space="0" w:color="auto"/>
          </w:divBdr>
        </w:div>
        <w:div w:id="2024702998">
          <w:marLeft w:val="0"/>
          <w:marRight w:val="0"/>
          <w:marTop w:val="0"/>
          <w:marBottom w:val="0"/>
          <w:divBdr>
            <w:top w:val="none" w:sz="0" w:space="0" w:color="auto"/>
            <w:left w:val="none" w:sz="0" w:space="0" w:color="auto"/>
            <w:bottom w:val="none" w:sz="0" w:space="0" w:color="auto"/>
            <w:right w:val="none" w:sz="0" w:space="0" w:color="auto"/>
          </w:divBdr>
        </w:div>
        <w:div w:id="2024702999">
          <w:marLeft w:val="0"/>
          <w:marRight w:val="0"/>
          <w:marTop w:val="0"/>
          <w:marBottom w:val="0"/>
          <w:divBdr>
            <w:top w:val="none" w:sz="0" w:space="0" w:color="auto"/>
            <w:left w:val="none" w:sz="0" w:space="0" w:color="auto"/>
            <w:bottom w:val="none" w:sz="0" w:space="0" w:color="auto"/>
            <w:right w:val="none" w:sz="0" w:space="0" w:color="auto"/>
          </w:divBdr>
        </w:div>
        <w:div w:id="2024703000">
          <w:marLeft w:val="0"/>
          <w:marRight w:val="0"/>
          <w:marTop w:val="0"/>
          <w:marBottom w:val="0"/>
          <w:divBdr>
            <w:top w:val="none" w:sz="0" w:space="0" w:color="auto"/>
            <w:left w:val="none" w:sz="0" w:space="0" w:color="auto"/>
            <w:bottom w:val="none" w:sz="0" w:space="0" w:color="auto"/>
            <w:right w:val="none" w:sz="0" w:space="0" w:color="auto"/>
          </w:divBdr>
        </w:div>
        <w:div w:id="2024703001">
          <w:marLeft w:val="0"/>
          <w:marRight w:val="0"/>
          <w:marTop w:val="0"/>
          <w:marBottom w:val="0"/>
          <w:divBdr>
            <w:top w:val="none" w:sz="0" w:space="0" w:color="auto"/>
            <w:left w:val="none" w:sz="0" w:space="0" w:color="auto"/>
            <w:bottom w:val="none" w:sz="0" w:space="0" w:color="auto"/>
            <w:right w:val="none" w:sz="0" w:space="0" w:color="auto"/>
          </w:divBdr>
        </w:div>
        <w:div w:id="2024703002">
          <w:marLeft w:val="0"/>
          <w:marRight w:val="0"/>
          <w:marTop w:val="0"/>
          <w:marBottom w:val="0"/>
          <w:divBdr>
            <w:top w:val="none" w:sz="0" w:space="0" w:color="auto"/>
            <w:left w:val="none" w:sz="0" w:space="0" w:color="auto"/>
            <w:bottom w:val="none" w:sz="0" w:space="0" w:color="auto"/>
            <w:right w:val="none" w:sz="0" w:space="0" w:color="auto"/>
          </w:divBdr>
        </w:div>
        <w:div w:id="2024703003">
          <w:marLeft w:val="0"/>
          <w:marRight w:val="0"/>
          <w:marTop w:val="0"/>
          <w:marBottom w:val="0"/>
          <w:divBdr>
            <w:top w:val="none" w:sz="0" w:space="0" w:color="auto"/>
            <w:left w:val="none" w:sz="0" w:space="0" w:color="auto"/>
            <w:bottom w:val="none" w:sz="0" w:space="0" w:color="auto"/>
            <w:right w:val="none" w:sz="0" w:space="0" w:color="auto"/>
          </w:divBdr>
        </w:div>
        <w:div w:id="2024703004">
          <w:marLeft w:val="0"/>
          <w:marRight w:val="0"/>
          <w:marTop w:val="0"/>
          <w:marBottom w:val="0"/>
          <w:divBdr>
            <w:top w:val="none" w:sz="0" w:space="0" w:color="auto"/>
            <w:left w:val="none" w:sz="0" w:space="0" w:color="auto"/>
            <w:bottom w:val="none" w:sz="0" w:space="0" w:color="auto"/>
            <w:right w:val="none" w:sz="0" w:space="0" w:color="auto"/>
          </w:divBdr>
        </w:div>
        <w:div w:id="2024703005">
          <w:marLeft w:val="0"/>
          <w:marRight w:val="0"/>
          <w:marTop w:val="0"/>
          <w:marBottom w:val="0"/>
          <w:divBdr>
            <w:top w:val="none" w:sz="0" w:space="0" w:color="auto"/>
            <w:left w:val="none" w:sz="0" w:space="0" w:color="auto"/>
            <w:bottom w:val="none" w:sz="0" w:space="0" w:color="auto"/>
            <w:right w:val="none" w:sz="0" w:space="0" w:color="auto"/>
          </w:divBdr>
        </w:div>
        <w:div w:id="2024703006">
          <w:marLeft w:val="0"/>
          <w:marRight w:val="0"/>
          <w:marTop w:val="0"/>
          <w:marBottom w:val="0"/>
          <w:divBdr>
            <w:top w:val="none" w:sz="0" w:space="0" w:color="auto"/>
            <w:left w:val="none" w:sz="0" w:space="0" w:color="auto"/>
            <w:bottom w:val="none" w:sz="0" w:space="0" w:color="auto"/>
            <w:right w:val="none" w:sz="0" w:space="0" w:color="auto"/>
          </w:divBdr>
        </w:div>
        <w:div w:id="2024703007">
          <w:marLeft w:val="0"/>
          <w:marRight w:val="0"/>
          <w:marTop w:val="0"/>
          <w:marBottom w:val="0"/>
          <w:divBdr>
            <w:top w:val="none" w:sz="0" w:space="0" w:color="auto"/>
            <w:left w:val="none" w:sz="0" w:space="0" w:color="auto"/>
            <w:bottom w:val="none" w:sz="0" w:space="0" w:color="auto"/>
            <w:right w:val="none" w:sz="0" w:space="0" w:color="auto"/>
          </w:divBdr>
        </w:div>
        <w:div w:id="2024703008">
          <w:marLeft w:val="0"/>
          <w:marRight w:val="0"/>
          <w:marTop w:val="0"/>
          <w:marBottom w:val="0"/>
          <w:divBdr>
            <w:top w:val="none" w:sz="0" w:space="0" w:color="auto"/>
            <w:left w:val="none" w:sz="0" w:space="0" w:color="auto"/>
            <w:bottom w:val="none" w:sz="0" w:space="0" w:color="auto"/>
            <w:right w:val="none" w:sz="0" w:space="0" w:color="auto"/>
          </w:divBdr>
        </w:div>
        <w:div w:id="2024703009">
          <w:marLeft w:val="0"/>
          <w:marRight w:val="0"/>
          <w:marTop w:val="0"/>
          <w:marBottom w:val="0"/>
          <w:divBdr>
            <w:top w:val="none" w:sz="0" w:space="0" w:color="auto"/>
            <w:left w:val="none" w:sz="0" w:space="0" w:color="auto"/>
            <w:bottom w:val="none" w:sz="0" w:space="0" w:color="auto"/>
            <w:right w:val="none" w:sz="0" w:space="0" w:color="auto"/>
          </w:divBdr>
        </w:div>
        <w:div w:id="2024703010">
          <w:marLeft w:val="0"/>
          <w:marRight w:val="0"/>
          <w:marTop w:val="0"/>
          <w:marBottom w:val="0"/>
          <w:divBdr>
            <w:top w:val="none" w:sz="0" w:space="0" w:color="auto"/>
            <w:left w:val="none" w:sz="0" w:space="0" w:color="auto"/>
            <w:bottom w:val="none" w:sz="0" w:space="0" w:color="auto"/>
            <w:right w:val="none" w:sz="0" w:space="0" w:color="auto"/>
          </w:divBdr>
        </w:div>
        <w:div w:id="2024703011">
          <w:marLeft w:val="0"/>
          <w:marRight w:val="0"/>
          <w:marTop w:val="0"/>
          <w:marBottom w:val="0"/>
          <w:divBdr>
            <w:top w:val="none" w:sz="0" w:space="0" w:color="auto"/>
            <w:left w:val="none" w:sz="0" w:space="0" w:color="auto"/>
            <w:bottom w:val="none" w:sz="0" w:space="0" w:color="auto"/>
            <w:right w:val="none" w:sz="0" w:space="0" w:color="auto"/>
          </w:divBdr>
        </w:div>
        <w:div w:id="2024703012">
          <w:marLeft w:val="0"/>
          <w:marRight w:val="0"/>
          <w:marTop w:val="0"/>
          <w:marBottom w:val="0"/>
          <w:divBdr>
            <w:top w:val="none" w:sz="0" w:space="0" w:color="auto"/>
            <w:left w:val="none" w:sz="0" w:space="0" w:color="auto"/>
            <w:bottom w:val="none" w:sz="0" w:space="0" w:color="auto"/>
            <w:right w:val="none" w:sz="0" w:space="0" w:color="auto"/>
          </w:divBdr>
        </w:div>
        <w:div w:id="2024703013">
          <w:marLeft w:val="0"/>
          <w:marRight w:val="0"/>
          <w:marTop w:val="0"/>
          <w:marBottom w:val="0"/>
          <w:divBdr>
            <w:top w:val="none" w:sz="0" w:space="0" w:color="auto"/>
            <w:left w:val="none" w:sz="0" w:space="0" w:color="auto"/>
            <w:bottom w:val="none" w:sz="0" w:space="0" w:color="auto"/>
            <w:right w:val="none" w:sz="0" w:space="0" w:color="auto"/>
          </w:divBdr>
        </w:div>
        <w:div w:id="2024703014">
          <w:marLeft w:val="0"/>
          <w:marRight w:val="0"/>
          <w:marTop w:val="0"/>
          <w:marBottom w:val="0"/>
          <w:divBdr>
            <w:top w:val="none" w:sz="0" w:space="0" w:color="auto"/>
            <w:left w:val="none" w:sz="0" w:space="0" w:color="auto"/>
            <w:bottom w:val="none" w:sz="0" w:space="0" w:color="auto"/>
            <w:right w:val="none" w:sz="0" w:space="0" w:color="auto"/>
          </w:divBdr>
        </w:div>
        <w:div w:id="2024703015">
          <w:marLeft w:val="0"/>
          <w:marRight w:val="0"/>
          <w:marTop w:val="0"/>
          <w:marBottom w:val="0"/>
          <w:divBdr>
            <w:top w:val="none" w:sz="0" w:space="0" w:color="auto"/>
            <w:left w:val="none" w:sz="0" w:space="0" w:color="auto"/>
            <w:bottom w:val="none" w:sz="0" w:space="0" w:color="auto"/>
            <w:right w:val="none" w:sz="0" w:space="0" w:color="auto"/>
          </w:divBdr>
        </w:div>
        <w:div w:id="2024703016">
          <w:marLeft w:val="0"/>
          <w:marRight w:val="0"/>
          <w:marTop w:val="0"/>
          <w:marBottom w:val="0"/>
          <w:divBdr>
            <w:top w:val="none" w:sz="0" w:space="0" w:color="auto"/>
            <w:left w:val="none" w:sz="0" w:space="0" w:color="auto"/>
            <w:bottom w:val="none" w:sz="0" w:space="0" w:color="auto"/>
            <w:right w:val="none" w:sz="0" w:space="0" w:color="auto"/>
          </w:divBdr>
        </w:div>
        <w:div w:id="2024703017">
          <w:marLeft w:val="0"/>
          <w:marRight w:val="0"/>
          <w:marTop w:val="0"/>
          <w:marBottom w:val="0"/>
          <w:divBdr>
            <w:top w:val="none" w:sz="0" w:space="0" w:color="auto"/>
            <w:left w:val="none" w:sz="0" w:space="0" w:color="auto"/>
            <w:bottom w:val="none" w:sz="0" w:space="0" w:color="auto"/>
            <w:right w:val="none" w:sz="0" w:space="0" w:color="auto"/>
          </w:divBdr>
        </w:div>
        <w:div w:id="2024703018">
          <w:marLeft w:val="0"/>
          <w:marRight w:val="0"/>
          <w:marTop w:val="0"/>
          <w:marBottom w:val="0"/>
          <w:divBdr>
            <w:top w:val="none" w:sz="0" w:space="0" w:color="auto"/>
            <w:left w:val="none" w:sz="0" w:space="0" w:color="auto"/>
            <w:bottom w:val="none" w:sz="0" w:space="0" w:color="auto"/>
            <w:right w:val="none" w:sz="0" w:space="0" w:color="auto"/>
          </w:divBdr>
        </w:div>
        <w:div w:id="2024703019">
          <w:marLeft w:val="0"/>
          <w:marRight w:val="0"/>
          <w:marTop w:val="0"/>
          <w:marBottom w:val="0"/>
          <w:divBdr>
            <w:top w:val="none" w:sz="0" w:space="0" w:color="auto"/>
            <w:left w:val="none" w:sz="0" w:space="0" w:color="auto"/>
            <w:bottom w:val="none" w:sz="0" w:space="0" w:color="auto"/>
            <w:right w:val="none" w:sz="0" w:space="0" w:color="auto"/>
          </w:divBdr>
        </w:div>
        <w:div w:id="2024703020">
          <w:marLeft w:val="0"/>
          <w:marRight w:val="0"/>
          <w:marTop w:val="0"/>
          <w:marBottom w:val="0"/>
          <w:divBdr>
            <w:top w:val="none" w:sz="0" w:space="0" w:color="auto"/>
            <w:left w:val="none" w:sz="0" w:space="0" w:color="auto"/>
            <w:bottom w:val="none" w:sz="0" w:space="0" w:color="auto"/>
            <w:right w:val="none" w:sz="0" w:space="0" w:color="auto"/>
          </w:divBdr>
        </w:div>
        <w:div w:id="2024703021">
          <w:marLeft w:val="0"/>
          <w:marRight w:val="0"/>
          <w:marTop w:val="0"/>
          <w:marBottom w:val="0"/>
          <w:divBdr>
            <w:top w:val="none" w:sz="0" w:space="0" w:color="auto"/>
            <w:left w:val="none" w:sz="0" w:space="0" w:color="auto"/>
            <w:bottom w:val="none" w:sz="0" w:space="0" w:color="auto"/>
            <w:right w:val="none" w:sz="0" w:space="0" w:color="auto"/>
          </w:divBdr>
        </w:div>
        <w:div w:id="2024703022">
          <w:marLeft w:val="0"/>
          <w:marRight w:val="0"/>
          <w:marTop w:val="0"/>
          <w:marBottom w:val="0"/>
          <w:divBdr>
            <w:top w:val="none" w:sz="0" w:space="0" w:color="auto"/>
            <w:left w:val="none" w:sz="0" w:space="0" w:color="auto"/>
            <w:bottom w:val="none" w:sz="0" w:space="0" w:color="auto"/>
            <w:right w:val="none" w:sz="0" w:space="0" w:color="auto"/>
          </w:divBdr>
        </w:div>
        <w:div w:id="2024703023">
          <w:marLeft w:val="0"/>
          <w:marRight w:val="0"/>
          <w:marTop w:val="0"/>
          <w:marBottom w:val="0"/>
          <w:divBdr>
            <w:top w:val="none" w:sz="0" w:space="0" w:color="auto"/>
            <w:left w:val="none" w:sz="0" w:space="0" w:color="auto"/>
            <w:bottom w:val="none" w:sz="0" w:space="0" w:color="auto"/>
            <w:right w:val="none" w:sz="0" w:space="0" w:color="auto"/>
          </w:divBdr>
        </w:div>
        <w:div w:id="2024703024">
          <w:marLeft w:val="0"/>
          <w:marRight w:val="0"/>
          <w:marTop w:val="0"/>
          <w:marBottom w:val="0"/>
          <w:divBdr>
            <w:top w:val="none" w:sz="0" w:space="0" w:color="auto"/>
            <w:left w:val="none" w:sz="0" w:space="0" w:color="auto"/>
            <w:bottom w:val="none" w:sz="0" w:space="0" w:color="auto"/>
            <w:right w:val="none" w:sz="0" w:space="0" w:color="auto"/>
          </w:divBdr>
        </w:div>
        <w:div w:id="2024703025">
          <w:marLeft w:val="0"/>
          <w:marRight w:val="0"/>
          <w:marTop w:val="0"/>
          <w:marBottom w:val="0"/>
          <w:divBdr>
            <w:top w:val="none" w:sz="0" w:space="0" w:color="auto"/>
            <w:left w:val="none" w:sz="0" w:space="0" w:color="auto"/>
            <w:bottom w:val="none" w:sz="0" w:space="0" w:color="auto"/>
            <w:right w:val="none" w:sz="0" w:space="0" w:color="auto"/>
          </w:divBdr>
        </w:div>
        <w:div w:id="2024703026">
          <w:marLeft w:val="0"/>
          <w:marRight w:val="0"/>
          <w:marTop w:val="0"/>
          <w:marBottom w:val="0"/>
          <w:divBdr>
            <w:top w:val="none" w:sz="0" w:space="0" w:color="auto"/>
            <w:left w:val="none" w:sz="0" w:space="0" w:color="auto"/>
            <w:bottom w:val="none" w:sz="0" w:space="0" w:color="auto"/>
            <w:right w:val="none" w:sz="0" w:space="0" w:color="auto"/>
          </w:divBdr>
        </w:div>
        <w:div w:id="2024703027">
          <w:marLeft w:val="0"/>
          <w:marRight w:val="0"/>
          <w:marTop w:val="0"/>
          <w:marBottom w:val="0"/>
          <w:divBdr>
            <w:top w:val="none" w:sz="0" w:space="0" w:color="auto"/>
            <w:left w:val="none" w:sz="0" w:space="0" w:color="auto"/>
            <w:bottom w:val="none" w:sz="0" w:space="0" w:color="auto"/>
            <w:right w:val="none" w:sz="0" w:space="0" w:color="auto"/>
          </w:divBdr>
        </w:div>
        <w:div w:id="2024703028">
          <w:marLeft w:val="0"/>
          <w:marRight w:val="0"/>
          <w:marTop w:val="0"/>
          <w:marBottom w:val="0"/>
          <w:divBdr>
            <w:top w:val="none" w:sz="0" w:space="0" w:color="auto"/>
            <w:left w:val="none" w:sz="0" w:space="0" w:color="auto"/>
            <w:bottom w:val="none" w:sz="0" w:space="0" w:color="auto"/>
            <w:right w:val="none" w:sz="0" w:space="0" w:color="auto"/>
          </w:divBdr>
        </w:div>
        <w:div w:id="2024703030">
          <w:marLeft w:val="0"/>
          <w:marRight w:val="0"/>
          <w:marTop w:val="0"/>
          <w:marBottom w:val="0"/>
          <w:divBdr>
            <w:top w:val="none" w:sz="0" w:space="0" w:color="auto"/>
            <w:left w:val="none" w:sz="0" w:space="0" w:color="auto"/>
            <w:bottom w:val="none" w:sz="0" w:space="0" w:color="auto"/>
            <w:right w:val="none" w:sz="0" w:space="0" w:color="auto"/>
          </w:divBdr>
        </w:div>
        <w:div w:id="2024703031">
          <w:marLeft w:val="0"/>
          <w:marRight w:val="0"/>
          <w:marTop w:val="0"/>
          <w:marBottom w:val="0"/>
          <w:divBdr>
            <w:top w:val="none" w:sz="0" w:space="0" w:color="auto"/>
            <w:left w:val="none" w:sz="0" w:space="0" w:color="auto"/>
            <w:bottom w:val="none" w:sz="0" w:space="0" w:color="auto"/>
            <w:right w:val="none" w:sz="0" w:space="0" w:color="auto"/>
          </w:divBdr>
        </w:div>
        <w:div w:id="2024703032">
          <w:marLeft w:val="0"/>
          <w:marRight w:val="0"/>
          <w:marTop w:val="0"/>
          <w:marBottom w:val="0"/>
          <w:divBdr>
            <w:top w:val="none" w:sz="0" w:space="0" w:color="auto"/>
            <w:left w:val="none" w:sz="0" w:space="0" w:color="auto"/>
            <w:bottom w:val="none" w:sz="0" w:space="0" w:color="auto"/>
            <w:right w:val="none" w:sz="0" w:space="0" w:color="auto"/>
          </w:divBdr>
        </w:div>
        <w:div w:id="2024703033">
          <w:marLeft w:val="0"/>
          <w:marRight w:val="0"/>
          <w:marTop w:val="0"/>
          <w:marBottom w:val="0"/>
          <w:divBdr>
            <w:top w:val="none" w:sz="0" w:space="0" w:color="auto"/>
            <w:left w:val="none" w:sz="0" w:space="0" w:color="auto"/>
            <w:bottom w:val="none" w:sz="0" w:space="0" w:color="auto"/>
            <w:right w:val="none" w:sz="0" w:space="0" w:color="auto"/>
          </w:divBdr>
        </w:div>
        <w:div w:id="2024703034">
          <w:marLeft w:val="0"/>
          <w:marRight w:val="0"/>
          <w:marTop w:val="0"/>
          <w:marBottom w:val="0"/>
          <w:divBdr>
            <w:top w:val="none" w:sz="0" w:space="0" w:color="auto"/>
            <w:left w:val="none" w:sz="0" w:space="0" w:color="auto"/>
            <w:bottom w:val="none" w:sz="0" w:space="0" w:color="auto"/>
            <w:right w:val="none" w:sz="0" w:space="0" w:color="auto"/>
          </w:divBdr>
        </w:div>
        <w:div w:id="2024703035">
          <w:marLeft w:val="0"/>
          <w:marRight w:val="0"/>
          <w:marTop w:val="0"/>
          <w:marBottom w:val="0"/>
          <w:divBdr>
            <w:top w:val="none" w:sz="0" w:space="0" w:color="auto"/>
            <w:left w:val="none" w:sz="0" w:space="0" w:color="auto"/>
            <w:bottom w:val="none" w:sz="0" w:space="0" w:color="auto"/>
            <w:right w:val="none" w:sz="0" w:space="0" w:color="auto"/>
          </w:divBdr>
        </w:div>
        <w:div w:id="2024703036">
          <w:marLeft w:val="0"/>
          <w:marRight w:val="0"/>
          <w:marTop w:val="0"/>
          <w:marBottom w:val="0"/>
          <w:divBdr>
            <w:top w:val="none" w:sz="0" w:space="0" w:color="auto"/>
            <w:left w:val="none" w:sz="0" w:space="0" w:color="auto"/>
            <w:bottom w:val="none" w:sz="0" w:space="0" w:color="auto"/>
            <w:right w:val="none" w:sz="0" w:space="0" w:color="auto"/>
          </w:divBdr>
        </w:div>
        <w:div w:id="2024703037">
          <w:marLeft w:val="0"/>
          <w:marRight w:val="0"/>
          <w:marTop w:val="0"/>
          <w:marBottom w:val="0"/>
          <w:divBdr>
            <w:top w:val="none" w:sz="0" w:space="0" w:color="auto"/>
            <w:left w:val="none" w:sz="0" w:space="0" w:color="auto"/>
            <w:bottom w:val="none" w:sz="0" w:space="0" w:color="auto"/>
            <w:right w:val="none" w:sz="0" w:space="0" w:color="auto"/>
          </w:divBdr>
        </w:div>
        <w:div w:id="2024703038">
          <w:marLeft w:val="0"/>
          <w:marRight w:val="0"/>
          <w:marTop w:val="0"/>
          <w:marBottom w:val="0"/>
          <w:divBdr>
            <w:top w:val="none" w:sz="0" w:space="0" w:color="auto"/>
            <w:left w:val="none" w:sz="0" w:space="0" w:color="auto"/>
            <w:bottom w:val="none" w:sz="0" w:space="0" w:color="auto"/>
            <w:right w:val="none" w:sz="0" w:space="0" w:color="auto"/>
          </w:divBdr>
        </w:div>
        <w:div w:id="2024703041">
          <w:marLeft w:val="0"/>
          <w:marRight w:val="0"/>
          <w:marTop w:val="0"/>
          <w:marBottom w:val="0"/>
          <w:divBdr>
            <w:top w:val="none" w:sz="0" w:space="0" w:color="auto"/>
            <w:left w:val="none" w:sz="0" w:space="0" w:color="auto"/>
            <w:bottom w:val="none" w:sz="0" w:space="0" w:color="auto"/>
            <w:right w:val="none" w:sz="0" w:space="0" w:color="auto"/>
          </w:divBdr>
        </w:div>
        <w:div w:id="2024703042">
          <w:marLeft w:val="0"/>
          <w:marRight w:val="0"/>
          <w:marTop w:val="0"/>
          <w:marBottom w:val="0"/>
          <w:divBdr>
            <w:top w:val="none" w:sz="0" w:space="0" w:color="auto"/>
            <w:left w:val="none" w:sz="0" w:space="0" w:color="auto"/>
            <w:bottom w:val="none" w:sz="0" w:space="0" w:color="auto"/>
            <w:right w:val="none" w:sz="0" w:space="0" w:color="auto"/>
          </w:divBdr>
        </w:div>
        <w:div w:id="2024703043">
          <w:marLeft w:val="0"/>
          <w:marRight w:val="0"/>
          <w:marTop w:val="0"/>
          <w:marBottom w:val="0"/>
          <w:divBdr>
            <w:top w:val="none" w:sz="0" w:space="0" w:color="auto"/>
            <w:left w:val="none" w:sz="0" w:space="0" w:color="auto"/>
            <w:bottom w:val="none" w:sz="0" w:space="0" w:color="auto"/>
            <w:right w:val="none" w:sz="0" w:space="0" w:color="auto"/>
          </w:divBdr>
        </w:div>
        <w:div w:id="2024703044">
          <w:marLeft w:val="0"/>
          <w:marRight w:val="0"/>
          <w:marTop w:val="0"/>
          <w:marBottom w:val="0"/>
          <w:divBdr>
            <w:top w:val="none" w:sz="0" w:space="0" w:color="auto"/>
            <w:left w:val="none" w:sz="0" w:space="0" w:color="auto"/>
            <w:bottom w:val="none" w:sz="0" w:space="0" w:color="auto"/>
            <w:right w:val="none" w:sz="0" w:space="0" w:color="auto"/>
          </w:divBdr>
        </w:div>
        <w:div w:id="2024703045">
          <w:marLeft w:val="0"/>
          <w:marRight w:val="0"/>
          <w:marTop w:val="0"/>
          <w:marBottom w:val="0"/>
          <w:divBdr>
            <w:top w:val="none" w:sz="0" w:space="0" w:color="auto"/>
            <w:left w:val="none" w:sz="0" w:space="0" w:color="auto"/>
            <w:bottom w:val="none" w:sz="0" w:space="0" w:color="auto"/>
            <w:right w:val="none" w:sz="0" w:space="0" w:color="auto"/>
          </w:divBdr>
        </w:div>
        <w:div w:id="2024703046">
          <w:marLeft w:val="0"/>
          <w:marRight w:val="0"/>
          <w:marTop w:val="0"/>
          <w:marBottom w:val="0"/>
          <w:divBdr>
            <w:top w:val="none" w:sz="0" w:space="0" w:color="auto"/>
            <w:left w:val="none" w:sz="0" w:space="0" w:color="auto"/>
            <w:bottom w:val="none" w:sz="0" w:space="0" w:color="auto"/>
            <w:right w:val="none" w:sz="0" w:space="0" w:color="auto"/>
          </w:divBdr>
        </w:div>
        <w:div w:id="2024703047">
          <w:marLeft w:val="0"/>
          <w:marRight w:val="0"/>
          <w:marTop w:val="0"/>
          <w:marBottom w:val="0"/>
          <w:divBdr>
            <w:top w:val="none" w:sz="0" w:space="0" w:color="auto"/>
            <w:left w:val="none" w:sz="0" w:space="0" w:color="auto"/>
            <w:bottom w:val="none" w:sz="0" w:space="0" w:color="auto"/>
            <w:right w:val="none" w:sz="0" w:space="0" w:color="auto"/>
          </w:divBdr>
        </w:div>
        <w:div w:id="2024703048">
          <w:marLeft w:val="0"/>
          <w:marRight w:val="0"/>
          <w:marTop w:val="0"/>
          <w:marBottom w:val="0"/>
          <w:divBdr>
            <w:top w:val="none" w:sz="0" w:space="0" w:color="auto"/>
            <w:left w:val="none" w:sz="0" w:space="0" w:color="auto"/>
            <w:bottom w:val="none" w:sz="0" w:space="0" w:color="auto"/>
            <w:right w:val="none" w:sz="0" w:space="0" w:color="auto"/>
          </w:divBdr>
        </w:div>
        <w:div w:id="2024703049">
          <w:marLeft w:val="0"/>
          <w:marRight w:val="0"/>
          <w:marTop w:val="0"/>
          <w:marBottom w:val="0"/>
          <w:divBdr>
            <w:top w:val="none" w:sz="0" w:space="0" w:color="auto"/>
            <w:left w:val="none" w:sz="0" w:space="0" w:color="auto"/>
            <w:bottom w:val="none" w:sz="0" w:space="0" w:color="auto"/>
            <w:right w:val="none" w:sz="0" w:space="0" w:color="auto"/>
          </w:divBdr>
        </w:div>
        <w:div w:id="2024703050">
          <w:marLeft w:val="0"/>
          <w:marRight w:val="0"/>
          <w:marTop w:val="0"/>
          <w:marBottom w:val="0"/>
          <w:divBdr>
            <w:top w:val="none" w:sz="0" w:space="0" w:color="auto"/>
            <w:left w:val="none" w:sz="0" w:space="0" w:color="auto"/>
            <w:bottom w:val="none" w:sz="0" w:space="0" w:color="auto"/>
            <w:right w:val="none" w:sz="0" w:space="0" w:color="auto"/>
          </w:divBdr>
        </w:div>
        <w:div w:id="2024703051">
          <w:marLeft w:val="0"/>
          <w:marRight w:val="0"/>
          <w:marTop w:val="0"/>
          <w:marBottom w:val="0"/>
          <w:divBdr>
            <w:top w:val="none" w:sz="0" w:space="0" w:color="auto"/>
            <w:left w:val="none" w:sz="0" w:space="0" w:color="auto"/>
            <w:bottom w:val="none" w:sz="0" w:space="0" w:color="auto"/>
            <w:right w:val="none" w:sz="0" w:space="0" w:color="auto"/>
          </w:divBdr>
        </w:div>
        <w:div w:id="2024703052">
          <w:marLeft w:val="0"/>
          <w:marRight w:val="0"/>
          <w:marTop w:val="0"/>
          <w:marBottom w:val="0"/>
          <w:divBdr>
            <w:top w:val="none" w:sz="0" w:space="0" w:color="auto"/>
            <w:left w:val="none" w:sz="0" w:space="0" w:color="auto"/>
            <w:bottom w:val="none" w:sz="0" w:space="0" w:color="auto"/>
            <w:right w:val="none" w:sz="0" w:space="0" w:color="auto"/>
          </w:divBdr>
        </w:div>
        <w:div w:id="2024703053">
          <w:marLeft w:val="0"/>
          <w:marRight w:val="0"/>
          <w:marTop w:val="0"/>
          <w:marBottom w:val="0"/>
          <w:divBdr>
            <w:top w:val="none" w:sz="0" w:space="0" w:color="auto"/>
            <w:left w:val="none" w:sz="0" w:space="0" w:color="auto"/>
            <w:bottom w:val="none" w:sz="0" w:space="0" w:color="auto"/>
            <w:right w:val="none" w:sz="0" w:space="0" w:color="auto"/>
          </w:divBdr>
        </w:div>
        <w:div w:id="2024703054">
          <w:marLeft w:val="0"/>
          <w:marRight w:val="0"/>
          <w:marTop w:val="0"/>
          <w:marBottom w:val="0"/>
          <w:divBdr>
            <w:top w:val="none" w:sz="0" w:space="0" w:color="auto"/>
            <w:left w:val="none" w:sz="0" w:space="0" w:color="auto"/>
            <w:bottom w:val="none" w:sz="0" w:space="0" w:color="auto"/>
            <w:right w:val="none" w:sz="0" w:space="0" w:color="auto"/>
          </w:divBdr>
        </w:div>
        <w:div w:id="2024703055">
          <w:marLeft w:val="0"/>
          <w:marRight w:val="0"/>
          <w:marTop w:val="0"/>
          <w:marBottom w:val="0"/>
          <w:divBdr>
            <w:top w:val="none" w:sz="0" w:space="0" w:color="auto"/>
            <w:left w:val="none" w:sz="0" w:space="0" w:color="auto"/>
            <w:bottom w:val="none" w:sz="0" w:space="0" w:color="auto"/>
            <w:right w:val="none" w:sz="0" w:space="0" w:color="auto"/>
          </w:divBdr>
        </w:div>
        <w:div w:id="2024703056">
          <w:marLeft w:val="0"/>
          <w:marRight w:val="0"/>
          <w:marTop w:val="0"/>
          <w:marBottom w:val="0"/>
          <w:divBdr>
            <w:top w:val="none" w:sz="0" w:space="0" w:color="auto"/>
            <w:left w:val="none" w:sz="0" w:space="0" w:color="auto"/>
            <w:bottom w:val="none" w:sz="0" w:space="0" w:color="auto"/>
            <w:right w:val="none" w:sz="0" w:space="0" w:color="auto"/>
          </w:divBdr>
        </w:div>
        <w:div w:id="2024703057">
          <w:marLeft w:val="0"/>
          <w:marRight w:val="0"/>
          <w:marTop w:val="0"/>
          <w:marBottom w:val="0"/>
          <w:divBdr>
            <w:top w:val="none" w:sz="0" w:space="0" w:color="auto"/>
            <w:left w:val="none" w:sz="0" w:space="0" w:color="auto"/>
            <w:bottom w:val="none" w:sz="0" w:space="0" w:color="auto"/>
            <w:right w:val="none" w:sz="0" w:space="0" w:color="auto"/>
          </w:divBdr>
        </w:div>
        <w:div w:id="2024703058">
          <w:marLeft w:val="0"/>
          <w:marRight w:val="0"/>
          <w:marTop w:val="0"/>
          <w:marBottom w:val="0"/>
          <w:divBdr>
            <w:top w:val="none" w:sz="0" w:space="0" w:color="auto"/>
            <w:left w:val="none" w:sz="0" w:space="0" w:color="auto"/>
            <w:bottom w:val="none" w:sz="0" w:space="0" w:color="auto"/>
            <w:right w:val="none" w:sz="0" w:space="0" w:color="auto"/>
          </w:divBdr>
        </w:div>
        <w:div w:id="2024703059">
          <w:marLeft w:val="0"/>
          <w:marRight w:val="0"/>
          <w:marTop w:val="0"/>
          <w:marBottom w:val="0"/>
          <w:divBdr>
            <w:top w:val="none" w:sz="0" w:space="0" w:color="auto"/>
            <w:left w:val="none" w:sz="0" w:space="0" w:color="auto"/>
            <w:bottom w:val="none" w:sz="0" w:space="0" w:color="auto"/>
            <w:right w:val="none" w:sz="0" w:space="0" w:color="auto"/>
          </w:divBdr>
        </w:div>
        <w:div w:id="2024703060">
          <w:marLeft w:val="0"/>
          <w:marRight w:val="0"/>
          <w:marTop w:val="0"/>
          <w:marBottom w:val="0"/>
          <w:divBdr>
            <w:top w:val="none" w:sz="0" w:space="0" w:color="auto"/>
            <w:left w:val="none" w:sz="0" w:space="0" w:color="auto"/>
            <w:bottom w:val="none" w:sz="0" w:space="0" w:color="auto"/>
            <w:right w:val="none" w:sz="0" w:space="0" w:color="auto"/>
          </w:divBdr>
        </w:div>
        <w:div w:id="2024703061">
          <w:marLeft w:val="0"/>
          <w:marRight w:val="0"/>
          <w:marTop w:val="0"/>
          <w:marBottom w:val="0"/>
          <w:divBdr>
            <w:top w:val="none" w:sz="0" w:space="0" w:color="auto"/>
            <w:left w:val="none" w:sz="0" w:space="0" w:color="auto"/>
            <w:bottom w:val="none" w:sz="0" w:space="0" w:color="auto"/>
            <w:right w:val="none" w:sz="0" w:space="0" w:color="auto"/>
          </w:divBdr>
        </w:div>
        <w:div w:id="2024703062">
          <w:marLeft w:val="0"/>
          <w:marRight w:val="0"/>
          <w:marTop w:val="0"/>
          <w:marBottom w:val="0"/>
          <w:divBdr>
            <w:top w:val="none" w:sz="0" w:space="0" w:color="auto"/>
            <w:left w:val="none" w:sz="0" w:space="0" w:color="auto"/>
            <w:bottom w:val="none" w:sz="0" w:space="0" w:color="auto"/>
            <w:right w:val="none" w:sz="0" w:space="0" w:color="auto"/>
          </w:divBdr>
        </w:div>
        <w:div w:id="2024703063">
          <w:marLeft w:val="0"/>
          <w:marRight w:val="0"/>
          <w:marTop w:val="0"/>
          <w:marBottom w:val="0"/>
          <w:divBdr>
            <w:top w:val="none" w:sz="0" w:space="0" w:color="auto"/>
            <w:left w:val="none" w:sz="0" w:space="0" w:color="auto"/>
            <w:bottom w:val="none" w:sz="0" w:space="0" w:color="auto"/>
            <w:right w:val="none" w:sz="0" w:space="0" w:color="auto"/>
          </w:divBdr>
        </w:div>
        <w:div w:id="2024703064">
          <w:marLeft w:val="0"/>
          <w:marRight w:val="0"/>
          <w:marTop w:val="0"/>
          <w:marBottom w:val="0"/>
          <w:divBdr>
            <w:top w:val="none" w:sz="0" w:space="0" w:color="auto"/>
            <w:left w:val="none" w:sz="0" w:space="0" w:color="auto"/>
            <w:bottom w:val="none" w:sz="0" w:space="0" w:color="auto"/>
            <w:right w:val="none" w:sz="0" w:space="0" w:color="auto"/>
          </w:divBdr>
        </w:div>
        <w:div w:id="2024703065">
          <w:marLeft w:val="0"/>
          <w:marRight w:val="0"/>
          <w:marTop w:val="0"/>
          <w:marBottom w:val="0"/>
          <w:divBdr>
            <w:top w:val="none" w:sz="0" w:space="0" w:color="auto"/>
            <w:left w:val="none" w:sz="0" w:space="0" w:color="auto"/>
            <w:bottom w:val="none" w:sz="0" w:space="0" w:color="auto"/>
            <w:right w:val="none" w:sz="0" w:space="0" w:color="auto"/>
          </w:divBdr>
        </w:div>
        <w:div w:id="2024703066">
          <w:marLeft w:val="0"/>
          <w:marRight w:val="0"/>
          <w:marTop w:val="0"/>
          <w:marBottom w:val="0"/>
          <w:divBdr>
            <w:top w:val="none" w:sz="0" w:space="0" w:color="auto"/>
            <w:left w:val="none" w:sz="0" w:space="0" w:color="auto"/>
            <w:bottom w:val="none" w:sz="0" w:space="0" w:color="auto"/>
            <w:right w:val="none" w:sz="0" w:space="0" w:color="auto"/>
          </w:divBdr>
        </w:div>
        <w:div w:id="2024703067">
          <w:marLeft w:val="0"/>
          <w:marRight w:val="0"/>
          <w:marTop w:val="0"/>
          <w:marBottom w:val="0"/>
          <w:divBdr>
            <w:top w:val="none" w:sz="0" w:space="0" w:color="auto"/>
            <w:left w:val="none" w:sz="0" w:space="0" w:color="auto"/>
            <w:bottom w:val="none" w:sz="0" w:space="0" w:color="auto"/>
            <w:right w:val="none" w:sz="0" w:space="0" w:color="auto"/>
          </w:divBdr>
        </w:div>
        <w:div w:id="2024703068">
          <w:marLeft w:val="0"/>
          <w:marRight w:val="0"/>
          <w:marTop w:val="0"/>
          <w:marBottom w:val="0"/>
          <w:divBdr>
            <w:top w:val="none" w:sz="0" w:space="0" w:color="auto"/>
            <w:left w:val="none" w:sz="0" w:space="0" w:color="auto"/>
            <w:bottom w:val="none" w:sz="0" w:space="0" w:color="auto"/>
            <w:right w:val="none" w:sz="0" w:space="0" w:color="auto"/>
          </w:divBdr>
        </w:div>
        <w:div w:id="2024703069">
          <w:marLeft w:val="0"/>
          <w:marRight w:val="0"/>
          <w:marTop w:val="0"/>
          <w:marBottom w:val="0"/>
          <w:divBdr>
            <w:top w:val="none" w:sz="0" w:space="0" w:color="auto"/>
            <w:left w:val="none" w:sz="0" w:space="0" w:color="auto"/>
            <w:bottom w:val="none" w:sz="0" w:space="0" w:color="auto"/>
            <w:right w:val="none" w:sz="0" w:space="0" w:color="auto"/>
          </w:divBdr>
        </w:div>
        <w:div w:id="2024703070">
          <w:marLeft w:val="0"/>
          <w:marRight w:val="0"/>
          <w:marTop w:val="0"/>
          <w:marBottom w:val="0"/>
          <w:divBdr>
            <w:top w:val="none" w:sz="0" w:space="0" w:color="auto"/>
            <w:left w:val="none" w:sz="0" w:space="0" w:color="auto"/>
            <w:bottom w:val="none" w:sz="0" w:space="0" w:color="auto"/>
            <w:right w:val="none" w:sz="0" w:space="0" w:color="auto"/>
          </w:divBdr>
        </w:div>
        <w:div w:id="2024703071">
          <w:marLeft w:val="0"/>
          <w:marRight w:val="0"/>
          <w:marTop w:val="0"/>
          <w:marBottom w:val="0"/>
          <w:divBdr>
            <w:top w:val="none" w:sz="0" w:space="0" w:color="auto"/>
            <w:left w:val="none" w:sz="0" w:space="0" w:color="auto"/>
            <w:bottom w:val="none" w:sz="0" w:space="0" w:color="auto"/>
            <w:right w:val="none" w:sz="0" w:space="0" w:color="auto"/>
          </w:divBdr>
        </w:div>
        <w:div w:id="2024703072">
          <w:marLeft w:val="0"/>
          <w:marRight w:val="0"/>
          <w:marTop w:val="0"/>
          <w:marBottom w:val="0"/>
          <w:divBdr>
            <w:top w:val="none" w:sz="0" w:space="0" w:color="auto"/>
            <w:left w:val="none" w:sz="0" w:space="0" w:color="auto"/>
            <w:bottom w:val="none" w:sz="0" w:space="0" w:color="auto"/>
            <w:right w:val="none" w:sz="0" w:space="0" w:color="auto"/>
          </w:divBdr>
        </w:div>
        <w:div w:id="2024703073">
          <w:marLeft w:val="0"/>
          <w:marRight w:val="0"/>
          <w:marTop w:val="0"/>
          <w:marBottom w:val="0"/>
          <w:divBdr>
            <w:top w:val="none" w:sz="0" w:space="0" w:color="auto"/>
            <w:left w:val="none" w:sz="0" w:space="0" w:color="auto"/>
            <w:bottom w:val="none" w:sz="0" w:space="0" w:color="auto"/>
            <w:right w:val="none" w:sz="0" w:space="0" w:color="auto"/>
          </w:divBdr>
        </w:div>
        <w:div w:id="2024703075">
          <w:marLeft w:val="0"/>
          <w:marRight w:val="0"/>
          <w:marTop w:val="0"/>
          <w:marBottom w:val="0"/>
          <w:divBdr>
            <w:top w:val="none" w:sz="0" w:space="0" w:color="auto"/>
            <w:left w:val="none" w:sz="0" w:space="0" w:color="auto"/>
            <w:bottom w:val="none" w:sz="0" w:space="0" w:color="auto"/>
            <w:right w:val="none" w:sz="0" w:space="0" w:color="auto"/>
          </w:divBdr>
        </w:div>
        <w:div w:id="2024703076">
          <w:marLeft w:val="0"/>
          <w:marRight w:val="0"/>
          <w:marTop w:val="0"/>
          <w:marBottom w:val="0"/>
          <w:divBdr>
            <w:top w:val="none" w:sz="0" w:space="0" w:color="auto"/>
            <w:left w:val="none" w:sz="0" w:space="0" w:color="auto"/>
            <w:bottom w:val="none" w:sz="0" w:space="0" w:color="auto"/>
            <w:right w:val="none" w:sz="0" w:space="0" w:color="auto"/>
          </w:divBdr>
        </w:div>
        <w:div w:id="2024703077">
          <w:marLeft w:val="0"/>
          <w:marRight w:val="0"/>
          <w:marTop w:val="0"/>
          <w:marBottom w:val="0"/>
          <w:divBdr>
            <w:top w:val="none" w:sz="0" w:space="0" w:color="auto"/>
            <w:left w:val="none" w:sz="0" w:space="0" w:color="auto"/>
            <w:bottom w:val="none" w:sz="0" w:space="0" w:color="auto"/>
            <w:right w:val="none" w:sz="0" w:space="0" w:color="auto"/>
          </w:divBdr>
        </w:div>
        <w:div w:id="2024703078">
          <w:marLeft w:val="0"/>
          <w:marRight w:val="0"/>
          <w:marTop w:val="0"/>
          <w:marBottom w:val="0"/>
          <w:divBdr>
            <w:top w:val="none" w:sz="0" w:space="0" w:color="auto"/>
            <w:left w:val="none" w:sz="0" w:space="0" w:color="auto"/>
            <w:bottom w:val="none" w:sz="0" w:space="0" w:color="auto"/>
            <w:right w:val="none" w:sz="0" w:space="0" w:color="auto"/>
          </w:divBdr>
        </w:div>
        <w:div w:id="2024703079">
          <w:marLeft w:val="0"/>
          <w:marRight w:val="0"/>
          <w:marTop w:val="0"/>
          <w:marBottom w:val="0"/>
          <w:divBdr>
            <w:top w:val="none" w:sz="0" w:space="0" w:color="auto"/>
            <w:left w:val="none" w:sz="0" w:space="0" w:color="auto"/>
            <w:bottom w:val="none" w:sz="0" w:space="0" w:color="auto"/>
            <w:right w:val="none" w:sz="0" w:space="0" w:color="auto"/>
          </w:divBdr>
        </w:div>
        <w:div w:id="2024703080">
          <w:marLeft w:val="0"/>
          <w:marRight w:val="0"/>
          <w:marTop w:val="0"/>
          <w:marBottom w:val="0"/>
          <w:divBdr>
            <w:top w:val="none" w:sz="0" w:space="0" w:color="auto"/>
            <w:left w:val="none" w:sz="0" w:space="0" w:color="auto"/>
            <w:bottom w:val="none" w:sz="0" w:space="0" w:color="auto"/>
            <w:right w:val="none" w:sz="0" w:space="0" w:color="auto"/>
          </w:divBdr>
        </w:div>
        <w:div w:id="2024703081">
          <w:marLeft w:val="0"/>
          <w:marRight w:val="0"/>
          <w:marTop w:val="0"/>
          <w:marBottom w:val="0"/>
          <w:divBdr>
            <w:top w:val="none" w:sz="0" w:space="0" w:color="auto"/>
            <w:left w:val="none" w:sz="0" w:space="0" w:color="auto"/>
            <w:bottom w:val="none" w:sz="0" w:space="0" w:color="auto"/>
            <w:right w:val="none" w:sz="0" w:space="0" w:color="auto"/>
          </w:divBdr>
        </w:div>
        <w:div w:id="2024703082">
          <w:marLeft w:val="0"/>
          <w:marRight w:val="0"/>
          <w:marTop w:val="0"/>
          <w:marBottom w:val="0"/>
          <w:divBdr>
            <w:top w:val="none" w:sz="0" w:space="0" w:color="auto"/>
            <w:left w:val="none" w:sz="0" w:space="0" w:color="auto"/>
            <w:bottom w:val="none" w:sz="0" w:space="0" w:color="auto"/>
            <w:right w:val="none" w:sz="0" w:space="0" w:color="auto"/>
          </w:divBdr>
        </w:div>
        <w:div w:id="2024703083">
          <w:marLeft w:val="0"/>
          <w:marRight w:val="0"/>
          <w:marTop w:val="0"/>
          <w:marBottom w:val="0"/>
          <w:divBdr>
            <w:top w:val="none" w:sz="0" w:space="0" w:color="auto"/>
            <w:left w:val="none" w:sz="0" w:space="0" w:color="auto"/>
            <w:bottom w:val="none" w:sz="0" w:space="0" w:color="auto"/>
            <w:right w:val="none" w:sz="0" w:space="0" w:color="auto"/>
          </w:divBdr>
        </w:div>
        <w:div w:id="2024703084">
          <w:marLeft w:val="0"/>
          <w:marRight w:val="0"/>
          <w:marTop w:val="0"/>
          <w:marBottom w:val="0"/>
          <w:divBdr>
            <w:top w:val="none" w:sz="0" w:space="0" w:color="auto"/>
            <w:left w:val="none" w:sz="0" w:space="0" w:color="auto"/>
            <w:bottom w:val="none" w:sz="0" w:space="0" w:color="auto"/>
            <w:right w:val="none" w:sz="0" w:space="0" w:color="auto"/>
          </w:divBdr>
        </w:div>
        <w:div w:id="2024703085">
          <w:marLeft w:val="0"/>
          <w:marRight w:val="0"/>
          <w:marTop w:val="0"/>
          <w:marBottom w:val="0"/>
          <w:divBdr>
            <w:top w:val="none" w:sz="0" w:space="0" w:color="auto"/>
            <w:left w:val="none" w:sz="0" w:space="0" w:color="auto"/>
            <w:bottom w:val="none" w:sz="0" w:space="0" w:color="auto"/>
            <w:right w:val="none" w:sz="0" w:space="0" w:color="auto"/>
          </w:divBdr>
        </w:div>
        <w:div w:id="2024703086">
          <w:marLeft w:val="0"/>
          <w:marRight w:val="0"/>
          <w:marTop w:val="0"/>
          <w:marBottom w:val="0"/>
          <w:divBdr>
            <w:top w:val="none" w:sz="0" w:space="0" w:color="auto"/>
            <w:left w:val="none" w:sz="0" w:space="0" w:color="auto"/>
            <w:bottom w:val="none" w:sz="0" w:space="0" w:color="auto"/>
            <w:right w:val="none" w:sz="0" w:space="0" w:color="auto"/>
          </w:divBdr>
        </w:div>
        <w:div w:id="2024703088">
          <w:marLeft w:val="0"/>
          <w:marRight w:val="0"/>
          <w:marTop w:val="0"/>
          <w:marBottom w:val="0"/>
          <w:divBdr>
            <w:top w:val="none" w:sz="0" w:space="0" w:color="auto"/>
            <w:left w:val="none" w:sz="0" w:space="0" w:color="auto"/>
            <w:bottom w:val="none" w:sz="0" w:space="0" w:color="auto"/>
            <w:right w:val="none" w:sz="0" w:space="0" w:color="auto"/>
          </w:divBdr>
        </w:div>
        <w:div w:id="2024703089">
          <w:marLeft w:val="0"/>
          <w:marRight w:val="0"/>
          <w:marTop w:val="0"/>
          <w:marBottom w:val="0"/>
          <w:divBdr>
            <w:top w:val="none" w:sz="0" w:space="0" w:color="auto"/>
            <w:left w:val="none" w:sz="0" w:space="0" w:color="auto"/>
            <w:bottom w:val="none" w:sz="0" w:space="0" w:color="auto"/>
            <w:right w:val="none" w:sz="0" w:space="0" w:color="auto"/>
          </w:divBdr>
        </w:div>
        <w:div w:id="2024703090">
          <w:marLeft w:val="0"/>
          <w:marRight w:val="0"/>
          <w:marTop w:val="0"/>
          <w:marBottom w:val="0"/>
          <w:divBdr>
            <w:top w:val="none" w:sz="0" w:space="0" w:color="auto"/>
            <w:left w:val="none" w:sz="0" w:space="0" w:color="auto"/>
            <w:bottom w:val="none" w:sz="0" w:space="0" w:color="auto"/>
            <w:right w:val="none" w:sz="0" w:space="0" w:color="auto"/>
          </w:divBdr>
        </w:div>
        <w:div w:id="2024703091">
          <w:marLeft w:val="0"/>
          <w:marRight w:val="0"/>
          <w:marTop w:val="0"/>
          <w:marBottom w:val="0"/>
          <w:divBdr>
            <w:top w:val="none" w:sz="0" w:space="0" w:color="auto"/>
            <w:left w:val="none" w:sz="0" w:space="0" w:color="auto"/>
            <w:bottom w:val="none" w:sz="0" w:space="0" w:color="auto"/>
            <w:right w:val="none" w:sz="0" w:space="0" w:color="auto"/>
          </w:divBdr>
        </w:div>
        <w:div w:id="2024703092">
          <w:marLeft w:val="0"/>
          <w:marRight w:val="0"/>
          <w:marTop w:val="0"/>
          <w:marBottom w:val="0"/>
          <w:divBdr>
            <w:top w:val="none" w:sz="0" w:space="0" w:color="auto"/>
            <w:left w:val="none" w:sz="0" w:space="0" w:color="auto"/>
            <w:bottom w:val="none" w:sz="0" w:space="0" w:color="auto"/>
            <w:right w:val="none" w:sz="0" w:space="0" w:color="auto"/>
          </w:divBdr>
        </w:div>
        <w:div w:id="2024703093">
          <w:marLeft w:val="0"/>
          <w:marRight w:val="0"/>
          <w:marTop w:val="0"/>
          <w:marBottom w:val="0"/>
          <w:divBdr>
            <w:top w:val="none" w:sz="0" w:space="0" w:color="auto"/>
            <w:left w:val="none" w:sz="0" w:space="0" w:color="auto"/>
            <w:bottom w:val="none" w:sz="0" w:space="0" w:color="auto"/>
            <w:right w:val="none" w:sz="0" w:space="0" w:color="auto"/>
          </w:divBdr>
        </w:div>
        <w:div w:id="2024703094">
          <w:marLeft w:val="0"/>
          <w:marRight w:val="0"/>
          <w:marTop w:val="0"/>
          <w:marBottom w:val="0"/>
          <w:divBdr>
            <w:top w:val="none" w:sz="0" w:space="0" w:color="auto"/>
            <w:left w:val="none" w:sz="0" w:space="0" w:color="auto"/>
            <w:bottom w:val="none" w:sz="0" w:space="0" w:color="auto"/>
            <w:right w:val="none" w:sz="0" w:space="0" w:color="auto"/>
          </w:divBdr>
        </w:div>
        <w:div w:id="2024703095">
          <w:marLeft w:val="0"/>
          <w:marRight w:val="0"/>
          <w:marTop w:val="0"/>
          <w:marBottom w:val="0"/>
          <w:divBdr>
            <w:top w:val="none" w:sz="0" w:space="0" w:color="auto"/>
            <w:left w:val="none" w:sz="0" w:space="0" w:color="auto"/>
            <w:bottom w:val="none" w:sz="0" w:space="0" w:color="auto"/>
            <w:right w:val="none" w:sz="0" w:space="0" w:color="auto"/>
          </w:divBdr>
        </w:div>
        <w:div w:id="2024703096">
          <w:marLeft w:val="0"/>
          <w:marRight w:val="0"/>
          <w:marTop w:val="0"/>
          <w:marBottom w:val="0"/>
          <w:divBdr>
            <w:top w:val="none" w:sz="0" w:space="0" w:color="auto"/>
            <w:left w:val="none" w:sz="0" w:space="0" w:color="auto"/>
            <w:bottom w:val="none" w:sz="0" w:space="0" w:color="auto"/>
            <w:right w:val="none" w:sz="0" w:space="0" w:color="auto"/>
          </w:divBdr>
        </w:div>
        <w:div w:id="2024703097">
          <w:marLeft w:val="0"/>
          <w:marRight w:val="0"/>
          <w:marTop w:val="0"/>
          <w:marBottom w:val="0"/>
          <w:divBdr>
            <w:top w:val="none" w:sz="0" w:space="0" w:color="auto"/>
            <w:left w:val="none" w:sz="0" w:space="0" w:color="auto"/>
            <w:bottom w:val="none" w:sz="0" w:space="0" w:color="auto"/>
            <w:right w:val="none" w:sz="0" w:space="0" w:color="auto"/>
          </w:divBdr>
        </w:div>
        <w:div w:id="2024703098">
          <w:marLeft w:val="0"/>
          <w:marRight w:val="0"/>
          <w:marTop w:val="0"/>
          <w:marBottom w:val="0"/>
          <w:divBdr>
            <w:top w:val="none" w:sz="0" w:space="0" w:color="auto"/>
            <w:left w:val="none" w:sz="0" w:space="0" w:color="auto"/>
            <w:bottom w:val="none" w:sz="0" w:space="0" w:color="auto"/>
            <w:right w:val="none" w:sz="0" w:space="0" w:color="auto"/>
          </w:divBdr>
        </w:div>
        <w:div w:id="2024703099">
          <w:marLeft w:val="0"/>
          <w:marRight w:val="0"/>
          <w:marTop w:val="0"/>
          <w:marBottom w:val="0"/>
          <w:divBdr>
            <w:top w:val="none" w:sz="0" w:space="0" w:color="auto"/>
            <w:left w:val="none" w:sz="0" w:space="0" w:color="auto"/>
            <w:bottom w:val="none" w:sz="0" w:space="0" w:color="auto"/>
            <w:right w:val="none" w:sz="0" w:space="0" w:color="auto"/>
          </w:divBdr>
        </w:div>
        <w:div w:id="2024703101">
          <w:marLeft w:val="0"/>
          <w:marRight w:val="0"/>
          <w:marTop w:val="0"/>
          <w:marBottom w:val="0"/>
          <w:divBdr>
            <w:top w:val="none" w:sz="0" w:space="0" w:color="auto"/>
            <w:left w:val="none" w:sz="0" w:space="0" w:color="auto"/>
            <w:bottom w:val="none" w:sz="0" w:space="0" w:color="auto"/>
            <w:right w:val="none" w:sz="0" w:space="0" w:color="auto"/>
          </w:divBdr>
        </w:div>
        <w:div w:id="2024703102">
          <w:marLeft w:val="0"/>
          <w:marRight w:val="0"/>
          <w:marTop w:val="0"/>
          <w:marBottom w:val="0"/>
          <w:divBdr>
            <w:top w:val="none" w:sz="0" w:space="0" w:color="auto"/>
            <w:left w:val="none" w:sz="0" w:space="0" w:color="auto"/>
            <w:bottom w:val="none" w:sz="0" w:space="0" w:color="auto"/>
            <w:right w:val="none" w:sz="0" w:space="0" w:color="auto"/>
          </w:divBdr>
        </w:div>
        <w:div w:id="2024703103">
          <w:marLeft w:val="0"/>
          <w:marRight w:val="0"/>
          <w:marTop w:val="0"/>
          <w:marBottom w:val="0"/>
          <w:divBdr>
            <w:top w:val="none" w:sz="0" w:space="0" w:color="auto"/>
            <w:left w:val="none" w:sz="0" w:space="0" w:color="auto"/>
            <w:bottom w:val="none" w:sz="0" w:space="0" w:color="auto"/>
            <w:right w:val="none" w:sz="0" w:space="0" w:color="auto"/>
          </w:divBdr>
        </w:div>
        <w:div w:id="2024703104">
          <w:marLeft w:val="0"/>
          <w:marRight w:val="0"/>
          <w:marTop w:val="0"/>
          <w:marBottom w:val="0"/>
          <w:divBdr>
            <w:top w:val="none" w:sz="0" w:space="0" w:color="auto"/>
            <w:left w:val="none" w:sz="0" w:space="0" w:color="auto"/>
            <w:bottom w:val="none" w:sz="0" w:space="0" w:color="auto"/>
            <w:right w:val="none" w:sz="0" w:space="0" w:color="auto"/>
          </w:divBdr>
        </w:div>
        <w:div w:id="2024703105">
          <w:marLeft w:val="0"/>
          <w:marRight w:val="0"/>
          <w:marTop w:val="0"/>
          <w:marBottom w:val="0"/>
          <w:divBdr>
            <w:top w:val="none" w:sz="0" w:space="0" w:color="auto"/>
            <w:left w:val="none" w:sz="0" w:space="0" w:color="auto"/>
            <w:bottom w:val="none" w:sz="0" w:space="0" w:color="auto"/>
            <w:right w:val="none" w:sz="0" w:space="0" w:color="auto"/>
          </w:divBdr>
        </w:div>
        <w:div w:id="2024703106">
          <w:marLeft w:val="0"/>
          <w:marRight w:val="0"/>
          <w:marTop w:val="0"/>
          <w:marBottom w:val="0"/>
          <w:divBdr>
            <w:top w:val="none" w:sz="0" w:space="0" w:color="auto"/>
            <w:left w:val="none" w:sz="0" w:space="0" w:color="auto"/>
            <w:bottom w:val="none" w:sz="0" w:space="0" w:color="auto"/>
            <w:right w:val="none" w:sz="0" w:space="0" w:color="auto"/>
          </w:divBdr>
        </w:div>
        <w:div w:id="2024703107">
          <w:marLeft w:val="0"/>
          <w:marRight w:val="0"/>
          <w:marTop w:val="0"/>
          <w:marBottom w:val="0"/>
          <w:divBdr>
            <w:top w:val="none" w:sz="0" w:space="0" w:color="auto"/>
            <w:left w:val="none" w:sz="0" w:space="0" w:color="auto"/>
            <w:bottom w:val="none" w:sz="0" w:space="0" w:color="auto"/>
            <w:right w:val="none" w:sz="0" w:space="0" w:color="auto"/>
          </w:divBdr>
        </w:div>
        <w:div w:id="2024703108">
          <w:marLeft w:val="0"/>
          <w:marRight w:val="0"/>
          <w:marTop w:val="0"/>
          <w:marBottom w:val="0"/>
          <w:divBdr>
            <w:top w:val="none" w:sz="0" w:space="0" w:color="auto"/>
            <w:left w:val="none" w:sz="0" w:space="0" w:color="auto"/>
            <w:bottom w:val="none" w:sz="0" w:space="0" w:color="auto"/>
            <w:right w:val="none" w:sz="0" w:space="0" w:color="auto"/>
          </w:divBdr>
        </w:div>
        <w:div w:id="2024703109">
          <w:marLeft w:val="0"/>
          <w:marRight w:val="0"/>
          <w:marTop w:val="0"/>
          <w:marBottom w:val="0"/>
          <w:divBdr>
            <w:top w:val="none" w:sz="0" w:space="0" w:color="auto"/>
            <w:left w:val="none" w:sz="0" w:space="0" w:color="auto"/>
            <w:bottom w:val="none" w:sz="0" w:space="0" w:color="auto"/>
            <w:right w:val="none" w:sz="0" w:space="0" w:color="auto"/>
          </w:divBdr>
        </w:div>
        <w:div w:id="2024703110">
          <w:marLeft w:val="0"/>
          <w:marRight w:val="0"/>
          <w:marTop w:val="0"/>
          <w:marBottom w:val="0"/>
          <w:divBdr>
            <w:top w:val="none" w:sz="0" w:space="0" w:color="auto"/>
            <w:left w:val="none" w:sz="0" w:space="0" w:color="auto"/>
            <w:bottom w:val="none" w:sz="0" w:space="0" w:color="auto"/>
            <w:right w:val="none" w:sz="0" w:space="0" w:color="auto"/>
          </w:divBdr>
        </w:div>
        <w:div w:id="2024703111">
          <w:marLeft w:val="0"/>
          <w:marRight w:val="0"/>
          <w:marTop w:val="0"/>
          <w:marBottom w:val="0"/>
          <w:divBdr>
            <w:top w:val="none" w:sz="0" w:space="0" w:color="auto"/>
            <w:left w:val="none" w:sz="0" w:space="0" w:color="auto"/>
            <w:bottom w:val="none" w:sz="0" w:space="0" w:color="auto"/>
            <w:right w:val="none" w:sz="0" w:space="0" w:color="auto"/>
          </w:divBdr>
        </w:div>
        <w:div w:id="2024703112">
          <w:marLeft w:val="0"/>
          <w:marRight w:val="0"/>
          <w:marTop w:val="0"/>
          <w:marBottom w:val="0"/>
          <w:divBdr>
            <w:top w:val="none" w:sz="0" w:space="0" w:color="auto"/>
            <w:left w:val="none" w:sz="0" w:space="0" w:color="auto"/>
            <w:bottom w:val="none" w:sz="0" w:space="0" w:color="auto"/>
            <w:right w:val="none" w:sz="0" w:space="0" w:color="auto"/>
          </w:divBdr>
        </w:div>
        <w:div w:id="2024703113">
          <w:marLeft w:val="0"/>
          <w:marRight w:val="0"/>
          <w:marTop w:val="0"/>
          <w:marBottom w:val="0"/>
          <w:divBdr>
            <w:top w:val="none" w:sz="0" w:space="0" w:color="auto"/>
            <w:left w:val="none" w:sz="0" w:space="0" w:color="auto"/>
            <w:bottom w:val="none" w:sz="0" w:space="0" w:color="auto"/>
            <w:right w:val="none" w:sz="0" w:space="0" w:color="auto"/>
          </w:divBdr>
        </w:div>
        <w:div w:id="2024703114">
          <w:marLeft w:val="0"/>
          <w:marRight w:val="0"/>
          <w:marTop w:val="0"/>
          <w:marBottom w:val="0"/>
          <w:divBdr>
            <w:top w:val="none" w:sz="0" w:space="0" w:color="auto"/>
            <w:left w:val="none" w:sz="0" w:space="0" w:color="auto"/>
            <w:bottom w:val="none" w:sz="0" w:space="0" w:color="auto"/>
            <w:right w:val="none" w:sz="0" w:space="0" w:color="auto"/>
          </w:divBdr>
        </w:div>
        <w:div w:id="2024703115">
          <w:marLeft w:val="0"/>
          <w:marRight w:val="0"/>
          <w:marTop w:val="0"/>
          <w:marBottom w:val="0"/>
          <w:divBdr>
            <w:top w:val="none" w:sz="0" w:space="0" w:color="auto"/>
            <w:left w:val="none" w:sz="0" w:space="0" w:color="auto"/>
            <w:bottom w:val="none" w:sz="0" w:space="0" w:color="auto"/>
            <w:right w:val="none" w:sz="0" w:space="0" w:color="auto"/>
          </w:divBdr>
        </w:div>
        <w:div w:id="2024703116">
          <w:marLeft w:val="0"/>
          <w:marRight w:val="0"/>
          <w:marTop w:val="0"/>
          <w:marBottom w:val="0"/>
          <w:divBdr>
            <w:top w:val="none" w:sz="0" w:space="0" w:color="auto"/>
            <w:left w:val="none" w:sz="0" w:space="0" w:color="auto"/>
            <w:bottom w:val="none" w:sz="0" w:space="0" w:color="auto"/>
            <w:right w:val="none" w:sz="0" w:space="0" w:color="auto"/>
          </w:divBdr>
        </w:div>
        <w:div w:id="2024703117">
          <w:marLeft w:val="0"/>
          <w:marRight w:val="0"/>
          <w:marTop w:val="0"/>
          <w:marBottom w:val="0"/>
          <w:divBdr>
            <w:top w:val="none" w:sz="0" w:space="0" w:color="auto"/>
            <w:left w:val="none" w:sz="0" w:space="0" w:color="auto"/>
            <w:bottom w:val="none" w:sz="0" w:space="0" w:color="auto"/>
            <w:right w:val="none" w:sz="0" w:space="0" w:color="auto"/>
          </w:divBdr>
        </w:div>
        <w:div w:id="2024703118">
          <w:marLeft w:val="0"/>
          <w:marRight w:val="0"/>
          <w:marTop w:val="0"/>
          <w:marBottom w:val="0"/>
          <w:divBdr>
            <w:top w:val="none" w:sz="0" w:space="0" w:color="auto"/>
            <w:left w:val="none" w:sz="0" w:space="0" w:color="auto"/>
            <w:bottom w:val="none" w:sz="0" w:space="0" w:color="auto"/>
            <w:right w:val="none" w:sz="0" w:space="0" w:color="auto"/>
          </w:divBdr>
        </w:div>
        <w:div w:id="2024703119">
          <w:marLeft w:val="0"/>
          <w:marRight w:val="0"/>
          <w:marTop w:val="0"/>
          <w:marBottom w:val="0"/>
          <w:divBdr>
            <w:top w:val="none" w:sz="0" w:space="0" w:color="auto"/>
            <w:left w:val="none" w:sz="0" w:space="0" w:color="auto"/>
            <w:bottom w:val="none" w:sz="0" w:space="0" w:color="auto"/>
            <w:right w:val="none" w:sz="0" w:space="0" w:color="auto"/>
          </w:divBdr>
        </w:div>
        <w:div w:id="2024703120">
          <w:marLeft w:val="0"/>
          <w:marRight w:val="0"/>
          <w:marTop w:val="0"/>
          <w:marBottom w:val="0"/>
          <w:divBdr>
            <w:top w:val="none" w:sz="0" w:space="0" w:color="auto"/>
            <w:left w:val="none" w:sz="0" w:space="0" w:color="auto"/>
            <w:bottom w:val="none" w:sz="0" w:space="0" w:color="auto"/>
            <w:right w:val="none" w:sz="0" w:space="0" w:color="auto"/>
          </w:divBdr>
        </w:div>
        <w:div w:id="2024703121">
          <w:marLeft w:val="0"/>
          <w:marRight w:val="0"/>
          <w:marTop w:val="0"/>
          <w:marBottom w:val="0"/>
          <w:divBdr>
            <w:top w:val="none" w:sz="0" w:space="0" w:color="auto"/>
            <w:left w:val="none" w:sz="0" w:space="0" w:color="auto"/>
            <w:bottom w:val="none" w:sz="0" w:space="0" w:color="auto"/>
            <w:right w:val="none" w:sz="0" w:space="0" w:color="auto"/>
          </w:divBdr>
        </w:div>
        <w:div w:id="2024703122">
          <w:marLeft w:val="0"/>
          <w:marRight w:val="0"/>
          <w:marTop w:val="0"/>
          <w:marBottom w:val="0"/>
          <w:divBdr>
            <w:top w:val="none" w:sz="0" w:space="0" w:color="auto"/>
            <w:left w:val="none" w:sz="0" w:space="0" w:color="auto"/>
            <w:bottom w:val="none" w:sz="0" w:space="0" w:color="auto"/>
            <w:right w:val="none" w:sz="0" w:space="0" w:color="auto"/>
          </w:divBdr>
        </w:div>
        <w:div w:id="2024703124">
          <w:marLeft w:val="0"/>
          <w:marRight w:val="0"/>
          <w:marTop w:val="0"/>
          <w:marBottom w:val="0"/>
          <w:divBdr>
            <w:top w:val="none" w:sz="0" w:space="0" w:color="auto"/>
            <w:left w:val="none" w:sz="0" w:space="0" w:color="auto"/>
            <w:bottom w:val="none" w:sz="0" w:space="0" w:color="auto"/>
            <w:right w:val="none" w:sz="0" w:space="0" w:color="auto"/>
          </w:divBdr>
        </w:div>
        <w:div w:id="2024703125">
          <w:marLeft w:val="0"/>
          <w:marRight w:val="0"/>
          <w:marTop w:val="0"/>
          <w:marBottom w:val="0"/>
          <w:divBdr>
            <w:top w:val="none" w:sz="0" w:space="0" w:color="auto"/>
            <w:left w:val="none" w:sz="0" w:space="0" w:color="auto"/>
            <w:bottom w:val="none" w:sz="0" w:space="0" w:color="auto"/>
            <w:right w:val="none" w:sz="0" w:space="0" w:color="auto"/>
          </w:divBdr>
        </w:div>
        <w:div w:id="2024703126">
          <w:marLeft w:val="0"/>
          <w:marRight w:val="0"/>
          <w:marTop w:val="0"/>
          <w:marBottom w:val="0"/>
          <w:divBdr>
            <w:top w:val="none" w:sz="0" w:space="0" w:color="auto"/>
            <w:left w:val="none" w:sz="0" w:space="0" w:color="auto"/>
            <w:bottom w:val="none" w:sz="0" w:space="0" w:color="auto"/>
            <w:right w:val="none" w:sz="0" w:space="0" w:color="auto"/>
          </w:divBdr>
        </w:div>
        <w:div w:id="2024703128">
          <w:marLeft w:val="0"/>
          <w:marRight w:val="0"/>
          <w:marTop w:val="0"/>
          <w:marBottom w:val="0"/>
          <w:divBdr>
            <w:top w:val="none" w:sz="0" w:space="0" w:color="auto"/>
            <w:left w:val="none" w:sz="0" w:space="0" w:color="auto"/>
            <w:bottom w:val="none" w:sz="0" w:space="0" w:color="auto"/>
            <w:right w:val="none" w:sz="0" w:space="0" w:color="auto"/>
          </w:divBdr>
        </w:div>
        <w:div w:id="2024703129">
          <w:marLeft w:val="0"/>
          <w:marRight w:val="0"/>
          <w:marTop w:val="0"/>
          <w:marBottom w:val="0"/>
          <w:divBdr>
            <w:top w:val="none" w:sz="0" w:space="0" w:color="auto"/>
            <w:left w:val="none" w:sz="0" w:space="0" w:color="auto"/>
            <w:bottom w:val="none" w:sz="0" w:space="0" w:color="auto"/>
            <w:right w:val="none" w:sz="0" w:space="0" w:color="auto"/>
          </w:divBdr>
        </w:div>
        <w:div w:id="2024703130">
          <w:marLeft w:val="0"/>
          <w:marRight w:val="0"/>
          <w:marTop w:val="0"/>
          <w:marBottom w:val="0"/>
          <w:divBdr>
            <w:top w:val="none" w:sz="0" w:space="0" w:color="auto"/>
            <w:left w:val="none" w:sz="0" w:space="0" w:color="auto"/>
            <w:bottom w:val="none" w:sz="0" w:space="0" w:color="auto"/>
            <w:right w:val="none" w:sz="0" w:space="0" w:color="auto"/>
          </w:divBdr>
        </w:div>
        <w:div w:id="2024703131">
          <w:marLeft w:val="0"/>
          <w:marRight w:val="0"/>
          <w:marTop w:val="0"/>
          <w:marBottom w:val="0"/>
          <w:divBdr>
            <w:top w:val="none" w:sz="0" w:space="0" w:color="auto"/>
            <w:left w:val="none" w:sz="0" w:space="0" w:color="auto"/>
            <w:bottom w:val="none" w:sz="0" w:space="0" w:color="auto"/>
            <w:right w:val="none" w:sz="0" w:space="0" w:color="auto"/>
          </w:divBdr>
        </w:div>
        <w:div w:id="2024703132">
          <w:marLeft w:val="0"/>
          <w:marRight w:val="0"/>
          <w:marTop w:val="0"/>
          <w:marBottom w:val="0"/>
          <w:divBdr>
            <w:top w:val="none" w:sz="0" w:space="0" w:color="auto"/>
            <w:left w:val="none" w:sz="0" w:space="0" w:color="auto"/>
            <w:bottom w:val="none" w:sz="0" w:space="0" w:color="auto"/>
            <w:right w:val="none" w:sz="0" w:space="0" w:color="auto"/>
          </w:divBdr>
        </w:div>
        <w:div w:id="2024703133">
          <w:marLeft w:val="0"/>
          <w:marRight w:val="0"/>
          <w:marTop w:val="0"/>
          <w:marBottom w:val="0"/>
          <w:divBdr>
            <w:top w:val="none" w:sz="0" w:space="0" w:color="auto"/>
            <w:left w:val="none" w:sz="0" w:space="0" w:color="auto"/>
            <w:bottom w:val="none" w:sz="0" w:space="0" w:color="auto"/>
            <w:right w:val="none" w:sz="0" w:space="0" w:color="auto"/>
          </w:divBdr>
        </w:div>
        <w:div w:id="2024703134">
          <w:marLeft w:val="0"/>
          <w:marRight w:val="0"/>
          <w:marTop w:val="0"/>
          <w:marBottom w:val="0"/>
          <w:divBdr>
            <w:top w:val="none" w:sz="0" w:space="0" w:color="auto"/>
            <w:left w:val="none" w:sz="0" w:space="0" w:color="auto"/>
            <w:bottom w:val="none" w:sz="0" w:space="0" w:color="auto"/>
            <w:right w:val="none" w:sz="0" w:space="0" w:color="auto"/>
          </w:divBdr>
        </w:div>
        <w:div w:id="2024703135">
          <w:marLeft w:val="0"/>
          <w:marRight w:val="0"/>
          <w:marTop w:val="0"/>
          <w:marBottom w:val="0"/>
          <w:divBdr>
            <w:top w:val="none" w:sz="0" w:space="0" w:color="auto"/>
            <w:left w:val="none" w:sz="0" w:space="0" w:color="auto"/>
            <w:bottom w:val="none" w:sz="0" w:space="0" w:color="auto"/>
            <w:right w:val="none" w:sz="0" w:space="0" w:color="auto"/>
          </w:divBdr>
        </w:div>
        <w:div w:id="2024703136">
          <w:marLeft w:val="0"/>
          <w:marRight w:val="0"/>
          <w:marTop w:val="0"/>
          <w:marBottom w:val="0"/>
          <w:divBdr>
            <w:top w:val="none" w:sz="0" w:space="0" w:color="auto"/>
            <w:left w:val="none" w:sz="0" w:space="0" w:color="auto"/>
            <w:bottom w:val="none" w:sz="0" w:space="0" w:color="auto"/>
            <w:right w:val="none" w:sz="0" w:space="0" w:color="auto"/>
          </w:divBdr>
        </w:div>
        <w:div w:id="2024703137">
          <w:marLeft w:val="0"/>
          <w:marRight w:val="0"/>
          <w:marTop w:val="0"/>
          <w:marBottom w:val="0"/>
          <w:divBdr>
            <w:top w:val="none" w:sz="0" w:space="0" w:color="auto"/>
            <w:left w:val="none" w:sz="0" w:space="0" w:color="auto"/>
            <w:bottom w:val="none" w:sz="0" w:space="0" w:color="auto"/>
            <w:right w:val="none" w:sz="0" w:space="0" w:color="auto"/>
          </w:divBdr>
        </w:div>
        <w:div w:id="2024703138">
          <w:marLeft w:val="0"/>
          <w:marRight w:val="0"/>
          <w:marTop w:val="0"/>
          <w:marBottom w:val="0"/>
          <w:divBdr>
            <w:top w:val="none" w:sz="0" w:space="0" w:color="auto"/>
            <w:left w:val="none" w:sz="0" w:space="0" w:color="auto"/>
            <w:bottom w:val="none" w:sz="0" w:space="0" w:color="auto"/>
            <w:right w:val="none" w:sz="0" w:space="0" w:color="auto"/>
          </w:divBdr>
        </w:div>
        <w:div w:id="2024703139">
          <w:marLeft w:val="0"/>
          <w:marRight w:val="0"/>
          <w:marTop w:val="0"/>
          <w:marBottom w:val="0"/>
          <w:divBdr>
            <w:top w:val="none" w:sz="0" w:space="0" w:color="auto"/>
            <w:left w:val="none" w:sz="0" w:space="0" w:color="auto"/>
            <w:bottom w:val="none" w:sz="0" w:space="0" w:color="auto"/>
            <w:right w:val="none" w:sz="0" w:space="0" w:color="auto"/>
          </w:divBdr>
        </w:div>
        <w:div w:id="2024703140">
          <w:marLeft w:val="0"/>
          <w:marRight w:val="0"/>
          <w:marTop w:val="0"/>
          <w:marBottom w:val="0"/>
          <w:divBdr>
            <w:top w:val="none" w:sz="0" w:space="0" w:color="auto"/>
            <w:left w:val="none" w:sz="0" w:space="0" w:color="auto"/>
            <w:bottom w:val="none" w:sz="0" w:space="0" w:color="auto"/>
            <w:right w:val="none" w:sz="0" w:space="0" w:color="auto"/>
          </w:divBdr>
        </w:div>
        <w:div w:id="2024703141">
          <w:marLeft w:val="0"/>
          <w:marRight w:val="0"/>
          <w:marTop w:val="0"/>
          <w:marBottom w:val="0"/>
          <w:divBdr>
            <w:top w:val="none" w:sz="0" w:space="0" w:color="auto"/>
            <w:left w:val="none" w:sz="0" w:space="0" w:color="auto"/>
            <w:bottom w:val="none" w:sz="0" w:space="0" w:color="auto"/>
            <w:right w:val="none" w:sz="0" w:space="0" w:color="auto"/>
          </w:divBdr>
        </w:div>
        <w:div w:id="2024703142">
          <w:marLeft w:val="0"/>
          <w:marRight w:val="0"/>
          <w:marTop w:val="0"/>
          <w:marBottom w:val="0"/>
          <w:divBdr>
            <w:top w:val="none" w:sz="0" w:space="0" w:color="auto"/>
            <w:left w:val="none" w:sz="0" w:space="0" w:color="auto"/>
            <w:bottom w:val="none" w:sz="0" w:space="0" w:color="auto"/>
            <w:right w:val="none" w:sz="0" w:space="0" w:color="auto"/>
          </w:divBdr>
        </w:div>
        <w:div w:id="2024703143">
          <w:marLeft w:val="0"/>
          <w:marRight w:val="0"/>
          <w:marTop w:val="0"/>
          <w:marBottom w:val="0"/>
          <w:divBdr>
            <w:top w:val="none" w:sz="0" w:space="0" w:color="auto"/>
            <w:left w:val="none" w:sz="0" w:space="0" w:color="auto"/>
            <w:bottom w:val="none" w:sz="0" w:space="0" w:color="auto"/>
            <w:right w:val="none" w:sz="0" w:space="0" w:color="auto"/>
          </w:divBdr>
        </w:div>
        <w:div w:id="2024703144">
          <w:marLeft w:val="0"/>
          <w:marRight w:val="0"/>
          <w:marTop w:val="0"/>
          <w:marBottom w:val="0"/>
          <w:divBdr>
            <w:top w:val="none" w:sz="0" w:space="0" w:color="auto"/>
            <w:left w:val="none" w:sz="0" w:space="0" w:color="auto"/>
            <w:bottom w:val="none" w:sz="0" w:space="0" w:color="auto"/>
            <w:right w:val="none" w:sz="0" w:space="0" w:color="auto"/>
          </w:divBdr>
        </w:div>
        <w:div w:id="2024703145">
          <w:marLeft w:val="0"/>
          <w:marRight w:val="0"/>
          <w:marTop w:val="0"/>
          <w:marBottom w:val="0"/>
          <w:divBdr>
            <w:top w:val="none" w:sz="0" w:space="0" w:color="auto"/>
            <w:left w:val="none" w:sz="0" w:space="0" w:color="auto"/>
            <w:bottom w:val="none" w:sz="0" w:space="0" w:color="auto"/>
            <w:right w:val="none" w:sz="0" w:space="0" w:color="auto"/>
          </w:divBdr>
        </w:div>
        <w:div w:id="2024703146">
          <w:marLeft w:val="0"/>
          <w:marRight w:val="0"/>
          <w:marTop w:val="0"/>
          <w:marBottom w:val="0"/>
          <w:divBdr>
            <w:top w:val="none" w:sz="0" w:space="0" w:color="auto"/>
            <w:left w:val="none" w:sz="0" w:space="0" w:color="auto"/>
            <w:bottom w:val="none" w:sz="0" w:space="0" w:color="auto"/>
            <w:right w:val="none" w:sz="0" w:space="0" w:color="auto"/>
          </w:divBdr>
        </w:div>
        <w:div w:id="2024703147">
          <w:marLeft w:val="0"/>
          <w:marRight w:val="0"/>
          <w:marTop w:val="0"/>
          <w:marBottom w:val="0"/>
          <w:divBdr>
            <w:top w:val="none" w:sz="0" w:space="0" w:color="auto"/>
            <w:left w:val="none" w:sz="0" w:space="0" w:color="auto"/>
            <w:bottom w:val="none" w:sz="0" w:space="0" w:color="auto"/>
            <w:right w:val="none" w:sz="0" w:space="0" w:color="auto"/>
          </w:divBdr>
        </w:div>
        <w:div w:id="2024703149">
          <w:marLeft w:val="0"/>
          <w:marRight w:val="0"/>
          <w:marTop w:val="0"/>
          <w:marBottom w:val="0"/>
          <w:divBdr>
            <w:top w:val="none" w:sz="0" w:space="0" w:color="auto"/>
            <w:left w:val="none" w:sz="0" w:space="0" w:color="auto"/>
            <w:bottom w:val="none" w:sz="0" w:space="0" w:color="auto"/>
            <w:right w:val="none" w:sz="0" w:space="0" w:color="auto"/>
          </w:divBdr>
        </w:div>
        <w:div w:id="2024703150">
          <w:marLeft w:val="0"/>
          <w:marRight w:val="0"/>
          <w:marTop w:val="0"/>
          <w:marBottom w:val="0"/>
          <w:divBdr>
            <w:top w:val="none" w:sz="0" w:space="0" w:color="auto"/>
            <w:left w:val="none" w:sz="0" w:space="0" w:color="auto"/>
            <w:bottom w:val="none" w:sz="0" w:space="0" w:color="auto"/>
            <w:right w:val="none" w:sz="0" w:space="0" w:color="auto"/>
          </w:divBdr>
        </w:div>
        <w:div w:id="2024703151">
          <w:marLeft w:val="0"/>
          <w:marRight w:val="0"/>
          <w:marTop w:val="0"/>
          <w:marBottom w:val="0"/>
          <w:divBdr>
            <w:top w:val="none" w:sz="0" w:space="0" w:color="auto"/>
            <w:left w:val="none" w:sz="0" w:space="0" w:color="auto"/>
            <w:bottom w:val="none" w:sz="0" w:space="0" w:color="auto"/>
            <w:right w:val="none" w:sz="0" w:space="0" w:color="auto"/>
          </w:divBdr>
        </w:div>
        <w:div w:id="2024703152">
          <w:marLeft w:val="0"/>
          <w:marRight w:val="0"/>
          <w:marTop w:val="0"/>
          <w:marBottom w:val="0"/>
          <w:divBdr>
            <w:top w:val="none" w:sz="0" w:space="0" w:color="auto"/>
            <w:left w:val="none" w:sz="0" w:space="0" w:color="auto"/>
            <w:bottom w:val="none" w:sz="0" w:space="0" w:color="auto"/>
            <w:right w:val="none" w:sz="0" w:space="0" w:color="auto"/>
          </w:divBdr>
        </w:div>
        <w:div w:id="2024703154">
          <w:marLeft w:val="0"/>
          <w:marRight w:val="0"/>
          <w:marTop w:val="0"/>
          <w:marBottom w:val="0"/>
          <w:divBdr>
            <w:top w:val="none" w:sz="0" w:space="0" w:color="auto"/>
            <w:left w:val="none" w:sz="0" w:space="0" w:color="auto"/>
            <w:bottom w:val="none" w:sz="0" w:space="0" w:color="auto"/>
            <w:right w:val="none" w:sz="0" w:space="0" w:color="auto"/>
          </w:divBdr>
        </w:div>
        <w:div w:id="2024703155">
          <w:marLeft w:val="0"/>
          <w:marRight w:val="0"/>
          <w:marTop w:val="0"/>
          <w:marBottom w:val="0"/>
          <w:divBdr>
            <w:top w:val="none" w:sz="0" w:space="0" w:color="auto"/>
            <w:left w:val="none" w:sz="0" w:space="0" w:color="auto"/>
            <w:bottom w:val="none" w:sz="0" w:space="0" w:color="auto"/>
            <w:right w:val="none" w:sz="0" w:space="0" w:color="auto"/>
          </w:divBdr>
        </w:div>
        <w:div w:id="2024703156">
          <w:marLeft w:val="0"/>
          <w:marRight w:val="0"/>
          <w:marTop w:val="0"/>
          <w:marBottom w:val="0"/>
          <w:divBdr>
            <w:top w:val="none" w:sz="0" w:space="0" w:color="auto"/>
            <w:left w:val="none" w:sz="0" w:space="0" w:color="auto"/>
            <w:bottom w:val="none" w:sz="0" w:space="0" w:color="auto"/>
            <w:right w:val="none" w:sz="0" w:space="0" w:color="auto"/>
          </w:divBdr>
        </w:div>
        <w:div w:id="2024703157">
          <w:marLeft w:val="0"/>
          <w:marRight w:val="0"/>
          <w:marTop w:val="0"/>
          <w:marBottom w:val="0"/>
          <w:divBdr>
            <w:top w:val="none" w:sz="0" w:space="0" w:color="auto"/>
            <w:left w:val="none" w:sz="0" w:space="0" w:color="auto"/>
            <w:bottom w:val="none" w:sz="0" w:space="0" w:color="auto"/>
            <w:right w:val="none" w:sz="0" w:space="0" w:color="auto"/>
          </w:divBdr>
        </w:div>
        <w:div w:id="2024703158">
          <w:marLeft w:val="0"/>
          <w:marRight w:val="0"/>
          <w:marTop w:val="0"/>
          <w:marBottom w:val="0"/>
          <w:divBdr>
            <w:top w:val="none" w:sz="0" w:space="0" w:color="auto"/>
            <w:left w:val="none" w:sz="0" w:space="0" w:color="auto"/>
            <w:bottom w:val="none" w:sz="0" w:space="0" w:color="auto"/>
            <w:right w:val="none" w:sz="0" w:space="0" w:color="auto"/>
          </w:divBdr>
        </w:div>
        <w:div w:id="2024703159">
          <w:marLeft w:val="0"/>
          <w:marRight w:val="0"/>
          <w:marTop w:val="0"/>
          <w:marBottom w:val="0"/>
          <w:divBdr>
            <w:top w:val="none" w:sz="0" w:space="0" w:color="auto"/>
            <w:left w:val="none" w:sz="0" w:space="0" w:color="auto"/>
            <w:bottom w:val="none" w:sz="0" w:space="0" w:color="auto"/>
            <w:right w:val="none" w:sz="0" w:space="0" w:color="auto"/>
          </w:divBdr>
        </w:div>
        <w:div w:id="2024703160">
          <w:marLeft w:val="0"/>
          <w:marRight w:val="0"/>
          <w:marTop w:val="0"/>
          <w:marBottom w:val="0"/>
          <w:divBdr>
            <w:top w:val="none" w:sz="0" w:space="0" w:color="auto"/>
            <w:left w:val="none" w:sz="0" w:space="0" w:color="auto"/>
            <w:bottom w:val="none" w:sz="0" w:space="0" w:color="auto"/>
            <w:right w:val="none" w:sz="0" w:space="0" w:color="auto"/>
          </w:divBdr>
        </w:div>
        <w:div w:id="2024703162">
          <w:marLeft w:val="0"/>
          <w:marRight w:val="0"/>
          <w:marTop w:val="0"/>
          <w:marBottom w:val="0"/>
          <w:divBdr>
            <w:top w:val="none" w:sz="0" w:space="0" w:color="auto"/>
            <w:left w:val="none" w:sz="0" w:space="0" w:color="auto"/>
            <w:bottom w:val="none" w:sz="0" w:space="0" w:color="auto"/>
            <w:right w:val="none" w:sz="0" w:space="0" w:color="auto"/>
          </w:divBdr>
        </w:div>
        <w:div w:id="2024703163">
          <w:marLeft w:val="0"/>
          <w:marRight w:val="0"/>
          <w:marTop w:val="0"/>
          <w:marBottom w:val="0"/>
          <w:divBdr>
            <w:top w:val="none" w:sz="0" w:space="0" w:color="auto"/>
            <w:left w:val="none" w:sz="0" w:space="0" w:color="auto"/>
            <w:bottom w:val="none" w:sz="0" w:space="0" w:color="auto"/>
            <w:right w:val="none" w:sz="0" w:space="0" w:color="auto"/>
          </w:divBdr>
        </w:div>
        <w:div w:id="2024703164">
          <w:marLeft w:val="0"/>
          <w:marRight w:val="0"/>
          <w:marTop w:val="0"/>
          <w:marBottom w:val="0"/>
          <w:divBdr>
            <w:top w:val="none" w:sz="0" w:space="0" w:color="auto"/>
            <w:left w:val="none" w:sz="0" w:space="0" w:color="auto"/>
            <w:bottom w:val="none" w:sz="0" w:space="0" w:color="auto"/>
            <w:right w:val="none" w:sz="0" w:space="0" w:color="auto"/>
          </w:divBdr>
        </w:div>
        <w:div w:id="2024703165">
          <w:marLeft w:val="0"/>
          <w:marRight w:val="0"/>
          <w:marTop w:val="0"/>
          <w:marBottom w:val="0"/>
          <w:divBdr>
            <w:top w:val="none" w:sz="0" w:space="0" w:color="auto"/>
            <w:left w:val="none" w:sz="0" w:space="0" w:color="auto"/>
            <w:bottom w:val="none" w:sz="0" w:space="0" w:color="auto"/>
            <w:right w:val="none" w:sz="0" w:space="0" w:color="auto"/>
          </w:divBdr>
        </w:div>
        <w:div w:id="2024703166">
          <w:marLeft w:val="0"/>
          <w:marRight w:val="0"/>
          <w:marTop w:val="0"/>
          <w:marBottom w:val="0"/>
          <w:divBdr>
            <w:top w:val="none" w:sz="0" w:space="0" w:color="auto"/>
            <w:left w:val="none" w:sz="0" w:space="0" w:color="auto"/>
            <w:bottom w:val="none" w:sz="0" w:space="0" w:color="auto"/>
            <w:right w:val="none" w:sz="0" w:space="0" w:color="auto"/>
          </w:divBdr>
        </w:div>
        <w:div w:id="2024703167">
          <w:marLeft w:val="0"/>
          <w:marRight w:val="0"/>
          <w:marTop w:val="0"/>
          <w:marBottom w:val="0"/>
          <w:divBdr>
            <w:top w:val="none" w:sz="0" w:space="0" w:color="auto"/>
            <w:left w:val="none" w:sz="0" w:space="0" w:color="auto"/>
            <w:bottom w:val="none" w:sz="0" w:space="0" w:color="auto"/>
            <w:right w:val="none" w:sz="0" w:space="0" w:color="auto"/>
          </w:divBdr>
        </w:div>
        <w:div w:id="2024703168">
          <w:marLeft w:val="0"/>
          <w:marRight w:val="0"/>
          <w:marTop w:val="0"/>
          <w:marBottom w:val="0"/>
          <w:divBdr>
            <w:top w:val="none" w:sz="0" w:space="0" w:color="auto"/>
            <w:left w:val="none" w:sz="0" w:space="0" w:color="auto"/>
            <w:bottom w:val="none" w:sz="0" w:space="0" w:color="auto"/>
            <w:right w:val="none" w:sz="0" w:space="0" w:color="auto"/>
          </w:divBdr>
        </w:div>
        <w:div w:id="2024703169">
          <w:marLeft w:val="0"/>
          <w:marRight w:val="0"/>
          <w:marTop w:val="0"/>
          <w:marBottom w:val="0"/>
          <w:divBdr>
            <w:top w:val="none" w:sz="0" w:space="0" w:color="auto"/>
            <w:left w:val="none" w:sz="0" w:space="0" w:color="auto"/>
            <w:bottom w:val="none" w:sz="0" w:space="0" w:color="auto"/>
            <w:right w:val="none" w:sz="0" w:space="0" w:color="auto"/>
          </w:divBdr>
        </w:div>
        <w:div w:id="2024703170">
          <w:marLeft w:val="0"/>
          <w:marRight w:val="0"/>
          <w:marTop w:val="0"/>
          <w:marBottom w:val="0"/>
          <w:divBdr>
            <w:top w:val="none" w:sz="0" w:space="0" w:color="auto"/>
            <w:left w:val="none" w:sz="0" w:space="0" w:color="auto"/>
            <w:bottom w:val="none" w:sz="0" w:space="0" w:color="auto"/>
            <w:right w:val="none" w:sz="0" w:space="0" w:color="auto"/>
          </w:divBdr>
        </w:div>
        <w:div w:id="2024703171">
          <w:marLeft w:val="0"/>
          <w:marRight w:val="0"/>
          <w:marTop w:val="0"/>
          <w:marBottom w:val="0"/>
          <w:divBdr>
            <w:top w:val="none" w:sz="0" w:space="0" w:color="auto"/>
            <w:left w:val="none" w:sz="0" w:space="0" w:color="auto"/>
            <w:bottom w:val="none" w:sz="0" w:space="0" w:color="auto"/>
            <w:right w:val="none" w:sz="0" w:space="0" w:color="auto"/>
          </w:divBdr>
        </w:div>
        <w:div w:id="2024703172">
          <w:marLeft w:val="0"/>
          <w:marRight w:val="0"/>
          <w:marTop w:val="0"/>
          <w:marBottom w:val="0"/>
          <w:divBdr>
            <w:top w:val="none" w:sz="0" w:space="0" w:color="auto"/>
            <w:left w:val="none" w:sz="0" w:space="0" w:color="auto"/>
            <w:bottom w:val="none" w:sz="0" w:space="0" w:color="auto"/>
            <w:right w:val="none" w:sz="0" w:space="0" w:color="auto"/>
          </w:divBdr>
        </w:div>
        <w:div w:id="2024703173">
          <w:marLeft w:val="0"/>
          <w:marRight w:val="0"/>
          <w:marTop w:val="0"/>
          <w:marBottom w:val="0"/>
          <w:divBdr>
            <w:top w:val="none" w:sz="0" w:space="0" w:color="auto"/>
            <w:left w:val="none" w:sz="0" w:space="0" w:color="auto"/>
            <w:bottom w:val="none" w:sz="0" w:space="0" w:color="auto"/>
            <w:right w:val="none" w:sz="0" w:space="0" w:color="auto"/>
          </w:divBdr>
        </w:div>
        <w:div w:id="2024703174">
          <w:marLeft w:val="0"/>
          <w:marRight w:val="0"/>
          <w:marTop w:val="0"/>
          <w:marBottom w:val="0"/>
          <w:divBdr>
            <w:top w:val="none" w:sz="0" w:space="0" w:color="auto"/>
            <w:left w:val="none" w:sz="0" w:space="0" w:color="auto"/>
            <w:bottom w:val="none" w:sz="0" w:space="0" w:color="auto"/>
            <w:right w:val="none" w:sz="0" w:space="0" w:color="auto"/>
          </w:divBdr>
        </w:div>
        <w:div w:id="2024703175">
          <w:marLeft w:val="0"/>
          <w:marRight w:val="0"/>
          <w:marTop w:val="0"/>
          <w:marBottom w:val="0"/>
          <w:divBdr>
            <w:top w:val="none" w:sz="0" w:space="0" w:color="auto"/>
            <w:left w:val="none" w:sz="0" w:space="0" w:color="auto"/>
            <w:bottom w:val="none" w:sz="0" w:space="0" w:color="auto"/>
            <w:right w:val="none" w:sz="0" w:space="0" w:color="auto"/>
          </w:divBdr>
        </w:div>
        <w:div w:id="2024703176">
          <w:marLeft w:val="0"/>
          <w:marRight w:val="0"/>
          <w:marTop w:val="0"/>
          <w:marBottom w:val="0"/>
          <w:divBdr>
            <w:top w:val="none" w:sz="0" w:space="0" w:color="auto"/>
            <w:left w:val="none" w:sz="0" w:space="0" w:color="auto"/>
            <w:bottom w:val="none" w:sz="0" w:space="0" w:color="auto"/>
            <w:right w:val="none" w:sz="0" w:space="0" w:color="auto"/>
          </w:divBdr>
        </w:div>
        <w:div w:id="2024703177">
          <w:marLeft w:val="0"/>
          <w:marRight w:val="0"/>
          <w:marTop w:val="0"/>
          <w:marBottom w:val="0"/>
          <w:divBdr>
            <w:top w:val="none" w:sz="0" w:space="0" w:color="auto"/>
            <w:left w:val="none" w:sz="0" w:space="0" w:color="auto"/>
            <w:bottom w:val="none" w:sz="0" w:space="0" w:color="auto"/>
            <w:right w:val="none" w:sz="0" w:space="0" w:color="auto"/>
          </w:divBdr>
        </w:div>
        <w:div w:id="2024703178">
          <w:marLeft w:val="0"/>
          <w:marRight w:val="0"/>
          <w:marTop w:val="0"/>
          <w:marBottom w:val="0"/>
          <w:divBdr>
            <w:top w:val="none" w:sz="0" w:space="0" w:color="auto"/>
            <w:left w:val="none" w:sz="0" w:space="0" w:color="auto"/>
            <w:bottom w:val="none" w:sz="0" w:space="0" w:color="auto"/>
            <w:right w:val="none" w:sz="0" w:space="0" w:color="auto"/>
          </w:divBdr>
        </w:div>
        <w:div w:id="2024703179">
          <w:marLeft w:val="0"/>
          <w:marRight w:val="0"/>
          <w:marTop w:val="0"/>
          <w:marBottom w:val="0"/>
          <w:divBdr>
            <w:top w:val="none" w:sz="0" w:space="0" w:color="auto"/>
            <w:left w:val="none" w:sz="0" w:space="0" w:color="auto"/>
            <w:bottom w:val="none" w:sz="0" w:space="0" w:color="auto"/>
            <w:right w:val="none" w:sz="0" w:space="0" w:color="auto"/>
          </w:divBdr>
        </w:div>
        <w:div w:id="2024703180">
          <w:marLeft w:val="0"/>
          <w:marRight w:val="0"/>
          <w:marTop w:val="0"/>
          <w:marBottom w:val="0"/>
          <w:divBdr>
            <w:top w:val="none" w:sz="0" w:space="0" w:color="auto"/>
            <w:left w:val="none" w:sz="0" w:space="0" w:color="auto"/>
            <w:bottom w:val="none" w:sz="0" w:space="0" w:color="auto"/>
            <w:right w:val="none" w:sz="0" w:space="0" w:color="auto"/>
          </w:divBdr>
        </w:div>
        <w:div w:id="2024703181">
          <w:marLeft w:val="0"/>
          <w:marRight w:val="0"/>
          <w:marTop w:val="0"/>
          <w:marBottom w:val="0"/>
          <w:divBdr>
            <w:top w:val="none" w:sz="0" w:space="0" w:color="auto"/>
            <w:left w:val="none" w:sz="0" w:space="0" w:color="auto"/>
            <w:bottom w:val="none" w:sz="0" w:space="0" w:color="auto"/>
            <w:right w:val="none" w:sz="0" w:space="0" w:color="auto"/>
          </w:divBdr>
        </w:div>
        <w:div w:id="2024703182">
          <w:marLeft w:val="0"/>
          <w:marRight w:val="0"/>
          <w:marTop w:val="0"/>
          <w:marBottom w:val="0"/>
          <w:divBdr>
            <w:top w:val="none" w:sz="0" w:space="0" w:color="auto"/>
            <w:left w:val="none" w:sz="0" w:space="0" w:color="auto"/>
            <w:bottom w:val="none" w:sz="0" w:space="0" w:color="auto"/>
            <w:right w:val="none" w:sz="0" w:space="0" w:color="auto"/>
          </w:divBdr>
        </w:div>
        <w:div w:id="2024703183">
          <w:marLeft w:val="0"/>
          <w:marRight w:val="0"/>
          <w:marTop w:val="0"/>
          <w:marBottom w:val="0"/>
          <w:divBdr>
            <w:top w:val="none" w:sz="0" w:space="0" w:color="auto"/>
            <w:left w:val="none" w:sz="0" w:space="0" w:color="auto"/>
            <w:bottom w:val="none" w:sz="0" w:space="0" w:color="auto"/>
            <w:right w:val="none" w:sz="0" w:space="0" w:color="auto"/>
          </w:divBdr>
        </w:div>
        <w:div w:id="2024703184">
          <w:marLeft w:val="0"/>
          <w:marRight w:val="0"/>
          <w:marTop w:val="0"/>
          <w:marBottom w:val="0"/>
          <w:divBdr>
            <w:top w:val="none" w:sz="0" w:space="0" w:color="auto"/>
            <w:left w:val="none" w:sz="0" w:space="0" w:color="auto"/>
            <w:bottom w:val="none" w:sz="0" w:space="0" w:color="auto"/>
            <w:right w:val="none" w:sz="0" w:space="0" w:color="auto"/>
          </w:divBdr>
        </w:div>
        <w:div w:id="2024703186">
          <w:marLeft w:val="0"/>
          <w:marRight w:val="0"/>
          <w:marTop w:val="0"/>
          <w:marBottom w:val="0"/>
          <w:divBdr>
            <w:top w:val="none" w:sz="0" w:space="0" w:color="auto"/>
            <w:left w:val="none" w:sz="0" w:space="0" w:color="auto"/>
            <w:bottom w:val="none" w:sz="0" w:space="0" w:color="auto"/>
            <w:right w:val="none" w:sz="0" w:space="0" w:color="auto"/>
          </w:divBdr>
        </w:div>
        <w:div w:id="2024703187">
          <w:marLeft w:val="0"/>
          <w:marRight w:val="0"/>
          <w:marTop w:val="0"/>
          <w:marBottom w:val="0"/>
          <w:divBdr>
            <w:top w:val="none" w:sz="0" w:space="0" w:color="auto"/>
            <w:left w:val="none" w:sz="0" w:space="0" w:color="auto"/>
            <w:bottom w:val="none" w:sz="0" w:space="0" w:color="auto"/>
            <w:right w:val="none" w:sz="0" w:space="0" w:color="auto"/>
          </w:divBdr>
        </w:div>
        <w:div w:id="2024703188">
          <w:marLeft w:val="0"/>
          <w:marRight w:val="0"/>
          <w:marTop w:val="0"/>
          <w:marBottom w:val="0"/>
          <w:divBdr>
            <w:top w:val="none" w:sz="0" w:space="0" w:color="auto"/>
            <w:left w:val="none" w:sz="0" w:space="0" w:color="auto"/>
            <w:bottom w:val="none" w:sz="0" w:space="0" w:color="auto"/>
            <w:right w:val="none" w:sz="0" w:space="0" w:color="auto"/>
          </w:divBdr>
        </w:div>
        <w:div w:id="2024703189">
          <w:marLeft w:val="0"/>
          <w:marRight w:val="0"/>
          <w:marTop w:val="0"/>
          <w:marBottom w:val="0"/>
          <w:divBdr>
            <w:top w:val="none" w:sz="0" w:space="0" w:color="auto"/>
            <w:left w:val="none" w:sz="0" w:space="0" w:color="auto"/>
            <w:bottom w:val="none" w:sz="0" w:space="0" w:color="auto"/>
            <w:right w:val="none" w:sz="0" w:space="0" w:color="auto"/>
          </w:divBdr>
        </w:div>
        <w:div w:id="2024703190">
          <w:marLeft w:val="0"/>
          <w:marRight w:val="0"/>
          <w:marTop w:val="0"/>
          <w:marBottom w:val="0"/>
          <w:divBdr>
            <w:top w:val="none" w:sz="0" w:space="0" w:color="auto"/>
            <w:left w:val="none" w:sz="0" w:space="0" w:color="auto"/>
            <w:bottom w:val="none" w:sz="0" w:space="0" w:color="auto"/>
            <w:right w:val="none" w:sz="0" w:space="0" w:color="auto"/>
          </w:divBdr>
        </w:div>
        <w:div w:id="2024703191">
          <w:marLeft w:val="0"/>
          <w:marRight w:val="0"/>
          <w:marTop w:val="0"/>
          <w:marBottom w:val="0"/>
          <w:divBdr>
            <w:top w:val="none" w:sz="0" w:space="0" w:color="auto"/>
            <w:left w:val="none" w:sz="0" w:space="0" w:color="auto"/>
            <w:bottom w:val="none" w:sz="0" w:space="0" w:color="auto"/>
            <w:right w:val="none" w:sz="0" w:space="0" w:color="auto"/>
          </w:divBdr>
        </w:div>
        <w:div w:id="2024703192">
          <w:marLeft w:val="0"/>
          <w:marRight w:val="0"/>
          <w:marTop w:val="0"/>
          <w:marBottom w:val="0"/>
          <w:divBdr>
            <w:top w:val="none" w:sz="0" w:space="0" w:color="auto"/>
            <w:left w:val="none" w:sz="0" w:space="0" w:color="auto"/>
            <w:bottom w:val="none" w:sz="0" w:space="0" w:color="auto"/>
            <w:right w:val="none" w:sz="0" w:space="0" w:color="auto"/>
          </w:divBdr>
        </w:div>
        <w:div w:id="2024703194">
          <w:marLeft w:val="0"/>
          <w:marRight w:val="0"/>
          <w:marTop w:val="0"/>
          <w:marBottom w:val="0"/>
          <w:divBdr>
            <w:top w:val="none" w:sz="0" w:space="0" w:color="auto"/>
            <w:left w:val="none" w:sz="0" w:space="0" w:color="auto"/>
            <w:bottom w:val="none" w:sz="0" w:space="0" w:color="auto"/>
            <w:right w:val="none" w:sz="0" w:space="0" w:color="auto"/>
          </w:divBdr>
        </w:div>
        <w:div w:id="2024703195">
          <w:marLeft w:val="0"/>
          <w:marRight w:val="0"/>
          <w:marTop w:val="0"/>
          <w:marBottom w:val="0"/>
          <w:divBdr>
            <w:top w:val="none" w:sz="0" w:space="0" w:color="auto"/>
            <w:left w:val="none" w:sz="0" w:space="0" w:color="auto"/>
            <w:bottom w:val="none" w:sz="0" w:space="0" w:color="auto"/>
            <w:right w:val="none" w:sz="0" w:space="0" w:color="auto"/>
          </w:divBdr>
        </w:div>
        <w:div w:id="2024703196">
          <w:marLeft w:val="0"/>
          <w:marRight w:val="0"/>
          <w:marTop w:val="0"/>
          <w:marBottom w:val="0"/>
          <w:divBdr>
            <w:top w:val="none" w:sz="0" w:space="0" w:color="auto"/>
            <w:left w:val="none" w:sz="0" w:space="0" w:color="auto"/>
            <w:bottom w:val="none" w:sz="0" w:space="0" w:color="auto"/>
            <w:right w:val="none" w:sz="0" w:space="0" w:color="auto"/>
          </w:divBdr>
        </w:div>
        <w:div w:id="2024703197">
          <w:marLeft w:val="0"/>
          <w:marRight w:val="0"/>
          <w:marTop w:val="0"/>
          <w:marBottom w:val="0"/>
          <w:divBdr>
            <w:top w:val="none" w:sz="0" w:space="0" w:color="auto"/>
            <w:left w:val="none" w:sz="0" w:space="0" w:color="auto"/>
            <w:bottom w:val="none" w:sz="0" w:space="0" w:color="auto"/>
            <w:right w:val="none" w:sz="0" w:space="0" w:color="auto"/>
          </w:divBdr>
        </w:div>
        <w:div w:id="2024703198">
          <w:marLeft w:val="0"/>
          <w:marRight w:val="0"/>
          <w:marTop w:val="0"/>
          <w:marBottom w:val="0"/>
          <w:divBdr>
            <w:top w:val="none" w:sz="0" w:space="0" w:color="auto"/>
            <w:left w:val="none" w:sz="0" w:space="0" w:color="auto"/>
            <w:bottom w:val="none" w:sz="0" w:space="0" w:color="auto"/>
            <w:right w:val="none" w:sz="0" w:space="0" w:color="auto"/>
          </w:divBdr>
        </w:div>
        <w:div w:id="2024703199">
          <w:marLeft w:val="0"/>
          <w:marRight w:val="0"/>
          <w:marTop w:val="0"/>
          <w:marBottom w:val="0"/>
          <w:divBdr>
            <w:top w:val="none" w:sz="0" w:space="0" w:color="auto"/>
            <w:left w:val="none" w:sz="0" w:space="0" w:color="auto"/>
            <w:bottom w:val="none" w:sz="0" w:space="0" w:color="auto"/>
            <w:right w:val="none" w:sz="0" w:space="0" w:color="auto"/>
          </w:divBdr>
        </w:div>
        <w:div w:id="2024703200">
          <w:marLeft w:val="0"/>
          <w:marRight w:val="0"/>
          <w:marTop w:val="0"/>
          <w:marBottom w:val="0"/>
          <w:divBdr>
            <w:top w:val="none" w:sz="0" w:space="0" w:color="auto"/>
            <w:left w:val="none" w:sz="0" w:space="0" w:color="auto"/>
            <w:bottom w:val="none" w:sz="0" w:space="0" w:color="auto"/>
            <w:right w:val="none" w:sz="0" w:space="0" w:color="auto"/>
          </w:divBdr>
        </w:div>
        <w:div w:id="2024703201">
          <w:marLeft w:val="0"/>
          <w:marRight w:val="0"/>
          <w:marTop w:val="0"/>
          <w:marBottom w:val="0"/>
          <w:divBdr>
            <w:top w:val="none" w:sz="0" w:space="0" w:color="auto"/>
            <w:left w:val="none" w:sz="0" w:space="0" w:color="auto"/>
            <w:bottom w:val="none" w:sz="0" w:space="0" w:color="auto"/>
            <w:right w:val="none" w:sz="0" w:space="0" w:color="auto"/>
          </w:divBdr>
        </w:div>
        <w:div w:id="2024703202">
          <w:marLeft w:val="0"/>
          <w:marRight w:val="0"/>
          <w:marTop w:val="0"/>
          <w:marBottom w:val="0"/>
          <w:divBdr>
            <w:top w:val="none" w:sz="0" w:space="0" w:color="auto"/>
            <w:left w:val="none" w:sz="0" w:space="0" w:color="auto"/>
            <w:bottom w:val="none" w:sz="0" w:space="0" w:color="auto"/>
            <w:right w:val="none" w:sz="0" w:space="0" w:color="auto"/>
          </w:divBdr>
        </w:div>
        <w:div w:id="2024703203">
          <w:marLeft w:val="0"/>
          <w:marRight w:val="0"/>
          <w:marTop w:val="0"/>
          <w:marBottom w:val="0"/>
          <w:divBdr>
            <w:top w:val="none" w:sz="0" w:space="0" w:color="auto"/>
            <w:left w:val="none" w:sz="0" w:space="0" w:color="auto"/>
            <w:bottom w:val="none" w:sz="0" w:space="0" w:color="auto"/>
            <w:right w:val="none" w:sz="0" w:space="0" w:color="auto"/>
          </w:divBdr>
        </w:div>
        <w:div w:id="2024703204">
          <w:marLeft w:val="0"/>
          <w:marRight w:val="0"/>
          <w:marTop w:val="0"/>
          <w:marBottom w:val="0"/>
          <w:divBdr>
            <w:top w:val="none" w:sz="0" w:space="0" w:color="auto"/>
            <w:left w:val="none" w:sz="0" w:space="0" w:color="auto"/>
            <w:bottom w:val="none" w:sz="0" w:space="0" w:color="auto"/>
            <w:right w:val="none" w:sz="0" w:space="0" w:color="auto"/>
          </w:divBdr>
        </w:div>
        <w:div w:id="2024703205">
          <w:marLeft w:val="0"/>
          <w:marRight w:val="0"/>
          <w:marTop w:val="0"/>
          <w:marBottom w:val="0"/>
          <w:divBdr>
            <w:top w:val="none" w:sz="0" w:space="0" w:color="auto"/>
            <w:left w:val="none" w:sz="0" w:space="0" w:color="auto"/>
            <w:bottom w:val="none" w:sz="0" w:space="0" w:color="auto"/>
            <w:right w:val="none" w:sz="0" w:space="0" w:color="auto"/>
          </w:divBdr>
        </w:div>
        <w:div w:id="2024703206">
          <w:marLeft w:val="0"/>
          <w:marRight w:val="0"/>
          <w:marTop w:val="0"/>
          <w:marBottom w:val="0"/>
          <w:divBdr>
            <w:top w:val="none" w:sz="0" w:space="0" w:color="auto"/>
            <w:left w:val="none" w:sz="0" w:space="0" w:color="auto"/>
            <w:bottom w:val="none" w:sz="0" w:space="0" w:color="auto"/>
            <w:right w:val="none" w:sz="0" w:space="0" w:color="auto"/>
          </w:divBdr>
        </w:div>
        <w:div w:id="2024703207">
          <w:marLeft w:val="0"/>
          <w:marRight w:val="0"/>
          <w:marTop w:val="0"/>
          <w:marBottom w:val="0"/>
          <w:divBdr>
            <w:top w:val="none" w:sz="0" w:space="0" w:color="auto"/>
            <w:left w:val="none" w:sz="0" w:space="0" w:color="auto"/>
            <w:bottom w:val="none" w:sz="0" w:space="0" w:color="auto"/>
            <w:right w:val="none" w:sz="0" w:space="0" w:color="auto"/>
          </w:divBdr>
        </w:div>
        <w:div w:id="2024703208">
          <w:marLeft w:val="0"/>
          <w:marRight w:val="0"/>
          <w:marTop w:val="0"/>
          <w:marBottom w:val="0"/>
          <w:divBdr>
            <w:top w:val="none" w:sz="0" w:space="0" w:color="auto"/>
            <w:left w:val="none" w:sz="0" w:space="0" w:color="auto"/>
            <w:bottom w:val="none" w:sz="0" w:space="0" w:color="auto"/>
            <w:right w:val="none" w:sz="0" w:space="0" w:color="auto"/>
          </w:divBdr>
        </w:div>
        <w:div w:id="2024703209">
          <w:marLeft w:val="0"/>
          <w:marRight w:val="0"/>
          <w:marTop w:val="0"/>
          <w:marBottom w:val="0"/>
          <w:divBdr>
            <w:top w:val="none" w:sz="0" w:space="0" w:color="auto"/>
            <w:left w:val="none" w:sz="0" w:space="0" w:color="auto"/>
            <w:bottom w:val="none" w:sz="0" w:space="0" w:color="auto"/>
            <w:right w:val="none" w:sz="0" w:space="0" w:color="auto"/>
          </w:divBdr>
        </w:div>
        <w:div w:id="2024703211">
          <w:marLeft w:val="0"/>
          <w:marRight w:val="0"/>
          <w:marTop w:val="0"/>
          <w:marBottom w:val="0"/>
          <w:divBdr>
            <w:top w:val="none" w:sz="0" w:space="0" w:color="auto"/>
            <w:left w:val="none" w:sz="0" w:space="0" w:color="auto"/>
            <w:bottom w:val="none" w:sz="0" w:space="0" w:color="auto"/>
            <w:right w:val="none" w:sz="0" w:space="0" w:color="auto"/>
          </w:divBdr>
        </w:div>
        <w:div w:id="2024703212">
          <w:marLeft w:val="0"/>
          <w:marRight w:val="0"/>
          <w:marTop w:val="0"/>
          <w:marBottom w:val="0"/>
          <w:divBdr>
            <w:top w:val="none" w:sz="0" w:space="0" w:color="auto"/>
            <w:left w:val="none" w:sz="0" w:space="0" w:color="auto"/>
            <w:bottom w:val="none" w:sz="0" w:space="0" w:color="auto"/>
            <w:right w:val="none" w:sz="0" w:space="0" w:color="auto"/>
          </w:divBdr>
        </w:div>
        <w:div w:id="2024703213">
          <w:marLeft w:val="0"/>
          <w:marRight w:val="0"/>
          <w:marTop w:val="0"/>
          <w:marBottom w:val="0"/>
          <w:divBdr>
            <w:top w:val="none" w:sz="0" w:space="0" w:color="auto"/>
            <w:left w:val="none" w:sz="0" w:space="0" w:color="auto"/>
            <w:bottom w:val="none" w:sz="0" w:space="0" w:color="auto"/>
            <w:right w:val="none" w:sz="0" w:space="0" w:color="auto"/>
          </w:divBdr>
        </w:div>
        <w:div w:id="2024703214">
          <w:marLeft w:val="0"/>
          <w:marRight w:val="0"/>
          <w:marTop w:val="0"/>
          <w:marBottom w:val="0"/>
          <w:divBdr>
            <w:top w:val="none" w:sz="0" w:space="0" w:color="auto"/>
            <w:left w:val="none" w:sz="0" w:space="0" w:color="auto"/>
            <w:bottom w:val="none" w:sz="0" w:space="0" w:color="auto"/>
            <w:right w:val="none" w:sz="0" w:space="0" w:color="auto"/>
          </w:divBdr>
        </w:div>
        <w:div w:id="2024703215">
          <w:marLeft w:val="0"/>
          <w:marRight w:val="0"/>
          <w:marTop w:val="0"/>
          <w:marBottom w:val="0"/>
          <w:divBdr>
            <w:top w:val="none" w:sz="0" w:space="0" w:color="auto"/>
            <w:left w:val="none" w:sz="0" w:space="0" w:color="auto"/>
            <w:bottom w:val="none" w:sz="0" w:space="0" w:color="auto"/>
            <w:right w:val="none" w:sz="0" w:space="0" w:color="auto"/>
          </w:divBdr>
        </w:div>
        <w:div w:id="2024703216">
          <w:marLeft w:val="0"/>
          <w:marRight w:val="0"/>
          <w:marTop w:val="0"/>
          <w:marBottom w:val="0"/>
          <w:divBdr>
            <w:top w:val="none" w:sz="0" w:space="0" w:color="auto"/>
            <w:left w:val="none" w:sz="0" w:space="0" w:color="auto"/>
            <w:bottom w:val="none" w:sz="0" w:space="0" w:color="auto"/>
            <w:right w:val="none" w:sz="0" w:space="0" w:color="auto"/>
          </w:divBdr>
        </w:div>
        <w:div w:id="2024703217">
          <w:marLeft w:val="0"/>
          <w:marRight w:val="0"/>
          <w:marTop w:val="0"/>
          <w:marBottom w:val="0"/>
          <w:divBdr>
            <w:top w:val="none" w:sz="0" w:space="0" w:color="auto"/>
            <w:left w:val="none" w:sz="0" w:space="0" w:color="auto"/>
            <w:bottom w:val="none" w:sz="0" w:space="0" w:color="auto"/>
            <w:right w:val="none" w:sz="0" w:space="0" w:color="auto"/>
          </w:divBdr>
        </w:div>
        <w:div w:id="2024703218">
          <w:marLeft w:val="0"/>
          <w:marRight w:val="0"/>
          <w:marTop w:val="0"/>
          <w:marBottom w:val="0"/>
          <w:divBdr>
            <w:top w:val="none" w:sz="0" w:space="0" w:color="auto"/>
            <w:left w:val="none" w:sz="0" w:space="0" w:color="auto"/>
            <w:bottom w:val="none" w:sz="0" w:space="0" w:color="auto"/>
            <w:right w:val="none" w:sz="0" w:space="0" w:color="auto"/>
          </w:divBdr>
        </w:div>
        <w:div w:id="2024703219">
          <w:marLeft w:val="0"/>
          <w:marRight w:val="0"/>
          <w:marTop w:val="0"/>
          <w:marBottom w:val="0"/>
          <w:divBdr>
            <w:top w:val="none" w:sz="0" w:space="0" w:color="auto"/>
            <w:left w:val="none" w:sz="0" w:space="0" w:color="auto"/>
            <w:bottom w:val="none" w:sz="0" w:space="0" w:color="auto"/>
            <w:right w:val="none" w:sz="0" w:space="0" w:color="auto"/>
          </w:divBdr>
        </w:div>
        <w:div w:id="2024703220">
          <w:marLeft w:val="0"/>
          <w:marRight w:val="0"/>
          <w:marTop w:val="0"/>
          <w:marBottom w:val="0"/>
          <w:divBdr>
            <w:top w:val="none" w:sz="0" w:space="0" w:color="auto"/>
            <w:left w:val="none" w:sz="0" w:space="0" w:color="auto"/>
            <w:bottom w:val="none" w:sz="0" w:space="0" w:color="auto"/>
            <w:right w:val="none" w:sz="0" w:space="0" w:color="auto"/>
          </w:divBdr>
        </w:div>
        <w:div w:id="2024703221">
          <w:marLeft w:val="0"/>
          <w:marRight w:val="0"/>
          <w:marTop w:val="0"/>
          <w:marBottom w:val="0"/>
          <w:divBdr>
            <w:top w:val="none" w:sz="0" w:space="0" w:color="auto"/>
            <w:left w:val="none" w:sz="0" w:space="0" w:color="auto"/>
            <w:bottom w:val="none" w:sz="0" w:space="0" w:color="auto"/>
            <w:right w:val="none" w:sz="0" w:space="0" w:color="auto"/>
          </w:divBdr>
        </w:div>
        <w:div w:id="2024703222">
          <w:marLeft w:val="0"/>
          <w:marRight w:val="0"/>
          <w:marTop w:val="0"/>
          <w:marBottom w:val="0"/>
          <w:divBdr>
            <w:top w:val="none" w:sz="0" w:space="0" w:color="auto"/>
            <w:left w:val="none" w:sz="0" w:space="0" w:color="auto"/>
            <w:bottom w:val="none" w:sz="0" w:space="0" w:color="auto"/>
            <w:right w:val="none" w:sz="0" w:space="0" w:color="auto"/>
          </w:divBdr>
        </w:div>
        <w:div w:id="2024703223">
          <w:marLeft w:val="0"/>
          <w:marRight w:val="0"/>
          <w:marTop w:val="0"/>
          <w:marBottom w:val="0"/>
          <w:divBdr>
            <w:top w:val="none" w:sz="0" w:space="0" w:color="auto"/>
            <w:left w:val="none" w:sz="0" w:space="0" w:color="auto"/>
            <w:bottom w:val="none" w:sz="0" w:space="0" w:color="auto"/>
            <w:right w:val="none" w:sz="0" w:space="0" w:color="auto"/>
          </w:divBdr>
        </w:div>
        <w:div w:id="2024703225">
          <w:marLeft w:val="0"/>
          <w:marRight w:val="0"/>
          <w:marTop w:val="0"/>
          <w:marBottom w:val="0"/>
          <w:divBdr>
            <w:top w:val="none" w:sz="0" w:space="0" w:color="auto"/>
            <w:left w:val="none" w:sz="0" w:space="0" w:color="auto"/>
            <w:bottom w:val="none" w:sz="0" w:space="0" w:color="auto"/>
            <w:right w:val="none" w:sz="0" w:space="0" w:color="auto"/>
          </w:divBdr>
        </w:div>
        <w:div w:id="2024703226">
          <w:marLeft w:val="0"/>
          <w:marRight w:val="0"/>
          <w:marTop w:val="0"/>
          <w:marBottom w:val="0"/>
          <w:divBdr>
            <w:top w:val="none" w:sz="0" w:space="0" w:color="auto"/>
            <w:left w:val="none" w:sz="0" w:space="0" w:color="auto"/>
            <w:bottom w:val="none" w:sz="0" w:space="0" w:color="auto"/>
            <w:right w:val="none" w:sz="0" w:space="0" w:color="auto"/>
          </w:divBdr>
        </w:div>
        <w:div w:id="2024703227">
          <w:marLeft w:val="0"/>
          <w:marRight w:val="0"/>
          <w:marTop w:val="0"/>
          <w:marBottom w:val="0"/>
          <w:divBdr>
            <w:top w:val="none" w:sz="0" w:space="0" w:color="auto"/>
            <w:left w:val="none" w:sz="0" w:space="0" w:color="auto"/>
            <w:bottom w:val="none" w:sz="0" w:space="0" w:color="auto"/>
            <w:right w:val="none" w:sz="0" w:space="0" w:color="auto"/>
          </w:divBdr>
        </w:div>
        <w:div w:id="2024703228">
          <w:marLeft w:val="0"/>
          <w:marRight w:val="0"/>
          <w:marTop w:val="0"/>
          <w:marBottom w:val="0"/>
          <w:divBdr>
            <w:top w:val="none" w:sz="0" w:space="0" w:color="auto"/>
            <w:left w:val="none" w:sz="0" w:space="0" w:color="auto"/>
            <w:bottom w:val="none" w:sz="0" w:space="0" w:color="auto"/>
            <w:right w:val="none" w:sz="0" w:space="0" w:color="auto"/>
          </w:divBdr>
        </w:div>
        <w:div w:id="2024703230">
          <w:marLeft w:val="0"/>
          <w:marRight w:val="0"/>
          <w:marTop w:val="0"/>
          <w:marBottom w:val="0"/>
          <w:divBdr>
            <w:top w:val="none" w:sz="0" w:space="0" w:color="auto"/>
            <w:left w:val="none" w:sz="0" w:space="0" w:color="auto"/>
            <w:bottom w:val="none" w:sz="0" w:space="0" w:color="auto"/>
            <w:right w:val="none" w:sz="0" w:space="0" w:color="auto"/>
          </w:divBdr>
        </w:div>
        <w:div w:id="2024703231">
          <w:marLeft w:val="0"/>
          <w:marRight w:val="0"/>
          <w:marTop w:val="0"/>
          <w:marBottom w:val="0"/>
          <w:divBdr>
            <w:top w:val="none" w:sz="0" w:space="0" w:color="auto"/>
            <w:left w:val="none" w:sz="0" w:space="0" w:color="auto"/>
            <w:bottom w:val="none" w:sz="0" w:space="0" w:color="auto"/>
            <w:right w:val="none" w:sz="0" w:space="0" w:color="auto"/>
          </w:divBdr>
        </w:div>
        <w:div w:id="2024703232">
          <w:marLeft w:val="0"/>
          <w:marRight w:val="0"/>
          <w:marTop w:val="0"/>
          <w:marBottom w:val="0"/>
          <w:divBdr>
            <w:top w:val="none" w:sz="0" w:space="0" w:color="auto"/>
            <w:left w:val="none" w:sz="0" w:space="0" w:color="auto"/>
            <w:bottom w:val="none" w:sz="0" w:space="0" w:color="auto"/>
            <w:right w:val="none" w:sz="0" w:space="0" w:color="auto"/>
          </w:divBdr>
        </w:div>
        <w:div w:id="2024703233">
          <w:marLeft w:val="0"/>
          <w:marRight w:val="0"/>
          <w:marTop w:val="0"/>
          <w:marBottom w:val="0"/>
          <w:divBdr>
            <w:top w:val="none" w:sz="0" w:space="0" w:color="auto"/>
            <w:left w:val="none" w:sz="0" w:space="0" w:color="auto"/>
            <w:bottom w:val="none" w:sz="0" w:space="0" w:color="auto"/>
            <w:right w:val="none" w:sz="0" w:space="0" w:color="auto"/>
          </w:divBdr>
        </w:div>
        <w:div w:id="2024703234">
          <w:marLeft w:val="0"/>
          <w:marRight w:val="0"/>
          <w:marTop w:val="0"/>
          <w:marBottom w:val="0"/>
          <w:divBdr>
            <w:top w:val="none" w:sz="0" w:space="0" w:color="auto"/>
            <w:left w:val="none" w:sz="0" w:space="0" w:color="auto"/>
            <w:bottom w:val="none" w:sz="0" w:space="0" w:color="auto"/>
            <w:right w:val="none" w:sz="0" w:space="0" w:color="auto"/>
          </w:divBdr>
        </w:div>
        <w:div w:id="2024703235">
          <w:marLeft w:val="0"/>
          <w:marRight w:val="0"/>
          <w:marTop w:val="0"/>
          <w:marBottom w:val="0"/>
          <w:divBdr>
            <w:top w:val="none" w:sz="0" w:space="0" w:color="auto"/>
            <w:left w:val="none" w:sz="0" w:space="0" w:color="auto"/>
            <w:bottom w:val="none" w:sz="0" w:space="0" w:color="auto"/>
            <w:right w:val="none" w:sz="0" w:space="0" w:color="auto"/>
          </w:divBdr>
        </w:div>
        <w:div w:id="2024703236">
          <w:marLeft w:val="0"/>
          <w:marRight w:val="0"/>
          <w:marTop w:val="0"/>
          <w:marBottom w:val="0"/>
          <w:divBdr>
            <w:top w:val="none" w:sz="0" w:space="0" w:color="auto"/>
            <w:left w:val="none" w:sz="0" w:space="0" w:color="auto"/>
            <w:bottom w:val="none" w:sz="0" w:space="0" w:color="auto"/>
            <w:right w:val="none" w:sz="0" w:space="0" w:color="auto"/>
          </w:divBdr>
        </w:div>
        <w:div w:id="2024703237">
          <w:marLeft w:val="0"/>
          <w:marRight w:val="0"/>
          <w:marTop w:val="0"/>
          <w:marBottom w:val="0"/>
          <w:divBdr>
            <w:top w:val="none" w:sz="0" w:space="0" w:color="auto"/>
            <w:left w:val="none" w:sz="0" w:space="0" w:color="auto"/>
            <w:bottom w:val="none" w:sz="0" w:space="0" w:color="auto"/>
            <w:right w:val="none" w:sz="0" w:space="0" w:color="auto"/>
          </w:divBdr>
        </w:div>
        <w:div w:id="2024703238">
          <w:marLeft w:val="0"/>
          <w:marRight w:val="0"/>
          <w:marTop w:val="0"/>
          <w:marBottom w:val="0"/>
          <w:divBdr>
            <w:top w:val="none" w:sz="0" w:space="0" w:color="auto"/>
            <w:left w:val="none" w:sz="0" w:space="0" w:color="auto"/>
            <w:bottom w:val="none" w:sz="0" w:space="0" w:color="auto"/>
            <w:right w:val="none" w:sz="0" w:space="0" w:color="auto"/>
          </w:divBdr>
        </w:div>
        <w:div w:id="2024703239">
          <w:marLeft w:val="0"/>
          <w:marRight w:val="0"/>
          <w:marTop w:val="0"/>
          <w:marBottom w:val="0"/>
          <w:divBdr>
            <w:top w:val="none" w:sz="0" w:space="0" w:color="auto"/>
            <w:left w:val="none" w:sz="0" w:space="0" w:color="auto"/>
            <w:bottom w:val="none" w:sz="0" w:space="0" w:color="auto"/>
            <w:right w:val="none" w:sz="0" w:space="0" w:color="auto"/>
          </w:divBdr>
        </w:div>
        <w:div w:id="2024703240">
          <w:marLeft w:val="0"/>
          <w:marRight w:val="0"/>
          <w:marTop w:val="0"/>
          <w:marBottom w:val="0"/>
          <w:divBdr>
            <w:top w:val="none" w:sz="0" w:space="0" w:color="auto"/>
            <w:left w:val="none" w:sz="0" w:space="0" w:color="auto"/>
            <w:bottom w:val="none" w:sz="0" w:space="0" w:color="auto"/>
            <w:right w:val="none" w:sz="0" w:space="0" w:color="auto"/>
          </w:divBdr>
        </w:div>
        <w:div w:id="2024703241">
          <w:marLeft w:val="0"/>
          <w:marRight w:val="0"/>
          <w:marTop w:val="0"/>
          <w:marBottom w:val="0"/>
          <w:divBdr>
            <w:top w:val="none" w:sz="0" w:space="0" w:color="auto"/>
            <w:left w:val="none" w:sz="0" w:space="0" w:color="auto"/>
            <w:bottom w:val="none" w:sz="0" w:space="0" w:color="auto"/>
            <w:right w:val="none" w:sz="0" w:space="0" w:color="auto"/>
          </w:divBdr>
        </w:div>
        <w:div w:id="2024703242">
          <w:marLeft w:val="0"/>
          <w:marRight w:val="0"/>
          <w:marTop w:val="0"/>
          <w:marBottom w:val="0"/>
          <w:divBdr>
            <w:top w:val="none" w:sz="0" w:space="0" w:color="auto"/>
            <w:left w:val="none" w:sz="0" w:space="0" w:color="auto"/>
            <w:bottom w:val="none" w:sz="0" w:space="0" w:color="auto"/>
            <w:right w:val="none" w:sz="0" w:space="0" w:color="auto"/>
          </w:divBdr>
        </w:div>
        <w:div w:id="2024703243">
          <w:marLeft w:val="0"/>
          <w:marRight w:val="0"/>
          <w:marTop w:val="0"/>
          <w:marBottom w:val="0"/>
          <w:divBdr>
            <w:top w:val="none" w:sz="0" w:space="0" w:color="auto"/>
            <w:left w:val="none" w:sz="0" w:space="0" w:color="auto"/>
            <w:bottom w:val="none" w:sz="0" w:space="0" w:color="auto"/>
            <w:right w:val="none" w:sz="0" w:space="0" w:color="auto"/>
          </w:divBdr>
        </w:div>
        <w:div w:id="2024703244">
          <w:marLeft w:val="0"/>
          <w:marRight w:val="0"/>
          <w:marTop w:val="0"/>
          <w:marBottom w:val="0"/>
          <w:divBdr>
            <w:top w:val="none" w:sz="0" w:space="0" w:color="auto"/>
            <w:left w:val="none" w:sz="0" w:space="0" w:color="auto"/>
            <w:bottom w:val="none" w:sz="0" w:space="0" w:color="auto"/>
            <w:right w:val="none" w:sz="0" w:space="0" w:color="auto"/>
          </w:divBdr>
        </w:div>
        <w:div w:id="2024703245">
          <w:marLeft w:val="0"/>
          <w:marRight w:val="0"/>
          <w:marTop w:val="0"/>
          <w:marBottom w:val="0"/>
          <w:divBdr>
            <w:top w:val="none" w:sz="0" w:space="0" w:color="auto"/>
            <w:left w:val="none" w:sz="0" w:space="0" w:color="auto"/>
            <w:bottom w:val="none" w:sz="0" w:space="0" w:color="auto"/>
            <w:right w:val="none" w:sz="0" w:space="0" w:color="auto"/>
          </w:divBdr>
        </w:div>
        <w:div w:id="2024703246">
          <w:marLeft w:val="0"/>
          <w:marRight w:val="0"/>
          <w:marTop w:val="0"/>
          <w:marBottom w:val="0"/>
          <w:divBdr>
            <w:top w:val="none" w:sz="0" w:space="0" w:color="auto"/>
            <w:left w:val="none" w:sz="0" w:space="0" w:color="auto"/>
            <w:bottom w:val="none" w:sz="0" w:space="0" w:color="auto"/>
            <w:right w:val="none" w:sz="0" w:space="0" w:color="auto"/>
          </w:divBdr>
        </w:div>
        <w:div w:id="2024703247">
          <w:marLeft w:val="0"/>
          <w:marRight w:val="0"/>
          <w:marTop w:val="0"/>
          <w:marBottom w:val="0"/>
          <w:divBdr>
            <w:top w:val="none" w:sz="0" w:space="0" w:color="auto"/>
            <w:left w:val="none" w:sz="0" w:space="0" w:color="auto"/>
            <w:bottom w:val="none" w:sz="0" w:space="0" w:color="auto"/>
            <w:right w:val="none" w:sz="0" w:space="0" w:color="auto"/>
          </w:divBdr>
        </w:div>
        <w:div w:id="2024703248">
          <w:marLeft w:val="0"/>
          <w:marRight w:val="0"/>
          <w:marTop w:val="0"/>
          <w:marBottom w:val="0"/>
          <w:divBdr>
            <w:top w:val="none" w:sz="0" w:space="0" w:color="auto"/>
            <w:left w:val="none" w:sz="0" w:space="0" w:color="auto"/>
            <w:bottom w:val="none" w:sz="0" w:space="0" w:color="auto"/>
            <w:right w:val="none" w:sz="0" w:space="0" w:color="auto"/>
          </w:divBdr>
        </w:div>
        <w:div w:id="2024703249">
          <w:marLeft w:val="0"/>
          <w:marRight w:val="0"/>
          <w:marTop w:val="0"/>
          <w:marBottom w:val="0"/>
          <w:divBdr>
            <w:top w:val="none" w:sz="0" w:space="0" w:color="auto"/>
            <w:left w:val="none" w:sz="0" w:space="0" w:color="auto"/>
            <w:bottom w:val="none" w:sz="0" w:space="0" w:color="auto"/>
            <w:right w:val="none" w:sz="0" w:space="0" w:color="auto"/>
          </w:divBdr>
        </w:div>
        <w:div w:id="2024703250">
          <w:marLeft w:val="0"/>
          <w:marRight w:val="0"/>
          <w:marTop w:val="0"/>
          <w:marBottom w:val="0"/>
          <w:divBdr>
            <w:top w:val="none" w:sz="0" w:space="0" w:color="auto"/>
            <w:left w:val="none" w:sz="0" w:space="0" w:color="auto"/>
            <w:bottom w:val="none" w:sz="0" w:space="0" w:color="auto"/>
            <w:right w:val="none" w:sz="0" w:space="0" w:color="auto"/>
          </w:divBdr>
        </w:div>
        <w:div w:id="2024703251">
          <w:marLeft w:val="0"/>
          <w:marRight w:val="0"/>
          <w:marTop w:val="0"/>
          <w:marBottom w:val="0"/>
          <w:divBdr>
            <w:top w:val="none" w:sz="0" w:space="0" w:color="auto"/>
            <w:left w:val="none" w:sz="0" w:space="0" w:color="auto"/>
            <w:bottom w:val="none" w:sz="0" w:space="0" w:color="auto"/>
            <w:right w:val="none" w:sz="0" w:space="0" w:color="auto"/>
          </w:divBdr>
        </w:div>
        <w:div w:id="2024703252">
          <w:marLeft w:val="0"/>
          <w:marRight w:val="0"/>
          <w:marTop w:val="0"/>
          <w:marBottom w:val="0"/>
          <w:divBdr>
            <w:top w:val="none" w:sz="0" w:space="0" w:color="auto"/>
            <w:left w:val="none" w:sz="0" w:space="0" w:color="auto"/>
            <w:bottom w:val="none" w:sz="0" w:space="0" w:color="auto"/>
            <w:right w:val="none" w:sz="0" w:space="0" w:color="auto"/>
          </w:divBdr>
        </w:div>
        <w:div w:id="2024703253">
          <w:marLeft w:val="0"/>
          <w:marRight w:val="0"/>
          <w:marTop w:val="0"/>
          <w:marBottom w:val="0"/>
          <w:divBdr>
            <w:top w:val="none" w:sz="0" w:space="0" w:color="auto"/>
            <w:left w:val="none" w:sz="0" w:space="0" w:color="auto"/>
            <w:bottom w:val="none" w:sz="0" w:space="0" w:color="auto"/>
            <w:right w:val="none" w:sz="0" w:space="0" w:color="auto"/>
          </w:divBdr>
        </w:div>
        <w:div w:id="2024703254">
          <w:marLeft w:val="0"/>
          <w:marRight w:val="0"/>
          <w:marTop w:val="0"/>
          <w:marBottom w:val="0"/>
          <w:divBdr>
            <w:top w:val="none" w:sz="0" w:space="0" w:color="auto"/>
            <w:left w:val="none" w:sz="0" w:space="0" w:color="auto"/>
            <w:bottom w:val="none" w:sz="0" w:space="0" w:color="auto"/>
            <w:right w:val="none" w:sz="0" w:space="0" w:color="auto"/>
          </w:divBdr>
        </w:div>
        <w:div w:id="2024703255">
          <w:marLeft w:val="0"/>
          <w:marRight w:val="0"/>
          <w:marTop w:val="0"/>
          <w:marBottom w:val="0"/>
          <w:divBdr>
            <w:top w:val="none" w:sz="0" w:space="0" w:color="auto"/>
            <w:left w:val="none" w:sz="0" w:space="0" w:color="auto"/>
            <w:bottom w:val="none" w:sz="0" w:space="0" w:color="auto"/>
            <w:right w:val="none" w:sz="0" w:space="0" w:color="auto"/>
          </w:divBdr>
        </w:div>
        <w:div w:id="2024703256">
          <w:marLeft w:val="0"/>
          <w:marRight w:val="0"/>
          <w:marTop w:val="0"/>
          <w:marBottom w:val="0"/>
          <w:divBdr>
            <w:top w:val="none" w:sz="0" w:space="0" w:color="auto"/>
            <w:left w:val="none" w:sz="0" w:space="0" w:color="auto"/>
            <w:bottom w:val="none" w:sz="0" w:space="0" w:color="auto"/>
            <w:right w:val="none" w:sz="0" w:space="0" w:color="auto"/>
          </w:divBdr>
        </w:div>
        <w:div w:id="2024703257">
          <w:marLeft w:val="0"/>
          <w:marRight w:val="0"/>
          <w:marTop w:val="0"/>
          <w:marBottom w:val="0"/>
          <w:divBdr>
            <w:top w:val="none" w:sz="0" w:space="0" w:color="auto"/>
            <w:left w:val="none" w:sz="0" w:space="0" w:color="auto"/>
            <w:bottom w:val="none" w:sz="0" w:space="0" w:color="auto"/>
            <w:right w:val="none" w:sz="0" w:space="0" w:color="auto"/>
          </w:divBdr>
        </w:div>
        <w:div w:id="2024703258">
          <w:marLeft w:val="0"/>
          <w:marRight w:val="0"/>
          <w:marTop w:val="0"/>
          <w:marBottom w:val="0"/>
          <w:divBdr>
            <w:top w:val="none" w:sz="0" w:space="0" w:color="auto"/>
            <w:left w:val="none" w:sz="0" w:space="0" w:color="auto"/>
            <w:bottom w:val="none" w:sz="0" w:space="0" w:color="auto"/>
            <w:right w:val="none" w:sz="0" w:space="0" w:color="auto"/>
          </w:divBdr>
        </w:div>
        <w:div w:id="2024703259">
          <w:marLeft w:val="0"/>
          <w:marRight w:val="0"/>
          <w:marTop w:val="0"/>
          <w:marBottom w:val="0"/>
          <w:divBdr>
            <w:top w:val="none" w:sz="0" w:space="0" w:color="auto"/>
            <w:left w:val="none" w:sz="0" w:space="0" w:color="auto"/>
            <w:bottom w:val="none" w:sz="0" w:space="0" w:color="auto"/>
            <w:right w:val="none" w:sz="0" w:space="0" w:color="auto"/>
          </w:divBdr>
        </w:div>
        <w:div w:id="2024703262">
          <w:marLeft w:val="0"/>
          <w:marRight w:val="0"/>
          <w:marTop w:val="0"/>
          <w:marBottom w:val="0"/>
          <w:divBdr>
            <w:top w:val="none" w:sz="0" w:space="0" w:color="auto"/>
            <w:left w:val="none" w:sz="0" w:space="0" w:color="auto"/>
            <w:bottom w:val="none" w:sz="0" w:space="0" w:color="auto"/>
            <w:right w:val="none" w:sz="0" w:space="0" w:color="auto"/>
          </w:divBdr>
        </w:div>
        <w:div w:id="2024703263">
          <w:marLeft w:val="0"/>
          <w:marRight w:val="0"/>
          <w:marTop w:val="0"/>
          <w:marBottom w:val="0"/>
          <w:divBdr>
            <w:top w:val="none" w:sz="0" w:space="0" w:color="auto"/>
            <w:left w:val="none" w:sz="0" w:space="0" w:color="auto"/>
            <w:bottom w:val="none" w:sz="0" w:space="0" w:color="auto"/>
            <w:right w:val="none" w:sz="0" w:space="0" w:color="auto"/>
          </w:divBdr>
        </w:div>
        <w:div w:id="2024703264">
          <w:marLeft w:val="0"/>
          <w:marRight w:val="0"/>
          <w:marTop w:val="0"/>
          <w:marBottom w:val="0"/>
          <w:divBdr>
            <w:top w:val="none" w:sz="0" w:space="0" w:color="auto"/>
            <w:left w:val="none" w:sz="0" w:space="0" w:color="auto"/>
            <w:bottom w:val="none" w:sz="0" w:space="0" w:color="auto"/>
            <w:right w:val="none" w:sz="0" w:space="0" w:color="auto"/>
          </w:divBdr>
        </w:div>
        <w:div w:id="2024703265">
          <w:marLeft w:val="0"/>
          <w:marRight w:val="0"/>
          <w:marTop w:val="0"/>
          <w:marBottom w:val="0"/>
          <w:divBdr>
            <w:top w:val="none" w:sz="0" w:space="0" w:color="auto"/>
            <w:left w:val="none" w:sz="0" w:space="0" w:color="auto"/>
            <w:bottom w:val="none" w:sz="0" w:space="0" w:color="auto"/>
            <w:right w:val="none" w:sz="0" w:space="0" w:color="auto"/>
          </w:divBdr>
        </w:div>
        <w:div w:id="2024703266">
          <w:marLeft w:val="0"/>
          <w:marRight w:val="0"/>
          <w:marTop w:val="0"/>
          <w:marBottom w:val="0"/>
          <w:divBdr>
            <w:top w:val="none" w:sz="0" w:space="0" w:color="auto"/>
            <w:left w:val="none" w:sz="0" w:space="0" w:color="auto"/>
            <w:bottom w:val="none" w:sz="0" w:space="0" w:color="auto"/>
            <w:right w:val="none" w:sz="0" w:space="0" w:color="auto"/>
          </w:divBdr>
        </w:div>
        <w:div w:id="2024703267">
          <w:marLeft w:val="0"/>
          <w:marRight w:val="0"/>
          <w:marTop w:val="0"/>
          <w:marBottom w:val="0"/>
          <w:divBdr>
            <w:top w:val="none" w:sz="0" w:space="0" w:color="auto"/>
            <w:left w:val="none" w:sz="0" w:space="0" w:color="auto"/>
            <w:bottom w:val="none" w:sz="0" w:space="0" w:color="auto"/>
            <w:right w:val="none" w:sz="0" w:space="0" w:color="auto"/>
          </w:divBdr>
        </w:div>
        <w:div w:id="2024703268">
          <w:marLeft w:val="0"/>
          <w:marRight w:val="0"/>
          <w:marTop w:val="0"/>
          <w:marBottom w:val="0"/>
          <w:divBdr>
            <w:top w:val="none" w:sz="0" w:space="0" w:color="auto"/>
            <w:left w:val="none" w:sz="0" w:space="0" w:color="auto"/>
            <w:bottom w:val="none" w:sz="0" w:space="0" w:color="auto"/>
            <w:right w:val="none" w:sz="0" w:space="0" w:color="auto"/>
          </w:divBdr>
        </w:div>
        <w:div w:id="2024703269">
          <w:marLeft w:val="0"/>
          <w:marRight w:val="0"/>
          <w:marTop w:val="0"/>
          <w:marBottom w:val="0"/>
          <w:divBdr>
            <w:top w:val="none" w:sz="0" w:space="0" w:color="auto"/>
            <w:left w:val="none" w:sz="0" w:space="0" w:color="auto"/>
            <w:bottom w:val="none" w:sz="0" w:space="0" w:color="auto"/>
            <w:right w:val="none" w:sz="0" w:space="0" w:color="auto"/>
          </w:divBdr>
        </w:div>
        <w:div w:id="2024703270">
          <w:marLeft w:val="0"/>
          <w:marRight w:val="0"/>
          <w:marTop w:val="0"/>
          <w:marBottom w:val="0"/>
          <w:divBdr>
            <w:top w:val="none" w:sz="0" w:space="0" w:color="auto"/>
            <w:left w:val="none" w:sz="0" w:space="0" w:color="auto"/>
            <w:bottom w:val="none" w:sz="0" w:space="0" w:color="auto"/>
            <w:right w:val="none" w:sz="0" w:space="0" w:color="auto"/>
          </w:divBdr>
        </w:div>
        <w:div w:id="2024703271">
          <w:marLeft w:val="0"/>
          <w:marRight w:val="0"/>
          <w:marTop w:val="0"/>
          <w:marBottom w:val="0"/>
          <w:divBdr>
            <w:top w:val="none" w:sz="0" w:space="0" w:color="auto"/>
            <w:left w:val="none" w:sz="0" w:space="0" w:color="auto"/>
            <w:bottom w:val="none" w:sz="0" w:space="0" w:color="auto"/>
            <w:right w:val="none" w:sz="0" w:space="0" w:color="auto"/>
          </w:divBdr>
        </w:div>
        <w:div w:id="2024703272">
          <w:marLeft w:val="0"/>
          <w:marRight w:val="0"/>
          <w:marTop w:val="0"/>
          <w:marBottom w:val="0"/>
          <w:divBdr>
            <w:top w:val="none" w:sz="0" w:space="0" w:color="auto"/>
            <w:left w:val="none" w:sz="0" w:space="0" w:color="auto"/>
            <w:bottom w:val="none" w:sz="0" w:space="0" w:color="auto"/>
            <w:right w:val="none" w:sz="0" w:space="0" w:color="auto"/>
          </w:divBdr>
        </w:div>
        <w:div w:id="2024703273">
          <w:marLeft w:val="0"/>
          <w:marRight w:val="0"/>
          <w:marTop w:val="0"/>
          <w:marBottom w:val="0"/>
          <w:divBdr>
            <w:top w:val="none" w:sz="0" w:space="0" w:color="auto"/>
            <w:left w:val="none" w:sz="0" w:space="0" w:color="auto"/>
            <w:bottom w:val="none" w:sz="0" w:space="0" w:color="auto"/>
            <w:right w:val="none" w:sz="0" w:space="0" w:color="auto"/>
          </w:divBdr>
        </w:div>
        <w:div w:id="2024703275">
          <w:marLeft w:val="0"/>
          <w:marRight w:val="0"/>
          <w:marTop w:val="0"/>
          <w:marBottom w:val="0"/>
          <w:divBdr>
            <w:top w:val="none" w:sz="0" w:space="0" w:color="auto"/>
            <w:left w:val="none" w:sz="0" w:space="0" w:color="auto"/>
            <w:bottom w:val="none" w:sz="0" w:space="0" w:color="auto"/>
            <w:right w:val="none" w:sz="0" w:space="0" w:color="auto"/>
          </w:divBdr>
        </w:div>
        <w:div w:id="2024703277">
          <w:marLeft w:val="0"/>
          <w:marRight w:val="0"/>
          <w:marTop w:val="0"/>
          <w:marBottom w:val="0"/>
          <w:divBdr>
            <w:top w:val="none" w:sz="0" w:space="0" w:color="auto"/>
            <w:left w:val="none" w:sz="0" w:space="0" w:color="auto"/>
            <w:bottom w:val="none" w:sz="0" w:space="0" w:color="auto"/>
            <w:right w:val="none" w:sz="0" w:space="0" w:color="auto"/>
          </w:divBdr>
        </w:div>
        <w:div w:id="2024703278">
          <w:marLeft w:val="0"/>
          <w:marRight w:val="0"/>
          <w:marTop w:val="0"/>
          <w:marBottom w:val="0"/>
          <w:divBdr>
            <w:top w:val="none" w:sz="0" w:space="0" w:color="auto"/>
            <w:left w:val="none" w:sz="0" w:space="0" w:color="auto"/>
            <w:bottom w:val="none" w:sz="0" w:space="0" w:color="auto"/>
            <w:right w:val="none" w:sz="0" w:space="0" w:color="auto"/>
          </w:divBdr>
        </w:div>
        <w:div w:id="2024703279">
          <w:marLeft w:val="0"/>
          <w:marRight w:val="0"/>
          <w:marTop w:val="0"/>
          <w:marBottom w:val="0"/>
          <w:divBdr>
            <w:top w:val="none" w:sz="0" w:space="0" w:color="auto"/>
            <w:left w:val="none" w:sz="0" w:space="0" w:color="auto"/>
            <w:bottom w:val="none" w:sz="0" w:space="0" w:color="auto"/>
            <w:right w:val="none" w:sz="0" w:space="0" w:color="auto"/>
          </w:divBdr>
        </w:div>
        <w:div w:id="2024703280">
          <w:marLeft w:val="0"/>
          <w:marRight w:val="0"/>
          <w:marTop w:val="0"/>
          <w:marBottom w:val="0"/>
          <w:divBdr>
            <w:top w:val="none" w:sz="0" w:space="0" w:color="auto"/>
            <w:left w:val="none" w:sz="0" w:space="0" w:color="auto"/>
            <w:bottom w:val="none" w:sz="0" w:space="0" w:color="auto"/>
            <w:right w:val="none" w:sz="0" w:space="0" w:color="auto"/>
          </w:divBdr>
        </w:div>
        <w:div w:id="2024703281">
          <w:marLeft w:val="0"/>
          <w:marRight w:val="0"/>
          <w:marTop w:val="0"/>
          <w:marBottom w:val="0"/>
          <w:divBdr>
            <w:top w:val="none" w:sz="0" w:space="0" w:color="auto"/>
            <w:left w:val="none" w:sz="0" w:space="0" w:color="auto"/>
            <w:bottom w:val="none" w:sz="0" w:space="0" w:color="auto"/>
            <w:right w:val="none" w:sz="0" w:space="0" w:color="auto"/>
          </w:divBdr>
        </w:div>
        <w:div w:id="2024703282">
          <w:marLeft w:val="0"/>
          <w:marRight w:val="0"/>
          <w:marTop w:val="0"/>
          <w:marBottom w:val="0"/>
          <w:divBdr>
            <w:top w:val="none" w:sz="0" w:space="0" w:color="auto"/>
            <w:left w:val="none" w:sz="0" w:space="0" w:color="auto"/>
            <w:bottom w:val="none" w:sz="0" w:space="0" w:color="auto"/>
            <w:right w:val="none" w:sz="0" w:space="0" w:color="auto"/>
          </w:divBdr>
        </w:div>
        <w:div w:id="2024703283">
          <w:marLeft w:val="0"/>
          <w:marRight w:val="0"/>
          <w:marTop w:val="0"/>
          <w:marBottom w:val="0"/>
          <w:divBdr>
            <w:top w:val="none" w:sz="0" w:space="0" w:color="auto"/>
            <w:left w:val="none" w:sz="0" w:space="0" w:color="auto"/>
            <w:bottom w:val="none" w:sz="0" w:space="0" w:color="auto"/>
            <w:right w:val="none" w:sz="0" w:space="0" w:color="auto"/>
          </w:divBdr>
        </w:div>
        <w:div w:id="2024703284">
          <w:marLeft w:val="0"/>
          <w:marRight w:val="0"/>
          <w:marTop w:val="0"/>
          <w:marBottom w:val="0"/>
          <w:divBdr>
            <w:top w:val="none" w:sz="0" w:space="0" w:color="auto"/>
            <w:left w:val="none" w:sz="0" w:space="0" w:color="auto"/>
            <w:bottom w:val="none" w:sz="0" w:space="0" w:color="auto"/>
            <w:right w:val="none" w:sz="0" w:space="0" w:color="auto"/>
          </w:divBdr>
        </w:div>
        <w:div w:id="2024703285">
          <w:marLeft w:val="0"/>
          <w:marRight w:val="0"/>
          <w:marTop w:val="0"/>
          <w:marBottom w:val="0"/>
          <w:divBdr>
            <w:top w:val="none" w:sz="0" w:space="0" w:color="auto"/>
            <w:left w:val="none" w:sz="0" w:space="0" w:color="auto"/>
            <w:bottom w:val="none" w:sz="0" w:space="0" w:color="auto"/>
            <w:right w:val="none" w:sz="0" w:space="0" w:color="auto"/>
          </w:divBdr>
        </w:div>
        <w:div w:id="2024703286">
          <w:marLeft w:val="0"/>
          <w:marRight w:val="0"/>
          <w:marTop w:val="0"/>
          <w:marBottom w:val="0"/>
          <w:divBdr>
            <w:top w:val="none" w:sz="0" w:space="0" w:color="auto"/>
            <w:left w:val="none" w:sz="0" w:space="0" w:color="auto"/>
            <w:bottom w:val="none" w:sz="0" w:space="0" w:color="auto"/>
            <w:right w:val="none" w:sz="0" w:space="0" w:color="auto"/>
          </w:divBdr>
        </w:div>
        <w:div w:id="2024703287">
          <w:marLeft w:val="0"/>
          <w:marRight w:val="0"/>
          <w:marTop w:val="0"/>
          <w:marBottom w:val="0"/>
          <w:divBdr>
            <w:top w:val="none" w:sz="0" w:space="0" w:color="auto"/>
            <w:left w:val="none" w:sz="0" w:space="0" w:color="auto"/>
            <w:bottom w:val="none" w:sz="0" w:space="0" w:color="auto"/>
            <w:right w:val="none" w:sz="0" w:space="0" w:color="auto"/>
          </w:divBdr>
        </w:div>
        <w:div w:id="2024703288">
          <w:marLeft w:val="0"/>
          <w:marRight w:val="0"/>
          <w:marTop w:val="0"/>
          <w:marBottom w:val="0"/>
          <w:divBdr>
            <w:top w:val="none" w:sz="0" w:space="0" w:color="auto"/>
            <w:left w:val="none" w:sz="0" w:space="0" w:color="auto"/>
            <w:bottom w:val="none" w:sz="0" w:space="0" w:color="auto"/>
            <w:right w:val="none" w:sz="0" w:space="0" w:color="auto"/>
          </w:divBdr>
        </w:div>
        <w:div w:id="2024703289">
          <w:marLeft w:val="0"/>
          <w:marRight w:val="0"/>
          <w:marTop w:val="0"/>
          <w:marBottom w:val="0"/>
          <w:divBdr>
            <w:top w:val="none" w:sz="0" w:space="0" w:color="auto"/>
            <w:left w:val="none" w:sz="0" w:space="0" w:color="auto"/>
            <w:bottom w:val="none" w:sz="0" w:space="0" w:color="auto"/>
            <w:right w:val="none" w:sz="0" w:space="0" w:color="auto"/>
          </w:divBdr>
        </w:div>
        <w:div w:id="2024703291">
          <w:marLeft w:val="0"/>
          <w:marRight w:val="0"/>
          <w:marTop w:val="0"/>
          <w:marBottom w:val="0"/>
          <w:divBdr>
            <w:top w:val="none" w:sz="0" w:space="0" w:color="auto"/>
            <w:left w:val="none" w:sz="0" w:space="0" w:color="auto"/>
            <w:bottom w:val="none" w:sz="0" w:space="0" w:color="auto"/>
            <w:right w:val="none" w:sz="0" w:space="0" w:color="auto"/>
          </w:divBdr>
        </w:div>
        <w:div w:id="2024703292">
          <w:marLeft w:val="0"/>
          <w:marRight w:val="0"/>
          <w:marTop w:val="0"/>
          <w:marBottom w:val="0"/>
          <w:divBdr>
            <w:top w:val="none" w:sz="0" w:space="0" w:color="auto"/>
            <w:left w:val="none" w:sz="0" w:space="0" w:color="auto"/>
            <w:bottom w:val="none" w:sz="0" w:space="0" w:color="auto"/>
            <w:right w:val="none" w:sz="0" w:space="0" w:color="auto"/>
          </w:divBdr>
        </w:div>
        <w:div w:id="2024703293">
          <w:marLeft w:val="0"/>
          <w:marRight w:val="0"/>
          <w:marTop w:val="0"/>
          <w:marBottom w:val="0"/>
          <w:divBdr>
            <w:top w:val="none" w:sz="0" w:space="0" w:color="auto"/>
            <w:left w:val="none" w:sz="0" w:space="0" w:color="auto"/>
            <w:bottom w:val="none" w:sz="0" w:space="0" w:color="auto"/>
            <w:right w:val="none" w:sz="0" w:space="0" w:color="auto"/>
          </w:divBdr>
        </w:div>
        <w:div w:id="2024703294">
          <w:marLeft w:val="0"/>
          <w:marRight w:val="0"/>
          <w:marTop w:val="0"/>
          <w:marBottom w:val="0"/>
          <w:divBdr>
            <w:top w:val="none" w:sz="0" w:space="0" w:color="auto"/>
            <w:left w:val="none" w:sz="0" w:space="0" w:color="auto"/>
            <w:bottom w:val="none" w:sz="0" w:space="0" w:color="auto"/>
            <w:right w:val="none" w:sz="0" w:space="0" w:color="auto"/>
          </w:divBdr>
        </w:div>
        <w:div w:id="2024703295">
          <w:marLeft w:val="0"/>
          <w:marRight w:val="0"/>
          <w:marTop w:val="0"/>
          <w:marBottom w:val="0"/>
          <w:divBdr>
            <w:top w:val="none" w:sz="0" w:space="0" w:color="auto"/>
            <w:left w:val="none" w:sz="0" w:space="0" w:color="auto"/>
            <w:bottom w:val="none" w:sz="0" w:space="0" w:color="auto"/>
            <w:right w:val="none" w:sz="0" w:space="0" w:color="auto"/>
          </w:divBdr>
        </w:div>
        <w:div w:id="2024703296">
          <w:marLeft w:val="0"/>
          <w:marRight w:val="0"/>
          <w:marTop w:val="0"/>
          <w:marBottom w:val="0"/>
          <w:divBdr>
            <w:top w:val="none" w:sz="0" w:space="0" w:color="auto"/>
            <w:left w:val="none" w:sz="0" w:space="0" w:color="auto"/>
            <w:bottom w:val="none" w:sz="0" w:space="0" w:color="auto"/>
            <w:right w:val="none" w:sz="0" w:space="0" w:color="auto"/>
          </w:divBdr>
        </w:div>
        <w:div w:id="2024703298">
          <w:marLeft w:val="0"/>
          <w:marRight w:val="0"/>
          <w:marTop w:val="0"/>
          <w:marBottom w:val="0"/>
          <w:divBdr>
            <w:top w:val="none" w:sz="0" w:space="0" w:color="auto"/>
            <w:left w:val="none" w:sz="0" w:space="0" w:color="auto"/>
            <w:bottom w:val="none" w:sz="0" w:space="0" w:color="auto"/>
            <w:right w:val="none" w:sz="0" w:space="0" w:color="auto"/>
          </w:divBdr>
        </w:div>
        <w:div w:id="2024703299">
          <w:marLeft w:val="0"/>
          <w:marRight w:val="0"/>
          <w:marTop w:val="0"/>
          <w:marBottom w:val="0"/>
          <w:divBdr>
            <w:top w:val="none" w:sz="0" w:space="0" w:color="auto"/>
            <w:left w:val="none" w:sz="0" w:space="0" w:color="auto"/>
            <w:bottom w:val="none" w:sz="0" w:space="0" w:color="auto"/>
            <w:right w:val="none" w:sz="0" w:space="0" w:color="auto"/>
          </w:divBdr>
        </w:div>
        <w:div w:id="2024703300">
          <w:marLeft w:val="0"/>
          <w:marRight w:val="0"/>
          <w:marTop w:val="0"/>
          <w:marBottom w:val="0"/>
          <w:divBdr>
            <w:top w:val="none" w:sz="0" w:space="0" w:color="auto"/>
            <w:left w:val="none" w:sz="0" w:space="0" w:color="auto"/>
            <w:bottom w:val="none" w:sz="0" w:space="0" w:color="auto"/>
            <w:right w:val="none" w:sz="0" w:space="0" w:color="auto"/>
          </w:divBdr>
        </w:div>
        <w:div w:id="2024703301">
          <w:marLeft w:val="0"/>
          <w:marRight w:val="0"/>
          <w:marTop w:val="0"/>
          <w:marBottom w:val="0"/>
          <w:divBdr>
            <w:top w:val="none" w:sz="0" w:space="0" w:color="auto"/>
            <w:left w:val="none" w:sz="0" w:space="0" w:color="auto"/>
            <w:bottom w:val="none" w:sz="0" w:space="0" w:color="auto"/>
            <w:right w:val="none" w:sz="0" w:space="0" w:color="auto"/>
          </w:divBdr>
        </w:div>
        <w:div w:id="2024703302">
          <w:marLeft w:val="0"/>
          <w:marRight w:val="0"/>
          <w:marTop w:val="0"/>
          <w:marBottom w:val="0"/>
          <w:divBdr>
            <w:top w:val="none" w:sz="0" w:space="0" w:color="auto"/>
            <w:left w:val="none" w:sz="0" w:space="0" w:color="auto"/>
            <w:bottom w:val="none" w:sz="0" w:space="0" w:color="auto"/>
            <w:right w:val="none" w:sz="0" w:space="0" w:color="auto"/>
          </w:divBdr>
        </w:div>
        <w:div w:id="2024703303">
          <w:marLeft w:val="0"/>
          <w:marRight w:val="0"/>
          <w:marTop w:val="0"/>
          <w:marBottom w:val="0"/>
          <w:divBdr>
            <w:top w:val="none" w:sz="0" w:space="0" w:color="auto"/>
            <w:left w:val="none" w:sz="0" w:space="0" w:color="auto"/>
            <w:bottom w:val="none" w:sz="0" w:space="0" w:color="auto"/>
            <w:right w:val="none" w:sz="0" w:space="0" w:color="auto"/>
          </w:divBdr>
        </w:div>
        <w:div w:id="2024703304">
          <w:marLeft w:val="0"/>
          <w:marRight w:val="0"/>
          <w:marTop w:val="0"/>
          <w:marBottom w:val="0"/>
          <w:divBdr>
            <w:top w:val="none" w:sz="0" w:space="0" w:color="auto"/>
            <w:left w:val="none" w:sz="0" w:space="0" w:color="auto"/>
            <w:bottom w:val="none" w:sz="0" w:space="0" w:color="auto"/>
            <w:right w:val="none" w:sz="0" w:space="0" w:color="auto"/>
          </w:divBdr>
        </w:div>
        <w:div w:id="2024703305">
          <w:marLeft w:val="0"/>
          <w:marRight w:val="0"/>
          <w:marTop w:val="0"/>
          <w:marBottom w:val="0"/>
          <w:divBdr>
            <w:top w:val="none" w:sz="0" w:space="0" w:color="auto"/>
            <w:left w:val="none" w:sz="0" w:space="0" w:color="auto"/>
            <w:bottom w:val="none" w:sz="0" w:space="0" w:color="auto"/>
            <w:right w:val="none" w:sz="0" w:space="0" w:color="auto"/>
          </w:divBdr>
        </w:div>
        <w:div w:id="2024703306">
          <w:marLeft w:val="0"/>
          <w:marRight w:val="0"/>
          <w:marTop w:val="0"/>
          <w:marBottom w:val="0"/>
          <w:divBdr>
            <w:top w:val="none" w:sz="0" w:space="0" w:color="auto"/>
            <w:left w:val="none" w:sz="0" w:space="0" w:color="auto"/>
            <w:bottom w:val="none" w:sz="0" w:space="0" w:color="auto"/>
            <w:right w:val="none" w:sz="0" w:space="0" w:color="auto"/>
          </w:divBdr>
        </w:div>
        <w:div w:id="2024703307">
          <w:marLeft w:val="0"/>
          <w:marRight w:val="0"/>
          <w:marTop w:val="0"/>
          <w:marBottom w:val="0"/>
          <w:divBdr>
            <w:top w:val="none" w:sz="0" w:space="0" w:color="auto"/>
            <w:left w:val="none" w:sz="0" w:space="0" w:color="auto"/>
            <w:bottom w:val="none" w:sz="0" w:space="0" w:color="auto"/>
            <w:right w:val="none" w:sz="0" w:space="0" w:color="auto"/>
          </w:divBdr>
        </w:div>
        <w:div w:id="2024703308">
          <w:marLeft w:val="0"/>
          <w:marRight w:val="0"/>
          <w:marTop w:val="0"/>
          <w:marBottom w:val="0"/>
          <w:divBdr>
            <w:top w:val="none" w:sz="0" w:space="0" w:color="auto"/>
            <w:left w:val="none" w:sz="0" w:space="0" w:color="auto"/>
            <w:bottom w:val="none" w:sz="0" w:space="0" w:color="auto"/>
            <w:right w:val="none" w:sz="0" w:space="0" w:color="auto"/>
          </w:divBdr>
        </w:div>
        <w:div w:id="2024703310">
          <w:marLeft w:val="0"/>
          <w:marRight w:val="0"/>
          <w:marTop w:val="0"/>
          <w:marBottom w:val="0"/>
          <w:divBdr>
            <w:top w:val="none" w:sz="0" w:space="0" w:color="auto"/>
            <w:left w:val="none" w:sz="0" w:space="0" w:color="auto"/>
            <w:bottom w:val="none" w:sz="0" w:space="0" w:color="auto"/>
            <w:right w:val="none" w:sz="0" w:space="0" w:color="auto"/>
          </w:divBdr>
        </w:div>
        <w:div w:id="2024703311">
          <w:marLeft w:val="0"/>
          <w:marRight w:val="0"/>
          <w:marTop w:val="0"/>
          <w:marBottom w:val="0"/>
          <w:divBdr>
            <w:top w:val="none" w:sz="0" w:space="0" w:color="auto"/>
            <w:left w:val="none" w:sz="0" w:space="0" w:color="auto"/>
            <w:bottom w:val="none" w:sz="0" w:space="0" w:color="auto"/>
            <w:right w:val="none" w:sz="0" w:space="0" w:color="auto"/>
          </w:divBdr>
        </w:div>
        <w:div w:id="2024703312">
          <w:marLeft w:val="0"/>
          <w:marRight w:val="0"/>
          <w:marTop w:val="0"/>
          <w:marBottom w:val="0"/>
          <w:divBdr>
            <w:top w:val="none" w:sz="0" w:space="0" w:color="auto"/>
            <w:left w:val="none" w:sz="0" w:space="0" w:color="auto"/>
            <w:bottom w:val="none" w:sz="0" w:space="0" w:color="auto"/>
            <w:right w:val="none" w:sz="0" w:space="0" w:color="auto"/>
          </w:divBdr>
        </w:div>
        <w:div w:id="2024703313">
          <w:marLeft w:val="0"/>
          <w:marRight w:val="0"/>
          <w:marTop w:val="0"/>
          <w:marBottom w:val="0"/>
          <w:divBdr>
            <w:top w:val="none" w:sz="0" w:space="0" w:color="auto"/>
            <w:left w:val="none" w:sz="0" w:space="0" w:color="auto"/>
            <w:bottom w:val="none" w:sz="0" w:space="0" w:color="auto"/>
            <w:right w:val="none" w:sz="0" w:space="0" w:color="auto"/>
          </w:divBdr>
        </w:div>
        <w:div w:id="2024703314">
          <w:marLeft w:val="0"/>
          <w:marRight w:val="0"/>
          <w:marTop w:val="0"/>
          <w:marBottom w:val="0"/>
          <w:divBdr>
            <w:top w:val="none" w:sz="0" w:space="0" w:color="auto"/>
            <w:left w:val="none" w:sz="0" w:space="0" w:color="auto"/>
            <w:bottom w:val="none" w:sz="0" w:space="0" w:color="auto"/>
            <w:right w:val="none" w:sz="0" w:space="0" w:color="auto"/>
          </w:divBdr>
        </w:div>
        <w:div w:id="2024703316">
          <w:marLeft w:val="0"/>
          <w:marRight w:val="0"/>
          <w:marTop w:val="0"/>
          <w:marBottom w:val="0"/>
          <w:divBdr>
            <w:top w:val="none" w:sz="0" w:space="0" w:color="auto"/>
            <w:left w:val="none" w:sz="0" w:space="0" w:color="auto"/>
            <w:bottom w:val="none" w:sz="0" w:space="0" w:color="auto"/>
            <w:right w:val="none" w:sz="0" w:space="0" w:color="auto"/>
          </w:divBdr>
        </w:div>
        <w:div w:id="2024703317">
          <w:marLeft w:val="0"/>
          <w:marRight w:val="0"/>
          <w:marTop w:val="0"/>
          <w:marBottom w:val="0"/>
          <w:divBdr>
            <w:top w:val="none" w:sz="0" w:space="0" w:color="auto"/>
            <w:left w:val="none" w:sz="0" w:space="0" w:color="auto"/>
            <w:bottom w:val="none" w:sz="0" w:space="0" w:color="auto"/>
            <w:right w:val="none" w:sz="0" w:space="0" w:color="auto"/>
          </w:divBdr>
        </w:div>
        <w:div w:id="2024703318">
          <w:marLeft w:val="0"/>
          <w:marRight w:val="0"/>
          <w:marTop w:val="0"/>
          <w:marBottom w:val="0"/>
          <w:divBdr>
            <w:top w:val="none" w:sz="0" w:space="0" w:color="auto"/>
            <w:left w:val="none" w:sz="0" w:space="0" w:color="auto"/>
            <w:bottom w:val="none" w:sz="0" w:space="0" w:color="auto"/>
            <w:right w:val="none" w:sz="0" w:space="0" w:color="auto"/>
          </w:divBdr>
        </w:div>
        <w:div w:id="2024703319">
          <w:marLeft w:val="0"/>
          <w:marRight w:val="0"/>
          <w:marTop w:val="0"/>
          <w:marBottom w:val="0"/>
          <w:divBdr>
            <w:top w:val="none" w:sz="0" w:space="0" w:color="auto"/>
            <w:left w:val="none" w:sz="0" w:space="0" w:color="auto"/>
            <w:bottom w:val="none" w:sz="0" w:space="0" w:color="auto"/>
            <w:right w:val="none" w:sz="0" w:space="0" w:color="auto"/>
          </w:divBdr>
        </w:div>
        <w:div w:id="2024703320">
          <w:marLeft w:val="0"/>
          <w:marRight w:val="0"/>
          <w:marTop w:val="0"/>
          <w:marBottom w:val="0"/>
          <w:divBdr>
            <w:top w:val="none" w:sz="0" w:space="0" w:color="auto"/>
            <w:left w:val="none" w:sz="0" w:space="0" w:color="auto"/>
            <w:bottom w:val="none" w:sz="0" w:space="0" w:color="auto"/>
            <w:right w:val="none" w:sz="0" w:space="0" w:color="auto"/>
          </w:divBdr>
        </w:div>
        <w:div w:id="2024703321">
          <w:marLeft w:val="0"/>
          <w:marRight w:val="0"/>
          <w:marTop w:val="0"/>
          <w:marBottom w:val="0"/>
          <w:divBdr>
            <w:top w:val="none" w:sz="0" w:space="0" w:color="auto"/>
            <w:left w:val="none" w:sz="0" w:space="0" w:color="auto"/>
            <w:bottom w:val="none" w:sz="0" w:space="0" w:color="auto"/>
            <w:right w:val="none" w:sz="0" w:space="0" w:color="auto"/>
          </w:divBdr>
        </w:div>
        <w:div w:id="2024703322">
          <w:marLeft w:val="0"/>
          <w:marRight w:val="0"/>
          <w:marTop w:val="0"/>
          <w:marBottom w:val="0"/>
          <w:divBdr>
            <w:top w:val="none" w:sz="0" w:space="0" w:color="auto"/>
            <w:left w:val="none" w:sz="0" w:space="0" w:color="auto"/>
            <w:bottom w:val="none" w:sz="0" w:space="0" w:color="auto"/>
            <w:right w:val="none" w:sz="0" w:space="0" w:color="auto"/>
          </w:divBdr>
        </w:div>
        <w:div w:id="2024703323">
          <w:marLeft w:val="0"/>
          <w:marRight w:val="0"/>
          <w:marTop w:val="0"/>
          <w:marBottom w:val="0"/>
          <w:divBdr>
            <w:top w:val="none" w:sz="0" w:space="0" w:color="auto"/>
            <w:left w:val="none" w:sz="0" w:space="0" w:color="auto"/>
            <w:bottom w:val="none" w:sz="0" w:space="0" w:color="auto"/>
            <w:right w:val="none" w:sz="0" w:space="0" w:color="auto"/>
          </w:divBdr>
        </w:div>
        <w:div w:id="2024703324">
          <w:marLeft w:val="0"/>
          <w:marRight w:val="0"/>
          <w:marTop w:val="0"/>
          <w:marBottom w:val="0"/>
          <w:divBdr>
            <w:top w:val="none" w:sz="0" w:space="0" w:color="auto"/>
            <w:left w:val="none" w:sz="0" w:space="0" w:color="auto"/>
            <w:bottom w:val="none" w:sz="0" w:space="0" w:color="auto"/>
            <w:right w:val="none" w:sz="0" w:space="0" w:color="auto"/>
          </w:divBdr>
        </w:div>
        <w:div w:id="2024703325">
          <w:marLeft w:val="0"/>
          <w:marRight w:val="0"/>
          <w:marTop w:val="0"/>
          <w:marBottom w:val="0"/>
          <w:divBdr>
            <w:top w:val="none" w:sz="0" w:space="0" w:color="auto"/>
            <w:left w:val="none" w:sz="0" w:space="0" w:color="auto"/>
            <w:bottom w:val="none" w:sz="0" w:space="0" w:color="auto"/>
            <w:right w:val="none" w:sz="0" w:space="0" w:color="auto"/>
          </w:divBdr>
        </w:div>
        <w:div w:id="2024703326">
          <w:marLeft w:val="0"/>
          <w:marRight w:val="0"/>
          <w:marTop w:val="0"/>
          <w:marBottom w:val="0"/>
          <w:divBdr>
            <w:top w:val="none" w:sz="0" w:space="0" w:color="auto"/>
            <w:left w:val="none" w:sz="0" w:space="0" w:color="auto"/>
            <w:bottom w:val="none" w:sz="0" w:space="0" w:color="auto"/>
            <w:right w:val="none" w:sz="0" w:space="0" w:color="auto"/>
          </w:divBdr>
        </w:div>
        <w:div w:id="2024703327">
          <w:marLeft w:val="0"/>
          <w:marRight w:val="0"/>
          <w:marTop w:val="0"/>
          <w:marBottom w:val="0"/>
          <w:divBdr>
            <w:top w:val="none" w:sz="0" w:space="0" w:color="auto"/>
            <w:left w:val="none" w:sz="0" w:space="0" w:color="auto"/>
            <w:bottom w:val="none" w:sz="0" w:space="0" w:color="auto"/>
            <w:right w:val="none" w:sz="0" w:space="0" w:color="auto"/>
          </w:divBdr>
        </w:div>
        <w:div w:id="2024703328">
          <w:marLeft w:val="0"/>
          <w:marRight w:val="0"/>
          <w:marTop w:val="0"/>
          <w:marBottom w:val="0"/>
          <w:divBdr>
            <w:top w:val="none" w:sz="0" w:space="0" w:color="auto"/>
            <w:left w:val="none" w:sz="0" w:space="0" w:color="auto"/>
            <w:bottom w:val="none" w:sz="0" w:space="0" w:color="auto"/>
            <w:right w:val="none" w:sz="0" w:space="0" w:color="auto"/>
          </w:divBdr>
        </w:div>
        <w:div w:id="2024703329">
          <w:marLeft w:val="0"/>
          <w:marRight w:val="0"/>
          <w:marTop w:val="0"/>
          <w:marBottom w:val="0"/>
          <w:divBdr>
            <w:top w:val="none" w:sz="0" w:space="0" w:color="auto"/>
            <w:left w:val="none" w:sz="0" w:space="0" w:color="auto"/>
            <w:bottom w:val="none" w:sz="0" w:space="0" w:color="auto"/>
            <w:right w:val="none" w:sz="0" w:space="0" w:color="auto"/>
          </w:divBdr>
        </w:div>
        <w:div w:id="2024703330">
          <w:marLeft w:val="0"/>
          <w:marRight w:val="0"/>
          <w:marTop w:val="0"/>
          <w:marBottom w:val="0"/>
          <w:divBdr>
            <w:top w:val="none" w:sz="0" w:space="0" w:color="auto"/>
            <w:left w:val="none" w:sz="0" w:space="0" w:color="auto"/>
            <w:bottom w:val="none" w:sz="0" w:space="0" w:color="auto"/>
            <w:right w:val="none" w:sz="0" w:space="0" w:color="auto"/>
          </w:divBdr>
        </w:div>
        <w:div w:id="2024703331">
          <w:marLeft w:val="0"/>
          <w:marRight w:val="0"/>
          <w:marTop w:val="0"/>
          <w:marBottom w:val="0"/>
          <w:divBdr>
            <w:top w:val="none" w:sz="0" w:space="0" w:color="auto"/>
            <w:left w:val="none" w:sz="0" w:space="0" w:color="auto"/>
            <w:bottom w:val="none" w:sz="0" w:space="0" w:color="auto"/>
            <w:right w:val="none" w:sz="0" w:space="0" w:color="auto"/>
          </w:divBdr>
        </w:div>
        <w:div w:id="2024703332">
          <w:marLeft w:val="0"/>
          <w:marRight w:val="0"/>
          <w:marTop w:val="0"/>
          <w:marBottom w:val="0"/>
          <w:divBdr>
            <w:top w:val="none" w:sz="0" w:space="0" w:color="auto"/>
            <w:left w:val="none" w:sz="0" w:space="0" w:color="auto"/>
            <w:bottom w:val="none" w:sz="0" w:space="0" w:color="auto"/>
            <w:right w:val="none" w:sz="0" w:space="0" w:color="auto"/>
          </w:divBdr>
        </w:div>
        <w:div w:id="2024703333">
          <w:marLeft w:val="0"/>
          <w:marRight w:val="0"/>
          <w:marTop w:val="0"/>
          <w:marBottom w:val="0"/>
          <w:divBdr>
            <w:top w:val="none" w:sz="0" w:space="0" w:color="auto"/>
            <w:left w:val="none" w:sz="0" w:space="0" w:color="auto"/>
            <w:bottom w:val="none" w:sz="0" w:space="0" w:color="auto"/>
            <w:right w:val="none" w:sz="0" w:space="0" w:color="auto"/>
          </w:divBdr>
        </w:div>
        <w:div w:id="2024703335">
          <w:marLeft w:val="0"/>
          <w:marRight w:val="0"/>
          <w:marTop w:val="0"/>
          <w:marBottom w:val="0"/>
          <w:divBdr>
            <w:top w:val="none" w:sz="0" w:space="0" w:color="auto"/>
            <w:left w:val="none" w:sz="0" w:space="0" w:color="auto"/>
            <w:bottom w:val="none" w:sz="0" w:space="0" w:color="auto"/>
            <w:right w:val="none" w:sz="0" w:space="0" w:color="auto"/>
          </w:divBdr>
        </w:div>
        <w:div w:id="2024703336">
          <w:marLeft w:val="0"/>
          <w:marRight w:val="0"/>
          <w:marTop w:val="0"/>
          <w:marBottom w:val="0"/>
          <w:divBdr>
            <w:top w:val="none" w:sz="0" w:space="0" w:color="auto"/>
            <w:left w:val="none" w:sz="0" w:space="0" w:color="auto"/>
            <w:bottom w:val="none" w:sz="0" w:space="0" w:color="auto"/>
            <w:right w:val="none" w:sz="0" w:space="0" w:color="auto"/>
          </w:divBdr>
        </w:div>
        <w:div w:id="2024703337">
          <w:marLeft w:val="0"/>
          <w:marRight w:val="0"/>
          <w:marTop w:val="0"/>
          <w:marBottom w:val="0"/>
          <w:divBdr>
            <w:top w:val="none" w:sz="0" w:space="0" w:color="auto"/>
            <w:left w:val="none" w:sz="0" w:space="0" w:color="auto"/>
            <w:bottom w:val="none" w:sz="0" w:space="0" w:color="auto"/>
            <w:right w:val="none" w:sz="0" w:space="0" w:color="auto"/>
          </w:divBdr>
        </w:div>
        <w:div w:id="2024703338">
          <w:marLeft w:val="0"/>
          <w:marRight w:val="0"/>
          <w:marTop w:val="0"/>
          <w:marBottom w:val="0"/>
          <w:divBdr>
            <w:top w:val="none" w:sz="0" w:space="0" w:color="auto"/>
            <w:left w:val="none" w:sz="0" w:space="0" w:color="auto"/>
            <w:bottom w:val="none" w:sz="0" w:space="0" w:color="auto"/>
            <w:right w:val="none" w:sz="0" w:space="0" w:color="auto"/>
          </w:divBdr>
        </w:div>
        <w:div w:id="2024703339">
          <w:marLeft w:val="0"/>
          <w:marRight w:val="0"/>
          <w:marTop w:val="0"/>
          <w:marBottom w:val="0"/>
          <w:divBdr>
            <w:top w:val="none" w:sz="0" w:space="0" w:color="auto"/>
            <w:left w:val="none" w:sz="0" w:space="0" w:color="auto"/>
            <w:bottom w:val="none" w:sz="0" w:space="0" w:color="auto"/>
            <w:right w:val="none" w:sz="0" w:space="0" w:color="auto"/>
          </w:divBdr>
        </w:div>
        <w:div w:id="2024703340">
          <w:marLeft w:val="0"/>
          <w:marRight w:val="0"/>
          <w:marTop w:val="0"/>
          <w:marBottom w:val="0"/>
          <w:divBdr>
            <w:top w:val="none" w:sz="0" w:space="0" w:color="auto"/>
            <w:left w:val="none" w:sz="0" w:space="0" w:color="auto"/>
            <w:bottom w:val="none" w:sz="0" w:space="0" w:color="auto"/>
            <w:right w:val="none" w:sz="0" w:space="0" w:color="auto"/>
          </w:divBdr>
        </w:div>
        <w:div w:id="2024703341">
          <w:marLeft w:val="0"/>
          <w:marRight w:val="0"/>
          <w:marTop w:val="0"/>
          <w:marBottom w:val="0"/>
          <w:divBdr>
            <w:top w:val="none" w:sz="0" w:space="0" w:color="auto"/>
            <w:left w:val="none" w:sz="0" w:space="0" w:color="auto"/>
            <w:bottom w:val="none" w:sz="0" w:space="0" w:color="auto"/>
            <w:right w:val="none" w:sz="0" w:space="0" w:color="auto"/>
          </w:divBdr>
        </w:div>
        <w:div w:id="2024703342">
          <w:marLeft w:val="0"/>
          <w:marRight w:val="0"/>
          <w:marTop w:val="0"/>
          <w:marBottom w:val="0"/>
          <w:divBdr>
            <w:top w:val="none" w:sz="0" w:space="0" w:color="auto"/>
            <w:left w:val="none" w:sz="0" w:space="0" w:color="auto"/>
            <w:bottom w:val="none" w:sz="0" w:space="0" w:color="auto"/>
            <w:right w:val="none" w:sz="0" w:space="0" w:color="auto"/>
          </w:divBdr>
        </w:div>
        <w:div w:id="2024703343">
          <w:marLeft w:val="0"/>
          <w:marRight w:val="0"/>
          <w:marTop w:val="0"/>
          <w:marBottom w:val="0"/>
          <w:divBdr>
            <w:top w:val="none" w:sz="0" w:space="0" w:color="auto"/>
            <w:left w:val="none" w:sz="0" w:space="0" w:color="auto"/>
            <w:bottom w:val="none" w:sz="0" w:space="0" w:color="auto"/>
            <w:right w:val="none" w:sz="0" w:space="0" w:color="auto"/>
          </w:divBdr>
        </w:div>
        <w:div w:id="2024703344">
          <w:marLeft w:val="0"/>
          <w:marRight w:val="0"/>
          <w:marTop w:val="0"/>
          <w:marBottom w:val="0"/>
          <w:divBdr>
            <w:top w:val="none" w:sz="0" w:space="0" w:color="auto"/>
            <w:left w:val="none" w:sz="0" w:space="0" w:color="auto"/>
            <w:bottom w:val="none" w:sz="0" w:space="0" w:color="auto"/>
            <w:right w:val="none" w:sz="0" w:space="0" w:color="auto"/>
          </w:divBdr>
        </w:div>
        <w:div w:id="2024703345">
          <w:marLeft w:val="0"/>
          <w:marRight w:val="0"/>
          <w:marTop w:val="0"/>
          <w:marBottom w:val="0"/>
          <w:divBdr>
            <w:top w:val="none" w:sz="0" w:space="0" w:color="auto"/>
            <w:left w:val="none" w:sz="0" w:space="0" w:color="auto"/>
            <w:bottom w:val="none" w:sz="0" w:space="0" w:color="auto"/>
            <w:right w:val="none" w:sz="0" w:space="0" w:color="auto"/>
          </w:divBdr>
        </w:div>
        <w:div w:id="2024703346">
          <w:marLeft w:val="0"/>
          <w:marRight w:val="0"/>
          <w:marTop w:val="0"/>
          <w:marBottom w:val="0"/>
          <w:divBdr>
            <w:top w:val="none" w:sz="0" w:space="0" w:color="auto"/>
            <w:left w:val="none" w:sz="0" w:space="0" w:color="auto"/>
            <w:bottom w:val="none" w:sz="0" w:space="0" w:color="auto"/>
            <w:right w:val="none" w:sz="0" w:space="0" w:color="auto"/>
          </w:divBdr>
        </w:div>
        <w:div w:id="2024703347">
          <w:marLeft w:val="0"/>
          <w:marRight w:val="0"/>
          <w:marTop w:val="0"/>
          <w:marBottom w:val="0"/>
          <w:divBdr>
            <w:top w:val="none" w:sz="0" w:space="0" w:color="auto"/>
            <w:left w:val="none" w:sz="0" w:space="0" w:color="auto"/>
            <w:bottom w:val="none" w:sz="0" w:space="0" w:color="auto"/>
            <w:right w:val="none" w:sz="0" w:space="0" w:color="auto"/>
          </w:divBdr>
        </w:div>
        <w:div w:id="2024703348">
          <w:marLeft w:val="0"/>
          <w:marRight w:val="0"/>
          <w:marTop w:val="0"/>
          <w:marBottom w:val="0"/>
          <w:divBdr>
            <w:top w:val="none" w:sz="0" w:space="0" w:color="auto"/>
            <w:left w:val="none" w:sz="0" w:space="0" w:color="auto"/>
            <w:bottom w:val="none" w:sz="0" w:space="0" w:color="auto"/>
            <w:right w:val="none" w:sz="0" w:space="0" w:color="auto"/>
          </w:divBdr>
        </w:div>
        <w:div w:id="2024703349">
          <w:marLeft w:val="0"/>
          <w:marRight w:val="0"/>
          <w:marTop w:val="0"/>
          <w:marBottom w:val="0"/>
          <w:divBdr>
            <w:top w:val="none" w:sz="0" w:space="0" w:color="auto"/>
            <w:left w:val="none" w:sz="0" w:space="0" w:color="auto"/>
            <w:bottom w:val="none" w:sz="0" w:space="0" w:color="auto"/>
            <w:right w:val="none" w:sz="0" w:space="0" w:color="auto"/>
          </w:divBdr>
        </w:div>
        <w:div w:id="2024703350">
          <w:marLeft w:val="0"/>
          <w:marRight w:val="0"/>
          <w:marTop w:val="0"/>
          <w:marBottom w:val="0"/>
          <w:divBdr>
            <w:top w:val="none" w:sz="0" w:space="0" w:color="auto"/>
            <w:left w:val="none" w:sz="0" w:space="0" w:color="auto"/>
            <w:bottom w:val="none" w:sz="0" w:space="0" w:color="auto"/>
            <w:right w:val="none" w:sz="0" w:space="0" w:color="auto"/>
          </w:divBdr>
        </w:div>
        <w:div w:id="2024703351">
          <w:marLeft w:val="0"/>
          <w:marRight w:val="0"/>
          <w:marTop w:val="0"/>
          <w:marBottom w:val="0"/>
          <w:divBdr>
            <w:top w:val="none" w:sz="0" w:space="0" w:color="auto"/>
            <w:left w:val="none" w:sz="0" w:space="0" w:color="auto"/>
            <w:bottom w:val="none" w:sz="0" w:space="0" w:color="auto"/>
            <w:right w:val="none" w:sz="0" w:space="0" w:color="auto"/>
          </w:divBdr>
        </w:div>
        <w:div w:id="2024703352">
          <w:marLeft w:val="0"/>
          <w:marRight w:val="0"/>
          <w:marTop w:val="0"/>
          <w:marBottom w:val="0"/>
          <w:divBdr>
            <w:top w:val="none" w:sz="0" w:space="0" w:color="auto"/>
            <w:left w:val="none" w:sz="0" w:space="0" w:color="auto"/>
            <w:bottom w:val="none" w:sz="0" w:space="0" w:color="auto"/>
            <w:right w:val="none" w:sz="0" w:space="0" w:color="auto"/>
          </w:divBdr>
        </w:div>
        <w:div w:id="2024703353">
          <w:marLeft w:val="0"/>
          <w:marRight w:val="0"/>
          <w:marTop w:val="0"/>
          <w:marBottom w:val="0"/>
          <w:divBdr>
            <w:top w:val="none" w:sz="0" w:space="0" w:color="auto"/>
            <w:left w:val="none" w:sz="0" w:space="0" w:color="auto"/>
            <w:bottom w:val="none" w:sz="0" w:space="0" w:color="auto"/>
            <w:right w:val="none" w:sz="0" w:space="0" w:color="auto"/>
          </w:divBdr>
        </w:div>
        <w:div w:id="2024703354">
          <w:marLeft w:val="0"/>
          <w:marRight w:val="0"/>
          <w:marTop w:val="0"/>
          <w:marBottom w:val="0"/>
          <w:divBdr>
            <w:top w:val="none" w:sz="0" w:space="0" w:color="auto"/>
            <w:left w:val="none" w:sz="0" w:space="0" w:color="auto"/>
            <w:bottom w:val="none" w:sz="0" w:space="0" w:color="auto"/>
            <w:right w:val="none" w:sz="0" w:space="0" w:color="auto"/>
          </w:divBdr>
        </w:div>
        <w:div w:id="2024703355">
          <w:marLeft w:val="0"/>
          <w:marRight w:val="0"/>
          <w:marTop w:val="0"/>
          <w:marBottom w:val="0"/>
          <w:divBdr>
            <w:top w:val="none" w:sz="0" w:space="0" w:color="auto"/>
            <w:left w:val="none" w:sz="0" w:space="0" w:color="auto"/>
            <w:bottom w:val="none" w:sz="0" w:space="0" w:color="auto"/>
            <w:right w:val="none" w:sz="0" w:space="0" w:color="auto"/>
          </w:divBdr>
        </w:div>
        <w:div w:id="2024703356">
          <w:marLeft w:val="0"/>
          <w:marRight w:val="0"/>
          <w:marTop w:val="0"/>
          <w:marBottom w:val="0"/>
          <w:divBdr>
            <w:top w:val="none" w:sz="0" w:space="0" w:color="auto"/>
            <w:left w:val="none" w:sz="0" w:space="0" w:color="auto"/>
            <w:bottom w:val="none" w:sz="0" w:space="0" w:color="auto"/>
            <w:right w:val="none" w:sz="0" w:space="0" w:color="auto"/>
          </w:divBdr>
        </w:div>
        <w:div w:id="2024703357">
          <w:marLeft w:val="0"/>
          <w:marRight w:val="0"/>
          <w:marTop w:val="0"/>
          <w:marBottom w:val="0"/>
          <w:divBdr>
            <w:top w:val="none" w:sz="0" w:space="0" w:color="auto"/>
            <w:left w:val="none" w:sz="0" w:space="0" w:color="auto"/>
            <w:bottom w:val="none" w:sz="0" w:space="0" w:color="auto"/>
            <w:right w:val="none" w:sz="0" w:space="0" w:color="auto"/>
          </w:divBdr>
        </w:div>
        <w:div w:id="2024703358">
          <w:marLeft w:val="0"/>
          <w:marRight w:val="0"/>
          <w:marTop w:val="0"/>
          <w:marBottom w:val="0"/>
          <w:divBdr>
            <w:top w:val="none" w:sz="0" w:space="0" w:color="auto"/>
            <w:left w:val="none" w:sz="0" w:space="0" w:color="auto"/>
            <w:bottom w:val="none" w:sz="0" w:space="0" w:color="auto"/>
            <w:right w:val="none" w:sz="0" w:space="0" w:color="auto"/>
          </w:divBdr>
        </w:div>
        <w:div w:id="2024703359">
          <w:marLeft w:val="0"/>
          <w:marRight w:val="0"/>
          <w:marTop w:val="0"/>
          <w:marBottom w:val="0"/>
          <w:divBdr>
            <w:top w:val="none" w:sz="0" w:space="0" w:color="auto"/>
            <w:left w:val="none" w:sz="0" w:space="0" w:color="auto"/>
            <w:bottom w:val="none" w:sz="0" w:space="0" w:color="auto"/>
            <w:right w:val="none" w:sz="0" w:space="0" w:color="auto"/>
          </w:divBdr>
        </w:div>
        <w:div w:id="2024703360">
          <w:marLeft w:val="0"/>
          <w:marRight w:val="0"/>
          <w:marTop w:val="0"/>
          <w:marBottom w:val="0"/>
          <w:divBdr>
            <w:top w:val="none" w:sz="0" w:space="0" w:color="auto"/>
            <w:left w:val="none" w:sz="0" w:space="0" w:color="auto"/>
            <w:bottom w:val="none" w:sz="0" w:space="0" w:color="auto"/>
            <w:right w:val="none" w:sz="0" w:space="0" w:color="auto"/>
          </w:divBdr>
        </w:div>
        <w:div w:id="2024703362">
          <w:marLeft w:val="0"/>
          <w:marRight w:val="0"/>
          <w:marTop w:val="0"/>
          <w:marBottom w:val="0"/>
          <w:divBdr>
            <w:top w:val="none" w:sz="0" w:space="0" w:color="auto"/>
            <w:left w:val="none" w:sz="0" w:space="0" w:color="auto"/>
            <w:bottom w:val="none" w:sz="0" w:space="0" w:color="auto"/>
            <w:right w:val="none" w:sz="0" w:space="0" w:color="auto"/>
          </w:divBdr>
        </w:div>
        <w:div w:id="2024703363">
          <w:marLeft w:val="0"/>
          <w:marRight w:val="0"/>
          <w:marTop w:val="0"/>
          <w:marBottom w:val="0"/>
          <w:divBdr>
            <w:top w:val="none" w:sz="0" w:space="0" w:color="auto"/>
            <w:left w:val="none" w:sz="0" w:space="0" w:color="auto"/>
            <w:bottom w:val="none" w:sz="0" w:space="0" w:color="auto"/>
            <w:right w:val="none" w:sz="0" w:space="0" w:color="auto"/>
          </w:divBdr>
        </w:div>
        <w:div w:id="2024703364">
          <w:marLeft w:val="0"/>
          <w:marRight w:val="0"/>
          <w:marTop w:val="0"/>
          <w:marBottom w:val="0"/>
          <w:divBdr>
            <w:top w:val="none" w:sz="0" w:space="0" w:color="auto"/>
            <w:left w:val="none" w:sz="0" w:space="0" w:color="auto"/>
            <w:bottom w:val="none" w:sz="0" w:space="0" w:color="auto"/>
            <w:right w:val="none" w:sz="0" w:space="0" w:color="auto"/>
          </w:divBdr>
        </w:div>
        <w:div w:id="2024703365">
          <w:marLeft w:val="0"/>
          <w:marRight w:val="0"/>
          <w:marTop w:val="0"/>
          <w:marBottom w:val="0"/>
          <w:divBdr>
            <w:top w:val="none" w:sz="0" w:space="0" w:color="auto"/>
            <w:left w:val="none" w:sz="0" w:space="0" w:color="auto"/>
            <w:bottom w:val="none" w:sz="0" w:space="0" w:color="auto"/>
            <w:right w:val="none" w:sz="0" w:space="0" w:color="auto"/>
          </w:divBdr>
        </w:div>
        <w:div w:id="2024703366">
          <w:marLeft w:val="0"/>
          <w:marRight w:val="0"/>
          <w:marTop w:val="0"/>
          <w:marBottom w:val="0"/>
          <w:divBdr>
            <w:top w:val="none" w:sz="0" w:space="0" w:color="auto"/>
            <w:left w:val="none" w:sz="0" w:space="0" w:color="auto"/>
            <w:bottom w:val="none" w:sz="0" w:space="0" w:color="auto"/>
            <w:right w:val="none" w:sz="0" w:space="0" w:color="auto"/>
          </w:divBdr>
        </w:div>
        <w:div w:id="2024703367">
          <w:marLeft w:val="0"/>
          <w:marRight w:val="0"/>
          <w:marTop w:val="0"/>
          <w:marBottom w:val="0"/>
          <w:divBdr>
            <w:top w:val="none" w:sz="0" w:space="0" w:color="auto"/>
            <w:left w:val="none" w:sz="0" w:space="0" w:color="auto"/>
            <w:bottom w:val="none" w:sz="0" w:space="0" w:color="auto"/>
            <w:right w:val="none" w:sz="0" w:space="0" w:color="auto"/>
          </w:divBdr>
        </w:div>
        <w:div w:id="2024703368">
          <w:marLeft w:val="0"/>
          <w:marRight w:val="0"/>
          <w:marTop w:val="0"/>
          <w:marBottom w:val="0"/>
          <w:divBdr>
            <w:top w:val="none" w:sz="0" w:space="0" w:color="auto"/>
            <w:left w:val="none" w:sz="0" w:space="0" w:color="auto"/>
            <w:bottom w:val="none" w:sz="0" w:space="0" w:color="auto"/>
            <w:right w:val="none" w:sz="0" w:space="0" w:color="auto"/>
          </w:divBdr>
        </w:div>
        <w:div w:id="2024703369">
          <w:marLeft w:val="0"/>
          <w:marRight w:val="0"/>
          <w:marTop w:val="0"/>
          <w:marBottom w:val="0"/>
          <w:divBdr>
            <w:top w:val="none" w:sz="0" w:space="0" w:color="auto"/>
            <w:left w:val="none" w:sz="0" w:space="0" w:color="auto"/>
            <w:bottom w:val="none" w:sz="0" w:space="0" w:color="auto"/>
            <w:right w:val="none" w:sz="0" w:space="0" w:color="auto"/>
          </w:divBdr>
        </w:div>
        <w:div w:id="2024703370">
          <w:marLeft w:val="0"/>
          <w:marRight w:val="0"/>
          <w:marTop w:val="0"/>
          <w:marBottom w:val="0"/>
          <w:divBdr>
            <w:top w:val="none" w:sz="0" w:space="0" w:color="auto"/>
            <w:left w:val="none" w:sz="0" w:space="0" w:color="auto"/>
            <w:bottom w:val="none" w:sz="0" w:space="0" w:color="auto"/>
            <w:right w:val="none" w:sz="0" w:space="0" w:color="auto"/>
          </w:divBdr>
        </w:div>
        <w:div w:id="2024703371">
          <w:marLeft w:val="0"/>
          <w:marRight w:val="0"/>
          <w:marTop w:val="0"/>
          <w:marBottom w:val="0"/>
          <w:divBdr>
            <w:top w:val="none" w:sz="0" w:space="0" w:color="auto"/>
            <w:left w:val="none" w:sz="0" w:space="0" w:color="auto"/>
            <w:bottom w:val="none" w:sz="0" w:space="0" w:color="auto"/>
            <w:right w:val="none" w:sz="0" w:space="0" w:color="auto"/>
          </w:divBdr>
        </w:div>
        <w:div w:id="2024703372">
          <w:marLeft w:val="0"/>
          <w:marRight w:val="0"/>
          <w:marTop w:val="0"/>
          <w:marBottom w:val="0"/>
          <w:divBdr>
            <w:top w:val="none" w:sz="0" w:space="0" w:color="auto"/>
            <w:left w:val="none" w:sz="0" w:space="0" w:color="auto"/>
            <w:bottom w:val="none" w:sz="0" w:space="0" w:color="auto"/>
            <w:right w:val="none" w:sz="0" w:space="0" w:color="auto"/>
          </w:divBdr>
        </w:div>
        <w:div w:id="2024703373">
          <w:marLeft w:val="0"/>
          <w:marRight w:val="0"/>
          <w:marTop w:val="0"/>
          <w:marBottom w:val="0"/>
          <w:divBdr>
            <w:top w:val="none" w:sz="0" w:space="0" w:color="auto"/>
            <w:left w:val="none" w:sz="0" w:space="0" w:color="auto"/>
            <w:bottom w:val="none" w:sz="0" w:space="0" w:color="auto"/>
            <w:right w:val="none" w:sz="0" w:space="0" w:color="auto"/>
          </w:divBdr>
        </w:div>
        <w:div w:id="2024703374">
          <w:marLeft w:val="0"/>
          <w:marRight w:val="0"/>
          <w:marTop w:val="0"/>
          <w:marBottom w:val="0"/>
          <w:divBdr>
            <w:top w:val="none" w:sz="0" w:space="0" w:color="auto"/>
            <w:left w:val="none" w:sz="0" w:space="0" w:color="auto"/>
            <w:bottom w:val="none" w:sz="0" w:space="0" w:color="auto"/>
            <w:right w:val="none" w:sz="0" w:space="0" w:color="auto"/>
          </w:divBdr>
        </w:div>
        <w:div w:id="2024703375">
          <w:marLeft w:val="0"/>
          <w:marRight w:val="0"/>
          <w:marTop w:val="0"/>
          <w:marBottom w:val="0"/>
          <w:divBdr>
            <w:top w:val="none" w:sz="0" w:space="0" w:color="auto"/>
            <w:left w:val="none" w:sz="0" w:space="0" w:color="auto"/>
            <w:bottom w:val="none" w:sz="0" w:space="0" w:color="auto"/>
            <w:right w:val="none" w:sz="0" w:space="0" w:color="auto"/>
          </w:divBdr>
        </w:div>
        <w:div w:id="2024703376">
          <w:marLeft w:val="0"/>
          <w:marRight w:val="0"/>
          <w:marTop w:val="0"/>
          <w:marBottom w:val="0"/>
          <w:divBdr>
            <w:top w:val="none" w:sz="0" w:space="0" w:color="auto"/>
            <w:left w:val="none" w:sz="0" w:space="0" w:color="auto"/>
            <w:bottom w:val="none" w:sz="0" w:space="0" w:color="auto"/>
            <w:right w:val="none" w:sz="0" w:space="0" w:color="auto"/>
          </w:divBdr>
        </w:div>
        <w:div w:id="2024703377">
          <w:marLeft w:val="0"/>
          <w:marRight w:val="0"/>
          <w:marTop w:val="0"/>
          <w:marBottom w:val="0"/>
          <w:divBdr>
            <w:top w:val="none" w:sz="0" w:space="0" w:color="auto"/>
            <w:left w:val="none" w:sz="0" w:space="0" w:color="auto"/>
            <w:bottom w:val="none" w:sz="0" w:space="0" w:color="auto"/>
            <w:right w:val="none" w:sz="0" w:space="0" w:color="auto"/>
          </w:divBdr>
        </w:div>
        <w:div w:id="2024703378">
          <w:marLeft w:val="0"/>
          <w:marRight w:val="0"/>
          <w:marTop w:val="0"/>
          <w:marBottom w:val="0"/>
          <w:divBdr>
            <w:top w:val="none" w:sz="0" w:space="0" w:color="auto"/>
            <w:left w:val="none" w:sz="0" w:space="0" w:color="auto"/>
            <w:bottom w:val="none" w:sz="0" w:space="0" w:color="auto"/>
            <w:right w:val="none" w:sz="0" w:space="0" w:color="auto"/>
          </w:divBdr>
        </w:div>
        <w:div w:id="2024703379">
          <w:marLeft w:val="0"/>
          <w:marRight w:val="0"/>
          <w:marTop w:val="0"/>
          <w:marBottom w:val="0"/>
          <w:divBdr>
            <w:top w:val="none" w:sz="0" w:space="0" w:color="auto"/>
            <w:left w:val="none" w:sz="0" w:space="0" w:color="auto"/>
            <w:bottom w:val="none" w:sz="0" w:space="0" w:color="auto"/>
            <w:right w:val="none" w:sz="0" w:space="0" w:color="auto"/>
          </w:divBdr>
        </w:div>
        <w:div w:id="2024703380">
          <w:marLeft w:val="0"/>
          <w:marRight w:val="0"/>
          <w:marTop w:val="0"/>
          <w:marBottom w:val="0"/>
          <w:divBdr>
            <w:top w:val="none" w:sz="0" w:space="0" w:color="auto"/>
            <w:left w:val="none" w:sz="0" w:space="0" w:color="auto"/>
            <w:bottom w:val="none" w:sz="0" w:space="0" w:color="auto"/>
            <w:right w:val="none" w:sz="0" w:space="0" w:color="auto"/>
          </w:divBdr>
        </w:div>
        <w:div w:id="2024703381">
          <w:marLeft w:val="0"/>
          <w:marRight w:val="0"/>
          <w:marTop w:val="0"/>
          <w:marBottom w:val="0"/>
          <w:divBdr>
            <w:top w:val="none" w:sz="0" w:space="0" w:color="auto"/>
            <w:left w:val="none" w:sz="0" w:space="0" w:color="auto"/>
            <w:bottom w:val="none" w:sz="0" w:space="0" w:color="auto"/>
            <w:right w:val="none" w:sz="0" w:space="0" w:color="auto"/>
          </w:divBdr>
        </w:div>
        <w:div w:id="2024703382">
          <w:marLeft w:val="0"/>
          <w:marRight w:val="0"/>
          <w:marTop w:val="0"/>
          <w:marBottom w:val="0"/>
          <w:divBdr>
            <w:top w:val="none" w:sz="0" w:space="0" w:color="auto"/>
            <w:left w:val="none" w:sz="0" w:space="0" w:color="auto"/>
            <w:bottom w:val="none" w:sz="0" w:space="0" w:color="auto"/>
            <w:right w:val="none" w:sz="0" w:space="0" w:color="auto"/>
          </w:divBdr>
        </w:div>
        <w:div w:id="2024703383">
          <w:marLeft w:val="0"/>
          <w:marRight w:val="0"/>
          <w:marTop w:val="0"/>
          <w:marBottom w:val="0"/>
          <w:divBdr>
            <w:top w:val="none" w:sz="0" w:space="0" w:color="auto"/>
            <w:left w:val="none" w:sz="0" w:space="0" w:color="auto"/>
            <w:bottom w:val="none" w:sz="0" w:space="0" w:color="auto"/>
            <w:right w:val="none" w:sz="0" w:space="0" w:color="auto"/>
          </w:divBdr>
        </w:div>
        <w:div w:id="2024703384">
          <w:marLeft w:val="0"/>
          <w:marRight w:val="0"/>
          <w:marTop w:val="0"/>
          <w:marBottom w:val="0"/>
          <w:divBdr>
            <w:top w:val="none" w:sz="0" w:space="0" w:color="auto"/>
            <w:left w:val="none" w:sz="0" w:space="0" w:color="auto"/>
            <w:bottom w:val="none" w:sz="0" w:space="0" w:color="auto"/>
            <w:right w:val="none" w:sz="0" w:space="0" w:color="auto"/>
          </w:divBdr>
        </w:div>
        <w:div w:id="2024703385">
          <w:marLeft w:val="0"/>
          <w:marRight w:val="0"/>
          <w:marTop w:val="0"/>
          <w:marBottom w:val="0"/>
          <w:divBdr>
            <w:top w:val="none" w:sz="0" w:space="0" w:color="auto"/>
            <w:left w:val="none" w:sz="0" w:space="0" w:color="auto"/>
            <w:bottom w:val="none" w:sz="0" w:space="0" w:color="auto"/>
            <w:right w:val="none" w:sz="0" w:space="0" w:color="auto"/>
          </w:divBdr>
        </w:div>
        <w:div w:id="2024703386">
          <w:marLeft w:val="0"/>
          <w:marRight w:val="0"/>
          <w:marTop w:val="0"/>
          <w:marBottom w:val="0"/>
          <w:divBdr>
            <w:top w:val="none" w:sz="0" w:space="0" w:color="auto"/>
            <w:left w:val="none" w:sz="0" w:space="0" w:color="auto"/>
            <w:bottom w:val="none" w:sz="0" w:space="0" w:color="auto"/>
            <w:right w:val="none" w:sz="0" w:space="0" w:color="auto"/>
          </w:divBdr>
        </w:div>
        <w:div w:id="2024703387">
          <w:marLeft w:val="0"/>
          <w:marRight w:val="0"/>
          <w:marTop w:val="0"/>
          <w:marBottom w:val="0"/>
          <w:divBdr>
            <w:top w:val="none" w:sz="0" w:space="0" w:color="auto"/>
            <w:left w:val="none" w:sz="0" w:space="0" w:color="auto"/>
            <w:bottom w:val="none" w:sz="0" w:space="0" w:color="auto"/>
            <w:right w:val="none" w:sz="0" w:space="0" w:color="auto"/>
          </w:divBdr>
        </w:div>
        <w:div w:id="2024703388">
          <w:marLeft w:val="0"/>
          <w:marRight w:val="0"/>
          <w:marTop w:val="0"/>
          <w:marBottom w:val="0"/>
          <w:divBdr>
            <w:top w:val="none" w:sz="0" w:space="0" w:color="auto"/>
            <w:left w:val="none" w:sz="0" w:space="0" w:color="auto"/>
            <w:bottom w:val="none" w:sz="0" w:space="0" w:color="auto"/>
            <w:right w:val="none" w:sz="0" w:space="0" w:color="auto"/>
          </w:divBdr>
        </w:div>
        <w:div w:id="2024703389">
          <w:marLeft w:val="0"/>
          <w:marRight w:val="0"/>
          <w:marTop w:val="0"/>
          <w:marBottom w:val="0"/>
          <w:divBdr>
            <w:top w:val="none" w:sz="0" w:space="0" w:color="auto"/>
            <w:left w:val="none" w:sz="0" w:space="0" w:color="auto"/>
            <w:bottom w:val="none" w:sz="0" w:space="0" w:color="auto"/>
            <w:right w:val="none" w:sz="0" w:space="0" w:color="auto"/>
          </w:divBdr>
        </w:div>
        <w:div w:id="2024703390">
          <w:marLeft w:val="0"/>
          <w:marRight w:val="0"/>
          <w:marTop w:val="0"/>
          <w:marBottom w:val="0"/>
          <w:divBdr>
            <w:top w:val="none" w:sz="0" w:space="0" w:color="auto"/>
            <w:left w:val="none" w:sz="0" w:space="0" w:color="auto"/>
            <w:bottom w:val="none" w:sz="0" w:space="0" w:color="auto"/>
            <w:right w:val="none" w:sz="0" w:space="0" w:color="auto"/>
          </w:divBdr>
        </w:div>
        <w:div w:id="2024703391">
          <w:marLeft w:val="0"/>
          <w:marRight w:val="0"/>
          <w:marTop w:val="0"/>
          <w:marBottom w:val="0"/>
          <w:divBdr>
            <w:top w:val="none" w:sz="0" w:space="0" w:color="auto"/>
            <w:left w:val="none" w:sz="0" w:space="0" w:color="auto"/>
            <w:bottom w:val="none" w:sz="0" w:space="0" w:color="auto"/>
            <w:right w:val="none" w:sz="0" w:space="0" w:color="auto"/>
          </w:divBdr>
        </w:div>
        <w:div w:id="2024703392">
          <w:marLeft w:val="0"/>
          <w:marRight w:val="0"/>
          <w:marTop w:val="0"/>
          <w:marBottom w:val="0"/>
          <w:divBdr>
            <w:top w:val="none" w:sz="0" w:space="0" w:color="auto"/>
            <w:left w:val="none" w:sz="0" w:space="0" w:color="auto"/>
            <w:bottom w:val="none" w:sz="0" w:space="0" w:color="auto"/>
            <w:right w:val="none" w:sz="0" w:space="0" w:color="auto"/>
          </w:divBdr>
        </w:div>
        <w:div w:id="2024703393">
          <w:marLeft w:val="0"/>
          <w:marRight w:val="0"/>
          <w:marTop w:val="0"/>
          <w:marBottom w:val="0"/>
          <w:divBdr>
            <w:top w:val="none" w:sz="0" w:space="0" w:color="auto"/>
            <w:left w:val="none" w:sz="0" w:space="0" w:color="auto"/>
            <w:bottom w:val="none" w:sz="0" w:space="0" w:color="auto"/>
            <w:right w:val="none" w:sz="0" w:space="0" w:color="auto"/>
          </w:divBdr>
        </w:div>
        <w:div w:id="2024703394">
          <w:marLeft w:val="0"/>
          <w:marRight w:val="0"/>
          <w:marTop w:val="0"/>
          <w:marBottom w:val="0"/>
          <w:divBdr>
            <w:top w:val="none" w:sz="0" w:space="0" w:color="auto"/>
            <w:left w:val="none" w:sz="0" w:space="0" w:color="auto"/>
            <w:bottom w:val="none" w:sz="0" w:space="0" w:color="auto"/>
            <w:right w:val="none" w:sz="0" w:space="0" w:color="auto"/>
          </w:divBdr>
        </w:div>
        <w:div w:id="2024703395">
          <w:marLeft w:val="0"/>
          <w:marRight w:val="0"/>
          <w:marTop w:val="0"/>
          <w:marBottom w:val="0"/>
          <w:divBdr>
            <w:top w:val="none" w:sz="0" w:space="0" w:color="auto"/>
            <w:left w:val="none" w:sz="0" w:space="0" w:color="auto"/>
            <w:bottom w:val="none" w:sz="0" w:space="0" w:color="auto"/>
            <w:right w:val="none" w:sz="0" w:space="0" w:color="auto"/>
          </w:divBdr>
        </w:div>
        <w:div w:id="2024703396">
          <w:marLeft w:val="0"/>
          <w:marRight w:val="0"/>
          <w:marTop w:val="0"/>
          <w:marBottom w:val="0"/>
          <w:divBdr>
            <w:top w:val="none" w:sz="0" w:space="0" w:color="auto"/>
            <w:left w:val="none" w:sz="0" w:space="0" w:color="auto"/>
            <w:bottom w:val="none" w:sz="0" w:space="0" w:color="auto"/>
            <w:right w:val="none" w:sz="0" w:space="0" w:color="auto"/>
          </w:divBdr>
        </w:div>
        <w:div w:id="2024703397">
          <w:marLeft w:val="0"/>
          <w:marRight w:val="0"/>
          <w:marTop w:val="0"/>
          <w:marBottom w:val="0"/>
          <w:divBdr>
            <w:top w:val="none" w:sz="0" w:space="0" w:color="auto"/>
            <w:left w:val="none" w:sz="0" w:space="0" w:color="auto"/>
            <w:bottom w:val="none" w:sz="0" w:space="0" w:color="auto"/>
            <w:right w:val="none" w:sz="0" w:space="0" w:color="auto"/>
          </w:divBdr>
        </w:div>
        <w:div w:id="2024703398">
          <w:marLeft w:val="0"/>
          <w:marRight w:val="0"/>
          <w:marTop w:val="0"/>
          <w:marBottom w:val="0"/>
          <w:divBdr>
            <w:top w:val="none" w:sz="0" w:space="0" w:color="auto"/>
            <w:left w:val="none" w:sz="0" w:space="0" w:color="auto"/>
            <w:bottom w:val="none" w:sz="0" w:space="0" w:color="auto"/>
            <w:right w:val="none" w:sz="0" w:space="0" w:color="auto"/>
          </w:divBdr>
        </w:div>
        <w:div w:id="2024703399">
          <w:marLeft w:val="0"/>
          <w:marRight w:val="0"/>
          <w:marTop w:val="0"/>
          <w:marBottom w:val="0"/>
          <w:divBdr>
            <w:top w:val="none" w:sz="0" w:space="0" w:color="auto"/>
            <w:left w:val="none" w:sz="0" w:space="0" w:color="auto"/>
            <w:bottom w:val="none" w:sz="0" w:space="0" w:color="auto"/>
            <w:right w:val="none" w:sz="0" w:space="0" w:color="auto"/>
          </w:divBdr>
        </w:div>
        <w:div w:id="2024703400">
          <w:marLeft w:val="0"/>
          <w:marRight w:val="0"/>
          <w:marTop w:val="0"/>
          <w:marBottom w:val="0"/>
          <w:divBdr>
            <w:top w:val="none" w:sz="0" w:space="0" w:color="auto"/>
            <w:left w:val="none" w:sz="0" w:space="0" w:color="auto"/>
            <w:bottom w:val="none" w:sz="0" w:space="0" w:color="auto"/>
            <w:right w:val="none" w:sz="0" w:space="0" w:color="auto"/>
          </w:divBdr>
        </w:div>
        <w:div w:id="2024703401">
          <w:marLeft w:val="0"/>
          <w:marRight w:val="0"/>
          <w:marTop w:val="0"/>
          <w:marBottom w:val="0"/>
          <w:divBdr>
            <w:top w:val="none" w:sz="0" w:space="0" w:color="auto"/>
            <w:left w:val="none" w:sz="0" w:space="0" w:color="auto"/>
            <w:bottom w:val="none" w:sz="0" w:space="0" w:color="auto"/>
            <w:right w:val="none" w:sz="0" w:space="0" w:color="auto"/>
          </w:divBdr>
        </w:div>
        <w:div w:id="2024703402">
          <w:marLeft w:val="0"/>
          <w:marRight w:val="0"/>
          <w:marTop w:val="0"/>
          <w:marBottom w:val="0"/>
          <w:divBdr>
            <w:top w:val="none" w:sz="0" w:space="0" w:color="auto"/>
            <w:left w:val="none" w:sz="0" w:space="0" w:color="auto"/>
            <w:bottom w:val="none" w:sz="0" w:space="0" w:color="auto"/>
            <w:right w:val="none" w:sz="0" w:space="0" w:color="auto"/>
          </w:divBdr>
        </w:div>
        <w:div w:id="2024703403">
          <w:marLeft w:val="0"/>
          <w:marRight w:val="0"/>
          <w:marTop w:val="0"/>
          <w:marBottom w:val="0"/>
          <w:divBdr>
            <w:top w:val="none" w:sz="0" w:space="0" w:color="auto"/>
            <w:left w:val="none" w:sz="0" w:space="0" w:color="auto"/>
            <w:bottom w:val="none" w:sz="0" w:space="0" w:color="auto"/>
            <w:right w:val="none" w:sz="0" w:space="0" w:color="auto"/>
          </w:divBdr>
        </w:div>
        <w:div w:id="2024703404">
          <w:marLeft w:val="0"/>
          <w:marRight w:val="0"/>
          <w:marTop w:val="0"/>
          <w:marBottom w:val="0"/>
          <w:divBdr>
            <w:top w:val="none" w:sz="0" w:space="0" w:color="auto"/>
            <w:left w:val="none" w:sz="0" w:space="0" w:color="auto"/>
            <w:bottom w:val="none" w:sz="0" w:space="0" w:color="auto"/>
            <w:right w:val="none" w:sz="0" w:space="0" w:color="auto"/>
          </w:divBdr>
        </w:div>
        <w:div w:id="2024703405">
          <w:marLeft w:val="0"/>
          <w:marRight w:val="0"/>
          <w:marTop w:val="0"/>
          <w:marBottom w:val="0"/>
          <w:divBdr>
            <w:top w:val="none" w:sz="0" w:space="0" w:color="auto"/>
            <w:left w:val="none" w:sz="0" w:space="0" w:color="auto"/>
            <w:bottom w:val="none" w:sz="0" w:space="0" w:color="auto"/>
            <w:right w:val="none" w:sz="0" w:space="0" w:color="auto"/>
          </w:divBdr>
        </w:div>
        <w:div w:id="2024703406">
          <w:marLeft w:val="0"/>
          <w:marRight w:val="0"/>
          <w:marTop w:val="0"/>
          <w:marBottom w:val="0"/>
          <w:divBdr>
            <w:top w:val="none" w:sz="0" w:space="0" w:color="auto"/>
            <w:left w:val="none" w:sz="0" w:space="0" w:color="auto"/>
            <w:bottom w:val="none" w:sz="0" w:space="0" w:color="auto"/>
            <w:right w:val="none" w:sz="0" w:space="0" w:color="auto"/>
          </w:divBdr>
        </w:div>
        <w:div w:id="2024703407">
          <w:marLeft w:val="0"/>
          <w:marRight w:val="0"/>
          <w:marTop w:val="0"/>
          <w:marBottom w:val="0"/>
          <w:divBdr>
            <w:top w:val="none" w:sz="0" w:space="0" w:color="auto"/>
            <w:left w:val="none" w:sz="0" w:space="0" w:color="auto"/>
            <w:bottom w:val="none" w:sz="0" w:space="0" w:color="auto"/>
            <w:right w:val="none" w:sz="0" w:space="0" w:color="auto"/>
          </w:divBdr>
        </w:div>
        <w:div w:id="2024703408">
          <w:marLeft w:val="0"/>
          <w:marRight w:val="0"/>
          <w:marTop w:val="0"/>
          <w:marBottom w:val="0"/>
          <w:divBdr>
            <w:top w:val="none" w:sz="0" w:space="0" w:color="auto"/>
            <w:left w:val="none" w:sz="0" w:space="0" w:color="auto"/>
            <w:bottom w:val="none" w:sz="0" w:space="0" w:color="auto"/>
            <w:right w:val="none" w:sz="0" w:space="0" w:color="auto"/>
          </w:divBdr>
        </w:div>
        <w:div w:id="2024703409">
          <w:marLeft w:val="0"/>
          <w:marRight w:val="0"/>
          <w:marTop w:val="0"/>
          <w:marBottom w:val="0"/>
          <w:divBdr>
            <w:top w:val="none" w:sz="0" w:space="0" w:color="auto"/>
            <w:left w:val="none" w:sz="0" w:space="0" w:color="auto"/>
            <w:bottom w:val="none" w:sz="0" w:space="0" w:color="auto"/>
            <w:right w:val="none" w:sz="0" w:space="0" w:color="auto"/>
          </w:divBdr>
        </w:div>
        <w:div w:id="2024703410">
          <w:marLeft w:val="0"/>
          <w:marRight w:val="0"/>
          <w:marTop w:val="0"/>
          <w:marBottom w:val="0"/>
          <w:divBdr>
            <w:top w:val="none" w:sz="0" w:space="0" w:color="auto"/>
            <w:left w:val="none" w:sz="0" w:space="0" w:color="auto"/>
            <w:bottom w:val="none" w:sz="0" w:space="0" w:color="auto"/>
            <w:right w:val="none" w:sz="0" w:space="0" w:color="auto"/>
          </w:divBdr>
        </w:div>
        <w:div w:id="2024703411">
          <w:marLeft w:val="0"/>
          <w:marRight w:val="0"/>
          <w:marTop w:val="0"/>
          <w:marBottom w:val="0"/>
          <w:divBdr>
            <w:top w:val="none" w:sz="0" w:space="0" w:color="auto"/>
            <w:left w:val="none" w:sz="0" w:space="0" w:color="auto"/>
            <w:bottom w:val="none" w:sz="0" w:space="0" w:color="auto"/>
            <w:right w:val="none" w:sz="0" w:space="0" w:color="auto"/>
          </w:divBdr>
        </w:div>
        <w:div w:id="2024703412">
          <w:marLeft w:val="0"/>
          <w:marRight w:val="0"/>
          <w:marTop w:val="0"/>
          <w:marBottom w:val="0"/>
          <w:divBdr>
            <w:top w:val="none" w:sz="0" w:space="0" w:color="auto"/>
            <w:left w:val="none" w:sz="0" w:space="0" w:color="auto"/>
            <w:bottom w:val="none" w:sz="0" w:space="0" w:color="auto"/>
            <w:right w:val="none" w:sz="0" w:space="0" w:color="auto"/>
          </w:divBdr>
        </w:div>
        <w:div w:id="2024703413">
          <w:marLeft w:val="0"/>
          <w:marRight w:val="0"/>
          <w:marTop w:val="0"/>
          <w:marBottom w:val="0"/>
          <w:divBdr>
            <w:top w:val="none" w:sz="0" w:space="0" w:color="auto"/>
            <w:left w:val="none" w:sz="0" w:space="0" w:color="auto"/>
            <w:bottom w:val="none" w:sz="0" w:space="0" w:color="auto"/>
            <w:right w:val="none" w:sz="0" w:space="0" w:color="auto"/>
          </w:divBdr>
        </w:div>
        <w:div w:id="2024703414">
          <w:marLeft w:val="0"/>
          <w:marRight w:val="0"/>
          <w:marTop w:val="0"/>
          <w:marBottom w:val="0"/>
          <w:divBdr>
            <w:top w:val="none" w:sz="0" w:space="0" w:color="auto"/>
            <w:left w:val="none" w:sz="0" w:space="0" w:color="auto"/>
            <w:bottom w:val="none" w:sz="0" w:space="0" w:color="auto"/>
            <w:right w:val="none" w:sz="0" w:space="0" w:color="auto"/>
          </w:divBdr>
        </w:div>
        <w:div w:id="2024703415">
          <w:marLeft w:val="0"/>
          <w:marRight w:val="0"/>
          <w:marTop w:val="0"/>
          <w:marBottom w:val="0"/>
          <w:divBdr>
            <w:top w:val="none" w:sz="0" w:space="0" w:color="auto"/>
            <w:left w:val="none" w:sz="0" w:space="0" w:color="auto"/>
            <w:bottom w:val="none" w:sz="0" w:space="0" w:color="auto"/>
            <w:right w:val="none" w:sz="0" w:space="0" w:color="auto"/>
          </w:divBdr>
        </w:div>
        <w:div w:id="2024703416">
          <w:marLeft w:val="0"/>
          <w:marRight w:val="0"/>
          <w:marTop w:val="0"/>
          <w:marBottom w:val="0"/>
          <w:divBdr>
            <w:top w:val="none" w:sz="0" w:space="0" w:color="auto"/>
            <w:left w:val="none" w:sz="0" w:space="0" w:color="auto"/>
            <w:bottom w:val="none" w:sz="0" w:space="0" w:color="auto"/>
            <w:right w:val="none" w:sz="0" w:space="0" w:color="auto"/>
          </w:divBdr>
        </w:div>
        <w:div w:id="2024703417">
          <w:marLeft w:val="0"/>
          <w:marRight w:val="0"/>
          <w:marTop w:val="0"/>
          <w:marBottom w:val="0"/>
          <w:divBdr>
            <w:top w:val="none" w:sz="0" w:space="0" w:color="auto"/>
            <w:left w:val="none" w:sz="0" w:space="0" w:color="auto"/>
            <w:bottom w:val="none" w:sz="0" w:space="0" w:color="auto"/>
            <w:right w:val="none" w:sz="0" w:space="0" w:color="auto"/>
          </w:divBdr>
        </w:div>
        <w:div w:id="2024703418">
          <w:marLeft w:val="0"/>
          <w:marRight w:val="0"/>
          <w:marTop w:val="0"/>
          <w:marBottom w:val="0"/>
          <w:divBdr>
            <w:top w:val="none" w:sz="0" w:space="0" w:color="auto"/>
            <w:left w:val="none" w:sz="0" w:space="0" w:color="auto"/>
            <w:bottom w:val="none" w:sz="0" w:space="0" w:color="auto"/>
            <w:right w:val="none" w:sz="0" w:space="0" w:color="auto"/>
          </w:divBdr>
        </w:div>
        <w:div w:id="2024703419">
          <w:marLeft w:val="0"/>
          <w:marRight w:val="0"/>
          <w:marTop w:val="0"/>
          <w:marBottom w:val="0"/>
          <w:divBdr>
            <w:top w:val="none" w:sz="0" w:space="0" w:color="auto"/>
            <w:left w:val="none" w:sz="0" w:space="0" w:color="auto"/>
            <w:bottom w:val="none" w:sz="0" w:space="0" w:color="auto"/>
            <w:right w:val="none" w:sz="0" w:space="0" w:color="auto"/>
          </w:divBdr>
        </w:div>
        <w:div w:id="2024703420">
          <w:marLeft w:val="0"/>
          <w:marRight w:val="0"/>
          <w:marTop w:val="0"/>
          <w:marBottom w:val="0"/>
          <w:divBdr>
            <w:top w:val="none" w:sz="0" w:space="0" w:color="auto"/>
            <w:left w:val="none" w:sz="0" w:space="0" w:color="auto"/>
            <w:bottom w:val="none" w:sz="0" w:space="0" w:color="auto"/>
            <w:right w:val="none" w:sz="0" w:space="0" w:color="auto"/>
          </w:divBdr>
        </w:div>
        <w:div w:id="2024703421">
          <w:marLeft w:val="0"/>
          <w:marRight w:val="0"/>
          <w:marTop w:val="0"/>
          <w:marBottom w:val="0"/>
          <w:divBdr>
            <w:top w:val="none" w:sz="0" w:space="0" w:color="auto"/>
            <w:left w:val="none" w:sz="0" w:space="0" w:color="auto"/>
            <w:bottom w:val="none" w:sz="0" w:space="0" w:color="auto"/>
            <w:right w:val="none" w:sz="0" w:space="0" w:color="auto"/>
          </w:divBdr>
        </w:div>
        <w:div w:id="2024703422">
          <w:marLeft w:val="0"/>
          <w:marRight w:val="0"/>
          <w:marTop w:val="0"/>
          <w:marBottom w:val="0"/>
          <w:divBdr>
            <w:top w:val="none" w:sz="0" w:space="0" w:color="auto"/>
            <w:left w:val="none" w:sz="0" w:space="0" w:color="auto"/>
            <w:bottom w:val="none" w:sz="0" w:space="0" w:color="auto"/>
            <w:right w:val="none" w:sz="0" w:space="0" w:color="auto"/>
          </w:divBdr>
        </w:div>
        <w:div w:id="2024703424">
          <w:marLeft w:val="0"/>
          <w:marRight w:val="0"/>
          <w:marTop w:val="0"/>
          <w:marBottom w:val="0"/>
          <w:divBdr>
            <w:top w:val="none" w:sz="0" w:space="0" w:color="auto"/>
            <w:left w:val="none" w:sz="0" w:space="0" w:color="auto"/>
            <w:bottom w:val="none" w:sz="0" w:space="0" w:color="auto"/>
            <w:right w:val="none" w:sz="0" w:space="0" w:color="auto"/>
          </w:divBdr>
        </w:div>
        <w:div w:id="2024703425">
          <w:marLeft w:val="0"/>
          <w:marRight w:val="0"/>
          <w:marTop w:val="0"/>
          <w:marBottom w:val="0"/>
          <w:divBdr>
            <w:top w:val="none" w:sz="0" w:space="0" w:color="auto"/>
            <w:left w:val="none" w:sz="0" w:space="0" w:color="auto"/>
            <w:bottom w:val="none" w:sz="0" w:space="0" w:color="auto"/>
            <w:right w:val="none" w:sz="0" w:space="0" w:color="auto"/>
          </w:divBdr>
        </w:div>
        <w:div w:id="2024703426">
          <w:marLeft w:val="0"/>
          <w:marRight w:val="0"/>
          <w:marTop w:val="0"/>
          <w:marBottom w:val="0"/>
          <w:divBdr>
            <w:top w:val="none" w:sz="0" w:space="0" w:color="auto"/>
            <w:left w:val="none" w:sz="0" w:space="0" w:color="auto"/>
            <w:bottom w:val="none" w:sz="0" w:space="0" w:color="auto"/>
            <w:right w:val="none" w:sz="0" w:space="0" w:color="auto"/>
          </w:divBdr>
        </w:div>
        <w:div w:id="2024703427">
          <w:marLeft w:val="0"/>
          <w:marRight w:val="0"/>
          <w:marTop w:val="0"/>
          <w:marBottom w:val="0"/>
          <w:divBdr>
            <w:top w:val="none" w:sz="0" w:space="0" w:color="auto"/>
            <w:left w:val="none" w:sz="0" w:space="0" w:color="auto"/>
            <w:bottom w:val="none" w:sz="0" w:space="0" w:color="auto"/>
            <w:right w:val="none" w:sz="0" w:space="0" w:color="auto"/>
          </w:divBdr>
        </w:div>
        <w:div w:id="2024703428">
          <w:marLeft w:val="0"/>
          <w:marRight w:val="0"/>
          <w:marTop w:val="0"/>
          <w:marBottom w:val="0"/>
          <w:divBdr>
            <w:top w:val="none" w:sz="0" w:space="0" w:color="auto"/>
            <w:left w:val="none" w:sz="0" w:space="0" w:color="auto"/>
            <w:bottom w:val="none" w:sz="0" w:space="0" w:color="auto"/>
            <w:right w:val="none" w:sz="0" w:space="0" w:color="auto"/>
          </w:divBdr>
        </w:div>
        <w:div w:id="2024703429">
          <w:marLeft w:val="0"/>
          <w:marRight w:val="0"/>
          <w:marTop w:val="0"/>
          <w:marBottom w:val="0"/>
          <w:divBdr>
            <w:top w:val="none" w:sz="0" w:space="0" w:color="auto"/>
            <w:left w:val="none" w:sz="0" w:space="0" w:color="auto"/>
            <w:bottom w:val="none" w:sz="0" w:space="0" w:color="auto"/>
            <w:right w:val="none" w:sz="0" w:space="0" w:color="auto"/>
          </w:divBdr>
        </w:div>
        <w:div w:id="2024703430">
          <w:marLeft w:val="0"/>
          <w:marRight w:val="0"/>
          <w:marTop w:val="0"/>
          <w:marBottom w:val="0"/>
          <w:divBdr>
            <w:top w:val="none" w:sz="0" w:space="0" w:color="auto"/>
            <w:left w:val="none" w:sz="0" w:space="0" w:color="auto"/>
            <w:bottom w:val="none" w:sz="0" w:space="0" w:color="auto"/>
            <w:right w:val="none" w:sz="0" w:space="0" w:color="auto"/>
          </w:divBdr>
        </w:div>
        <w:div w:id="2024703431">
          <w:marLeft w:val="0"/>
          <w:marRight w:val="0"/>
          <w:marTop w:val="0"/>
          <w:marBottom w:val="0"/>
          <w:divBdr>
            <w:top w:val="none" w:sz="0" w:space="0" w:color="auto"/>
            <w:left w:val="none" w:sz="0" w:space="0" w:color="auto"/>
            <w:bottom w:val="none" w:sz="0" w:space="0" w:color="auto"/>
            <w:right w:val="none" w:sz="0" w:space="0" w:color="auto"/>
          </w:divBdr>
        </w:div>
        <w:div w:id="2024703432">
          <w:marLeft w:val="0"/>
          <w:marRight w:val="0"/>
          <w:marTop w:val="0"/>
          <w:marBottom w:val="0"/>
          <w:divBdr>
            <w:top w:val="none" w:sz="0" w:space="0" w:color="auto"/>
            <w:left w:val="none" w:sz="0" w:space="0" w:color="auto"/>
            <w:bottom w:val="none" w:sz="0" w:space="0" w:color="auto"/>
            <w:right w:val="none" w:sz="0" w:space="0" w:color="auto"/>
          </w:divBdr>
        </w:div>
        <w:div w:id="2024703434">
          <w:marLeft w:val="0"/>
          <w:marRight w:val="0"/>
          <w:marTop w:val="0"/>
          <w:marBottom w:val="0"/>
          <w:divBdr>
            <w:top w:val="none" w:sz="0" w:space="0" w:color="auto"/>
            <w:left w:val="none" w:sz="0" w:space="0" w:color="auto"/>
            <w:bottom w:val="none" w:sz="0" w:space="0" w:color="auto"/>
            <w:right w:val="none" w:sz="0" w:space="0" w:color="auto"/>
          </w:divBdr>
        </w:div>
        <w:div w:id="2024703435">
          <w:marLeft w:val="0"/>
          <w:marRight w:val="0"/>
          <w:marTop w:val="0"/>
          <w:marBottom w:val="0"/>
          <w:divBdr>
            <w:top w:val="none" w:sz="0" w:space="0" w:color="auto"/>
            <w:left w:val="none" w:sz="0" w:space="0" w:color="auto"/>
            <w:bottom w:val="none" w:sz="0" w:space="0" w:color="auto"/>
            <w:right w:val="none" w:sz="0" w:space="0" w:color="auto"/>
          </w:divBdr>
        </w:div>
        <w:div w:id="2024703436">
          <w:marLeft w:val="0"/>
          <w:marRight w:val="0"/>
          <w:marTop w:val="0"/>
          <w:marBottom w:val="0"/>
          <w:divBdr>
            <w:top w:val="none" w:sz="0" w:space="0" w:color="auto"/>
            <w:left w:val="none" w:sz="0" w:space="0" w:color="auto"/>
            <w:bottom w:val="none" w:sz="0" w:space="0" w:color="auto"/>
            <w:right w:val="none" w:sz="0" w:space="0" w:color="auto"/>
          </w:divBdr>
        </w:div>
        <w:div w:id="2024703438">
          <w:marLeft w:val="0"/>
          <w:marRight w:val="0"/>
          <w:marTop w:val="0"/>
          <w:marBottom w:val="0"/>
          <w:divBdr>
            <w:top w:val="none" w:sz="0" w:space="0" w:color="auto"/>
            <w:left w:val="none" w:sz="0" w:space="0" w:color="auto"/>
            <w:bottom w:val="none" w:sz="0" w:space="0" w:color="auto"/>
            <w:right w:val="none" w:sz="0" w:space="0" w:color="auto"/>
          </w:divBdr>
        </w:div>
        <w:div w:id="2024703439">
          <w:marLeft w:val="0"/>
          <w:marRight w:val="0"/>
          <w:marTop w:val="0"/>
          <w:marBottom w:val="0"/>
          <w:divBdr>
            <w:top w:val="none" w:sz="0" w:space="0" w:color="auto"/>
            <w:left w:val="none" w:sz="0" w:space="0" w:color="auto"/>
            <w:bottom w:val="none" w:sz="0" w:space="0" w:color="auto"/>
            <w:right w:val="none" w:sz="0" w:space="0" w:color="auto"/>
          </w:divBdr>
        </w:div>
        <w:div w:id="2024703440">
          <w:marLeft w:val="0"/>
          <w:marRight w:val="0"/>
          <w:marTop w:val="0"/>
          <w:marBottom w:val="0"/>
          <w:divBdr>
            <w:top w:val="none" w:sz="0" w:space="0" w:color="auto"/>
            <w:left w:val="none" w:sz="0" w:space="0" w:color="auto"/>
            <w:bottom w:val="none" w:sz="0" w:space="0" w:color="auto"/>
            <w:right w:val="none" w:sz="0" w:space="0" w:color="auto"/>
          </w:divBdr>
        </w:div>
        <w:div w:id="2024703442">
          <w:marLeft w:val="0"/>
          <w:marRight w:val="0"/>
          <w:marTop w:val="0"/>
          <w:marBottom w:val="0"/>
          <w:divBdr>
            <w:top w:val="none" w:sz="0" w:space="0" w:color="auto"/>
            <w:left w:val="none" w:sz="0" w:space="0" w:color="auto"/>
            <w:bottom w:val="none" w:sz="0" w:space="0" w:color="auto"/>
            <w:right w:val="none" w:sz="0" w:space="0" w:color="auto"/>
          </w:divBdr>
        </w:div>
        <w:div w:id="2024703443">
          <w:marLeft w:val="0"/>
          <w:marRight w:val="0"/>
          <w:marTop w:val="0"/>
          <w:marBottom w:val="0"/>
          <w:divBdr>
            <w:top w:val="none" w:sz="0" w:space="0" w:color="auto"/>
            <w:left w:val="none" w:sz="0" w:space="0" w:color="auto"/>
            <w:bottom w:val="none" w:sz="0" w:space="0" w:color="auto"/>
            <w:right w:val="none" w:sz="0" w:space="0" w:color="auto"/>
          </w:divBdr>
        </w:div>
        <w:div w:id="2024703444">
          <w:marLeft w:val="0"/>
          <w:marRight w:val="0"/>
          <w:marTop w:val="0"/>
          <w:marBottom w:val="0"/>
          <w:divBdr>
            <w:top w:val="none" w:sz="0" w:space="0" w:color="auto"/>
            <w:left w:val="none" w:sz="0" w:space="0" w:color="auto"/>
            <w:bottom w:val="none" w:sz="0" w:space="0" w:color="auto"/>
            <w:right w:val="none" w:sz="0" w:space="0" w:color="auto"/>
          </w:divBdr>
        </w:div>
        <w:div w:id="2024703445">
          <w:marLeft w:val="0"/>
          <w:marRight w:val="0"/>
          <w:marTop w:val="0"/>
          <w:marBottom w:val="0"/>
          <w:divBdr>
            <w:top w:val="none" w:sz="0" w:space="0" w:color="auto"/>
            <w:left w:val="none" w:sz="0" w:space="0" w:color="auto"/>
            <w:bottom w:val="none" w:sz="0" w:space="0" w:color="auto"/>
            <w:right w:val="none" w:sz="0" w:space="0" w:color="auto"/>
          </w:divBdr>
        </w:div>
        <w:div w:id="2024703446">
          <w:marLeft w:val="0"/>
          <w:marRight w:val="0"/>
          <w:marTop w:val="0"/>
          <w:marBottom w:val="0"/>
          <w:divBdr>
            <w:top w:val="none" w:sz="0" w:space="0" w:color="auto"/>
            <w:left w:val="none" w:sz="0" w:space="0" w:color="auto"/>
            <w:bottom w:val="none" w:sz="0" w:space="0" w:color="auto"/>
            <w:right w:val="none" w:sz="0" w:space="0" w:color="auto"/>
          </w:divBdr>
        </w:div>
        <w:div w:id="2024703447">
          <w:marLeft w:val="0"/>
          <w:marRight w:val="0"/>
          <w:marTop w:val="0"/>
          <w:marBottom w:val="0"/>
          <w:divBdr>
            <w:top w:val="none" w:sz="0" w:space="0" w:color="auto"/>
            <w:left w:val="none" w:sz="0" w:space="0" w:color="auto"/>
            <w:bottom w:val="none" w:sz="0" w:space="0" w:color="auto"/>
            <w:right w:val="none" w:sz="0" w:space="0" w:color="auto"/>
          </w:divBdr>
        </w:div>
        <w:div w:id="2024703448">
          <w:marLeft w:val="0"/>
          <w:marRight w:val="0"/>
          <w:marTop w:val="0"/>
          <w:marBottom w:val="0"/>
          <w:divBdr>
            <w:top w:val="none" w:sz="0" w:space="0" w:color="auto"/>
            <w:left w:val="none" w:sz="0" w:space="0" w:color="auto"/>
            <w:bottom w:val="none" w:sz="0" w:space="0" w:color="auto"/>
            <w:right w:val="none" w:sz="0" w:space="0" w:color="auto"/>
          </w:divBdr>
        </w:div>
        <w:div w:id="2024703449">
          <w:marLeft w:val="0"/>
          <w:marRight w:val="0"/>
          <w:marTop w:val="0"/>
          <w:marBottom w:val="0"/>
          <w:divBdr>
            <w:top w:val="none" w:sz="0" w:space="0" w:color="auto"/>
            <w:left w:val="none" w:sz="0" w:space="0" w:color="auto"/>
            <w:bottom w:val="none" w:sz="0" w:space="0" w:color="auto"/>
            <w:right w:val="none" w:sz="0" w:space="0" w:color="auto"/>
          </w:divBdr>
        </w:div>
        <w:div w:id="2024703450">
          <w:marLeft w:val="0"/>
          <w:marRight w:val="0"/>
          <w:marTop w:val="0"/>
          <w:marBottom w:val="0"/>
          <w:divBdr>
            <w:top w:val="none" w:sz="0" w:space="0" w:color="auto"/>
            <w:left w:val="none" w:sz="0" w:space="0" w:color="auto"/>
            <w:bottom w:val="none" w:sz="0" w:space="0" w:color="auto"/>
            <w:right w:val="none" w:sz="0" w:space="0" w:color="auto"/>
          </w:divBdr>
        </w:div>
        <w:div w:id="2024703451">
          <w:marLeft w:val="0"/>
          <w:marRight w:val="0"/>
          <w:marTop w:val="0"/>
          <w:marBottom w:val="0"/>
          <w:divBdr>
            <w:top w:val="none" w:sz="0" w:space="0" w:color="auto"/>
            <w:left w:val="none" w:sz="0" w:space="0" w:color="auto"/>
            <w:bottom w:val="none" w:sz="0" w:space="0" w:color="auto"/>
            <w:right w:val="none" w:sz="0" w:space="0" w:color="auto"/>
          </w:divBdr>
        </w:div>
        <w:div w:id="2024703452">
          <w:marLeft w:val="0"/>
          <w:marRight w:val="0"/>
          <w:marTop w:val="0"/>
          <w:marBottom w:val="0"/>
          <w:divBdr>
            <w:top w:val="none" w:sz="0" w:space="0" w:color="auto"/>
            <w:left w:val="none" w:sz="0" w:space="0" w:color="auto"/>
            <w:bottom w:val="none" w:sz="0" w:space="0" w:color="auto"/>
            <w:right w:val="none" w:sz="0" w:space="0" w:color="auto"/>
          </w:divBdr>
        </w:div>
        <w:div w:id="2024703453">
          <w:marLeft w:val="0"/>
          <w:marRight w:val="0"/>
          <w:marTop w:val="0"/>
          <w:marBottom w:val="0"/>
          <w:divBdr>
            <w:top w:val="none" w:sz="0" w:space="0" w:color="auto"/>
            <w:left w:val="none" w:sz="0" w:space="0" w:color="auto"/>
            <w:bottom w:val="none" w:sz="0" w:space="0" w:color="auto"/>
            <w:right w:val="none" w:sz="0" w:space="0" w:color="auto"/>
          </w:divBdr>
        </w:div>
        <w:div w:id="2024703454">
          <w:marLeft w:val="0"/>
          <w:marRight w:val="0"/>
          <w:marTop w:val="0"/>
          <w:marBottom w:val="0"/>
          <w:divBdr>
            <w:top w:val="none" w:sz="0" w:space="0" w:color="auto"/>
            <w:left w:val="none" w:sz="0" w:space="0" w:color="auto"/>
            <w:bottom w:val="none" w:sz="0" w:space="0" w:color="auto"/>
            <w:right w:val="none" w:sz="0" w:space="0" w:color="auto"/>
          </w:divBdr>
        </w:div>
        <w:div w:id="2024703455">
          <w:marLeft w:val="0"/>
          <w:marRight w:val="0"/>
          <w:marTop w:val="0"/>
          <w:marBottom w:val="0"/>
          <w:divBdr>
            <w:top w:val="none" w:sz="0" w:space="0" w:color="auto"/>
            <w:left w:val="none" w:sz="0" w:space="0" w:color="auto"/>
            <w:bottom w:val="none" w:sz="0" w:space="0" w:color="auto"/>
            <w:right w:val="none" w:sz="0" w:space="0" w:color="auto"/>
          </w:divBdr>
        </w:div>
        <w:div w:id="2024703456">
          <w:marLeft w:val="0"/>
          <w:marRight w:val="0"/>
          <w:marTop w:val="0"/>
          <w:marBottom w:val="0"/>
          <w:divBdr>
            <w:top w:val="none" w:sz="0" w:space="0" w:color="auto"/>
            <w:left w:val="none" w:sz="0" w:space="0" w:color="auto"/>
            <w:bottom w:val="none" w:sz="0" w:space="0" w:color="auto"/>
            <w:right w:val="none" w:sz="0" w:space="0" w:color="auto"/>
          </w:divBdr>
        </w:div>
        <w:div w:id="2024703457">
          <w:marLeft w:val="0"/>
          <w:marRight w:val="0"/>
          <w:marTop w:val="0"/>
          <w:marBottom w:val="0"/>
          <w:divBdr>
            <w:top w:val="none" w:sz="0" w:space="0" w:color="auto"/>
            <w:left w:val="none" w:sz="0" w:space="0" w:color="auto"/>
            <w:bottom w:val="none" w:sz="0" w:space="0" w:color="auto"/>
            <w:right w:val="none" w:sz="0" w:space="0" w:color="auto"/>
          </w:divBdr>
        </w:div>
        <w:div w:id="2024703458">
          <w:marLeft w:val="0"/>
          <w:marRight w:val="0"/>
          <w:marTop w:val="0"/>
          <w:marBottom w:val="0"/>
          <w:divBdr>
            <w:top w:val="none" w:sz="0" w:space="0" w:color="auto"/>
            <w:left w:val="none" w:sz="0" w:space="0" w:color="auto"/>
            <w:bottom w:val="none" w:sz="0" w:space="0" w:color="auto"/>
            <w:right w:val="none" w:sz="0" w:space="0" w:color="auto"/>
          </w:divBdr>
        </w:div>
        <w:div w:id="2024703459">
          <w:marLeft w:val="0"/>
          <w:marRight w:val="0"/>
          <w:marTop w:val="0"/>
          <w:marBottom w:val="0"/>
          <w:divBdr>
            <w:top w:val="none" w:sz="0" w:space="0" w:color="auto"/>
            <w:left w:val="none" w:sz="0" w:space="0" w:color="auto"/>
            <w:bottom w:val="none" w:sz="0" w:space="0" w:color="auto"/>
            <w:right w:val="none" w:sz="0" w:space="0" w:color="auto"/>
          </w:divBdr>
        </w:div>
        <w:div w:id="2024703460">
          <w:marLeft w:val="0"/>
          <w:marRight w:val="0"/>
          <w:marTop w:val="0"/>
          <w:marBottom w:val="0"/>
          <w:divBdr>
            <w:top w:val="none" w:sz="0" w:space="0" w:color="auto"/>
            <w:left w:val="none" w:sz="0" w:space="0" w:color="auto"/>
            <w:bottom w:val="none" w:sz="0" w:space="0" w:color="auto"/>
            <w:right w:val="none" w:sz="0" w:space="0" w:color="auto"/>
          </w:divBdr>
        </w:div>
        <w:div w:id="2024703461">
          <w:marLeft w:val="0"/>
          <w:marRight w:val="0"/>
          <w:marTop w:val="0"/>
          <w:marBottom w:val="0"/>
          <w:divBdr>
            <w:top w:val="none" w:sz="0" w:space="0" w:color="auto"/>
            <w:left w:val="none" w:sz="0" w:space="0" w:color="auto"/>
            <w:bottom w:val="none" w:sz="0" w:space="0" w:color="auto"/>
            <w:right w:val="none" w:sz="0" w:space="0" w:color="auto"/>
          </w:divBdr>
        </w:div>
        <w:div w:id="2024703462">
          <w:marLeft w:val="0"/>
          <w:marRight w:val="0"/>
          <w:marTop w:val="0"/>
          <w:marBottom w:val="0"/>
          <w:divBdr>
            <w:top w:val="none" w:sz="0" w:space="0" w:color="auto"/>
            <w:left w:val="none" w:sz="0" w:space="0" w:color="auto"/>
            <w:bottom w:val="none" w:sz="0" w:space="0" w:color="auto"/>
            <w:right w:val="none" w:sz="0" w:space="0" w:color="auto"/>
          </w:divBdr>
        </w:div>
        <w:div w:id="2024703464">
          <w:marLeft w:val="0"/>
          <w:marRight w:val="0"/>
          <w:marTop w:val="0"/>
          <w:marBottom w:val="0"/>
          <w:divBdr>
            <w:top w:val="none" w:sz="0" w:space="0" w:color="auto"/>
            <w:left w:val="none" w:sz="0" w:space="0" w:color="auto"/>
            <w:bottom w:val="none" w:sz="0" w:space="0" w:color="auto"/>
            <w:right w:val="none" w:sz="0" w:space="0" w:color="auto"/>
          </w:divBdr>
        </w:div>
        <w:div w:id="2024703465">
          <w:marLeft w:val="0"/>
          <w:marRight w:val="0"/>
          <w:marTop w:val="0"/>
          <w:marBottom w:val="0"/>
          <w:divBdr>
            <w:top w:val="none" w:sz="0" w:space="0" w:color="auto"/>
            <w:left w:val="none" w:sz="0" w:space="0" w:color="auto"/>
            <w:bottom w:val="none" w:sz="0" w:space="0" w:color="auto"/>
            <w:right w:val="none" w:sz="0" w:space="0" w:color="auto"/>
          </w:divBdr>
        </w:div>
        <w:div w:id="2024703466">
          <w:marLeft w:val="0"/>
          <w:marRight w:val="0"/>
          <w:marTop w:val="0"/>
          <w:marBottom w:val="0"/>
          <w:divBdr>
            <w:top w:val="none" w:sz="0" w:space="0" w:color="auto"/>
            <w:left w:val="none" w:sz="0" w:space="0" w:color="auto"/>
            <w:bottom w:val="none" w:sz="0" w:space="0" w:color="auto"/>
            <w:right w:val="none" w:sz="0" w:space="0" w:color="auto"/>
          </w:divBdr>
        </w:div>
        <w:div w:id="2024703467">
          <w:marLeft w:val="0"/>
          <w:marRight w:val="0"/>
          <w:marTop w:val="0"/>
          <w:marBottom w:val="0"/>
          <w:divBdr>
            <w:top w:val="none" w:sz="0" w:space="0" w:color="auto"/>
            <w:left w:val="none" w:sz="0" w:space="0" w:color="auto"/>
            <w:bottom w:val="none" w:sz="0" w:space="0" w:color="auto"/>
            <w:right w:val="none" w:sz="0" w:space="0" w:color="auto"/>
          </w:divBdr>
        </w:div>
        <w:div w:id="2024703468">
          <w:marLeft w:val="0"/>
          <w:marRight w:val="0"/>
          <w:marTop w:val="0"/>
          <w:marBottom w:val="0"/>
          <w:divBdr>
            <w:top w:val="none" w:sz="0" w:space="0" w:color="auto"/>
            <w:left w:val="none" w:sz="0" w:space="0" w:color="auto"/>
            <w:bottom w:val="none" w:sz="0" w:space="0" w:color="auto"/>
            <w:right w:val="none" w:sz="0" w:space="0" w:color="auto"/>
          </w:divBdr>
        </w:div>
        <w:div w:id="2024703469">
          <w:marLeft w:val="0"/>
          <w:marRight w:val="0"/>
          <w:marTop w:val="0"/>
          <w:marBottom w:val="0"/>
          <w:divBdr>
            <w:top w:val="none" w:sz="0" w:space="0" w:color="auto"/>
            <w:left w:val="none" w:sz="0" w:space="0" w:color="auto"/>
            <w:bottom w:val="none" w:sz="0" w:space="0" w:color="auto"/>
            <w:right w:val="none" w:sz="0" w:space="0" w:color="auto"/>
          </w:divBdr>
        </w:div>
        <w:div w:id="2024703470">
          <w:marLeft w:val="0"/>
          <w:marRight w:val="0"/>
          <w:marTop w:val="0"/>
          <w:marBottom w:val="0"/>
          <w:divBdr>
            <w:top w:val="none" w:sz="0" w:space="0" w:color="auto"/>
            <w:left w:val="none" w:sz="0" w:space="0" w:color="auto"/>
            <w:bottom w:val="none" w:sz="0" w:space="0" w:color="auto"/>
            <w:right w:val="none" w:sz="0" w:space="0" w:color="auto"/>
          </w:divBdr>
        </w:div>
        <w:div w:id="2024703471">
          <w:marLeft w:val="0"/>
          <w:marRight w:val="0"/>
          <w:marTop w:val="0"/>
          <w:marBottom w:val="0"/>
          <w:divBdr>
            <w:top w:val="none" w:sz="0" w:space="0" w:color="auto"/>
            <w:left w:val="none" w:sz="0" w:space="0" w:color="auto"/>
            <w:bottom w:val="none" w:sz="0" w:space="0" w:color="auto"/>
            <w:right w:val="none" w:sz="0" w:space="0" w:color="auto"/>
          </w:divBdr>
        </w:div>
        <w:div w:id="2024703472">
          <w:marLeft w:val="0"/>
          <w:marRight w:val="0"/>
          <w:marTop w:val="0"/>
          <w:marBottom w:val="0"/>
          <w:divBdr>
            <w:top w:val="none" w:sz="0" w:space="0" w:color="auto"/>
            <w:left w:val="none" w:sz="0" w:space="0" w:color="auto"/>
            <w:bottom w:val="none" w:sz="0" w:space="0" w:color="auto"/>
            <w:right w:val="none" w:sz="0" w:space="0" w:color="auto"/>
          </w:divBdr>
        </w:div>
        <w:div w:id="2024703473">
          <w:marLeft w:val="0"/>
          <w:marRight w:val="0"/>
          <w:marTop w:val="0"/>
          <w:marBottom w:val="0"/>
          <w:divBdr>
            <w:top w:val="none" w:sz="0" w:space="0" w:color="auto"/>
            <w:left w:val="none" w:sz="0" w:space="0" w:color="auto"/>
            <w:bottom w:val="none" w:sz="0" w:space="0" w:color="auto"/>
            <w:right w:val="none" w:sz="0" w:space="0" w:color="auto"/>
          </w:divBdr>
        </w:div>
        <w:div w:id="2024703474">
          <w:marLeft w:val="0"/>
          <w:marRight w:val="0"/>
          <w:marTop w:val="0"/>
          <w:marBottom w:val="0"/>
          <w:divBdr>
            <w:top w:val="none" w:sz="0" w:space="0" w:color="auto"/>
            <w:left w:val="none" w:sz="0" w:space="0" w:color="auto"/>
            <w:bottom w:val="none" w:sz="0" w:space="0" w:color="auto"/>
            <w:right w:val="none" w:sz="0" w:space="0" w:color="auto"/>
          </w:divBdr>
        </w:div>
        <w:div w:id="2024703475">
          <w:marLeft w:val="0"/>
          <w:marRight w:val="0"/>
          <w:marTop w:val="0"/>
          <w:marBottom w:val="0"/>
          <w:divBdr>
            <w:top w:val="none" w:sz="0" w:space="0" w:color="auto"/>
            <w:left w:val="none" w:sz="0" w:space="0" w:color="auto"/>
            <w:bottom w:val="none" w:sz="0" w:space="0" w:color="auto"/>
            <w:right w:val="none" w:sz="0" w:space="0" w:color="auto"/>
          </w:divBdr>
        </w:div>
        <w:div w:id="2024703476">
          <w:marLeft w:val="0"/>
          <w:marRight w:val="0"/>
          <w:marTop w:val="0"/>
          <w:marBottom w:val="0"/>
          <w:divBdr>
            <w:top w:val="none" w:sz="0" w:space="0" w:color="auto"/>
            <w:left w:val="none" w:sz="0" w:space="0" w:color="auto"/>
            <w:bottom w:val="none" w:sz="0" w:space="0" w:color="auto"/>
            <w:right w:val="none" w:sz="0" w:space="0" w:color="auto"/>
          </w:divBdr>
        </w:div>
        <w:div w:id="2024703477">
          <w:marLeft w:val="0"/>
          <w:marRight w:val="0"/>
          <w:marTop w:val="0"/>
          <w:marBottom w:val="0"/>
          <w:divBdr>
            <w:top w:val="none" w:sz="0" w:space="0" w:color="auto"/>
            <w:left w:val="none" w:sz="0" w:space="0" w:color="auto"/>
            <w:bottom w:val="none" w:sz="0" w:space="0" w:color="auto"/>
            <w:right w:val="none" w:sz="0" w:space="0" w:color="auto"/>
          </w:divBdr>
        </w:div>
        <w:div w:id="2024703478">
          <w:marLeft w:val="0"/>
          <w:marRight w:val="0"/>
          <w:marTop w:val="0"/>
          <w:marBottom w:val="0"/>
          <w:divBdr>
            <w:top w:val="none" w:sz="0" w:space="0" w:color="auto"/>
            <w:left w:val="none" w:sz="0" w:space="0" w:color="auto"/>
            <w:bottom w:val="none" w:sz="0" w:space="0" w:color="auto"/>
            <w:right w:val="none" w:sz="0" w:space="0" w:color="auto"/>
          </w:divBdr>
        </w:div>
        <w:div w:id="2024703479">
          <w:marLeft w:val="0"/>
          <w:marRight w:val="0"/>
          <w:marTop w:val="0"/>
          <w:marBottom w:val="0"/>
          <w:divBdr>
            <w:top w:val="none" w:sz="0" w:space="0" w:color="auto"/>
            <w:left w:val="none" w:sz="0" w:space="0" w:color="auto"/>
            <w:bottom w:val="none" w:sz="0" w:space="0" w:color="auto"/>
            <w:right w:val="none" w:sz="0" w:space="0" w:color="auto"/>
          </w:divBdr>
        </w:div>
        <w:div w:id="2024703480">
          <w:marLeft w:val="0"/>
          <w:marRight w:val="0"/>
          <w:marTop w:val="0"/>
          <w:marBottom w:val="0"/>
          <w:divBdr>
            <w:top w:val="none" w:sz="0" w:space="0" w:color="auto"/>
            <w:left w:val="none" w:sz="0" w:space="0" w:color="auto"/>
            <w:bottom w:val="none" w:sz="0" w:space="0" w:color="auto"/>
            <w:right w:val="none" w:sz="0" w:space="0" w:color="auto"/>
          </w:divBdr>
        </w:div>
        <w:div w:id="2024703481">
          <w:marLeft w:val="0"/>
          <w:marRight w:val="0"/>
          <w:marTop w:val="0"/>
          <w:marBottom w:val="0"/>
          <w:divBdr>
            <w:top w:val="none" w:sz="0" w:space="0" w:color="auto"/>
            <w:left w:val="none" w:sz="0" w:space="0" w:color="auto"/>
            <w:bottom w:val="none" w:sz="0" w:space="0" w:color="auto"/>
            <w:right w:val="none" w:sz="0" w:space="0" w:color="auto"/>
          </w:divBdr>
        </w:div>
        <w:div w:id="2024703482">
          <w:marLeft w:val="0"/>
          <w:marRight w:val="0"/>
          <w:marTop w:val="0"/>
          <w:marBottom w:val="0"/>
          <w:divBdr>
            <w:top w:val="none" w:sz="0" w:space="0" w:color="auto"/>
            <w:left w:val="none" w:sz="0" w:space="0" w:color="auto"/>
            <w:bottom w:val="none" w:sz="0" w:space="0" w:color="auto"/>
            <w:right w:val="none" w:sz="0" w:space="0" w:color="auto"/>
          </w:divBdr>
        </w:div>
        <w:div w:id="2024703483">
          <w:marLeft w:val="0"/>
          <w:marRight w:val="0"/>
          <w:marTop w:val="0"/>
          <w:marBottom w:val="0"/>
          <w:divBdr>
            <w:top w:val="none" w:sz="0" w:space="0" w:color="auto"/>
            <w:left w:val="none" w:sz="0" w:space="0" w:color="auto"/>
            <w:bottom w:val="none" w:sz="0" w:space="0" w:color="auto"/>
            <w:right w:val="none" w:sz="0" w:space="0" w:color="auto"/>
          </w:divBdr>
        </w:div>
        <w:div w:id="2024703484">
          <w:marLeft w:val="0"/>
          <w:marRight w:val="0"/>
          <w:marTop w:val="0"/>
          <w:marBottom w:val="0"/>
          <w:divBdr>
            <w:top w:val="none" w:sz="0" w:space="0" w:color="auto"/>
            <w:left w:val="none" w:sz="0" w:space="0" w:color="auto"/>
            <w:bottom w:val="none" w:sz="0" w:space="0" w:color="auto"/>
            <w:right w:val="none" w:sz="0" w:space="0" w:color="auto"/>
          </w:divBdr>
        </w:div>
        <w:div w:id="2024703485">
          <w:marLeft w:val="0"/>
          <w:marRight w:val="0"/>
          <w:marTop w:val="0"/>
          <w:marBottom w:val="0"/>
          <w:divBdr>
            <w:top w:val="none" w:sz="0" w:space="0" w:color="auto"/>
            <w:left w:val="none" w:sz="0" w:space="0" w:color="auto"/>
            <w:bottom w:val="none" w:sz="0" w:space="0" w:color="auto"/>
            <w:right w:val="none" w:sz="0" w:space="0" w:color="auto"/>
          </w:divBdr>
        </w:div>
        <w:div w:id="2024703486">
          <w:marLeft w:val="0"/>
          <w:marRight w:val="0"/>
          <w:marTop w:val="0"/>
          <w:marBottom w:val="0"/>
          <w:divBdr>
            <w:top w:val="none" w:sz="0" w:space="0" w:color="auto"/>
            <w:left w:val="none" w:sz="0" w:space="0" w:color="auto"/>
            <w:bottom w:val="none" w:sz="0" w:space="0" w:color="auto"/>
            <w:right w:val="none" w:sz="0" w:space="0" w:color="auto"/>
          </w:divBdr>
        </w:div>
        <w:div w:id="2024703487">
          <w:marLeft w:val="0"/>
          <w:marRight w:val="0"/>
          <w:marTop w:val="0"/>
          <w:marBottom w:val="0"/>
          <w:divBdr>
            <w:top w:val="none" w:sz="0" w:space="0" w:color="auto"/>
            <w:left w:val="none" w:sz="0" w:space="0" w:color="auto"/>
            <w:bottom w:val="none" w:sz="0" w:space="0" w:color="auto"/>
            <w:right w:val="none" w:sz="0" w:space="0" w:color="auto"/>
          </w:divBdr>
        </w:div>
        <w:div w:id="2024703488">
          <w:marLeft w:val="0"/>
          <w:marRight w:val="0"/>
          <w:marTop w:val="0"/>
          <w:marBottom w:val="0"/>
          <w:divBdr>
            <w:top w:val="none" w:sz="0" w:space="0" w:color="auto"/>
            <w:left w:val="none" w:sz="0" w:space="0" w:color="auto"/>
            <w:bottom w:val="none" w:sz="0" w:space="0" w:color="auto"/>
            <w:right w:val="none" w:sz="0" w:space="0" w:color="auto"/>
          </w:divBdr>
        </w:div>
        <w:div w:id="2024703489">
          <w:marLeft w:val="0"/>
          <w:marRight w:val="0"/>
          <w:marTop w:val="0"/>
          <w:marBottom w:val="0"/>
          <w:divBdr>
            <w:top w:val="none" w:sz="0" w:space="0" w:color="auto"/>
            <w:left w:val="none" w:sz="0" w:space="0" w:color="auto"/>
            <w:bottom w:val="none" w:sz="0" w:space="0" w:color="auto"/>
            <w:right w:val="none" w:sz="0" w:space="0" w:color="auto"/>
          </w:divBdr>
        </w:div>
        <w:div w:id="2024703490">
          <w:marLeft w:val="0"/>
          <w:marRight w:val="0"/>
          <w:marTop w:val="0"/>
          <w:marBottom w:val="0"/>
          <w:divBdr>
            <w:top w:val="none" w:sz="0" w:space="0" w:color="auto"/>
            <w:left w:val="none" w:sz="0" w:space="0" w:color="auto"/>
            <w:bottom w:val="none" w:sz="0" w:space="0" w:color="auto"/>
            <w:right w:val="none" w:sz="0" w:space="0" w:color="auto"/>
          </w:divBdr>
        </w:div>
        <w:div w:id="2024703491">
          <w:marLeft w:val="0"/>
          <w:marRight w:val="0"/>
          <w:marTop w:val="0"/>
          <w:marBottom w:val="0"/>
          <w:divBdr>
            <w:top w:val="none" w:sz="0" w:space="0" w:color="auto"/>
            <w:left w:val="none" w:sz="0" w:space="0" w:color="auto"/>
            <w:bottom w:val="none" w:sz="0" w:space="0" w:color="auto"/>
            <w:right w:val="none" w:sz="0" w:space="0" w:color="auto"/>
          </w:divBdr>
        </w:div>
        <w:div w:id="2024703492">
          <w:marLeft w:val="0"/>
          <w:marRight w:val="0"/>
          <w:marTop w:val="0"/>
          <w:marBottom w:val="0"/>
          <w:divBdr>
            <w:top w:val="none" w:sz="0" w:space="0" w:color="auto"/>
            <w:left w:val="none" w:sz="0" w:space="0" w:color="auto"/>
            <w:bottom w:val="none" w:sz="0" w:space="0" w:color="auto"/>
            <w:right w:val="none" w:sz="0" w:space="0" w:color="auto"/>
          </w:divBdr>
        </w:div>
        <w:div w:id="2024703493">
          <w:marLeft w:val="0"/>
          <w:marRight w:val="0"/>
          <w:marTop w:val="0"/>
          <w:marBottom w:val="0"/>
          <w:divBdr>
            <w:top w:val="none" w:sz="0" w:space="0" w:color="auto"/>
            <w:left w:val="none" w:sz="0" w:space="0" w:color="auto"/>
            <w:bottom w:val="none" w:sz="0" w:space="0" w:color="auto"/>
            <w:right w:val="none" w:sz="0" w:space="0" w:color="auto"/>
          </w:divBdr>
        </w:div>
        <w:div w:id="2024703494">
          <w:marLeft w:val="0"/>
          <w:marRight w:val="0"/>
          <w:marTop w:val="0"/>
          <w:marBottom w:val="0"/>
          <w:divBdr>
            <w:top w:val="none" w:sz="0" w:space="0" w:color="auto"/>
            <w:left w:val="none" w:sz="0" w:space="0" w:color="auto"/>
            <w:bottom w:val="none" w:sz="0" w:space="0" w:color="auto"/>
            <w:right w:val="none" w:sz="0" w:space="0" w:color="auto"/>
          </w:divBdr>
        </w:div>
        <w:div w:id="2024703495">
          <w:marLeft w:val="0"/>
          <w:marRight w:val="0"/>
          <w:marTop w:val="0"/>
          <w:marBottom w:val="0"/>
          <w:divBdr>
            <w:top w:val="none" w:sz="0" w:space="0" w:color="auto"/>
            <w:left w:val="none" w:sz="0" w:space="0" w:color="auto"/>
            <w:bottom w:val="none" w:sz="0" w:space="0" w:color="auto"/>
            <w:right w:val="none" w:sz="0" w:space="0" w:color="auto"/>
          </w:divBdr>
        </w:div>
        <w:div w:id="2024703496">
          <w:marLeft w:val="0"/>
          <w:marRight w:val="0"/>
          <w:marTop w:val="0"/>
          <w:marBottom w:val="0"/>
          <w:divBdr>
            <w:top w:val="none" w:sz="0" w:space="0" w:color="auto"/>
            <w:left w:val="none" w:sz="0" w:space="0" w:color="auto"/>
            <w:bottom w:val="none" w:sz="0" w:space="0" w:color="auto"/>
            <w:right w:val="none" w:sz="0" w:space="0" w:color="auto"/>
          </w:divBdr>
        </w:div>
        <w:div w:id="2024703497">
          <w:marLeft w:val="0"/>
          <w:marRight w:val="0"/>
          <w:marTop w:val="0"/>
          <w:marBottom w:val="0"/>
          <w:divBdr>
            <w:top w:val="none" w:sz="0" w:space="0" w:color="auto"/>
            <w:left w:val="none" w:sz="0" w:space="0" w:color="auto"/>
            <w:bottom w:val="none" w:sz="0" w:space="0" w:color="auto"/>
            <w:right w:val="none" w:sz="0" w:space="0" w:color="auto"/>
          </w:divBdr>
        </w:div>
        <w:div w:id="2024703498">
          <w:marLeft w:val="0"/>
          <w:marRight w:val="0"/>
          <w:marTop w:val="0"/>
          <w:marBottom w:val="0"/>
          <w:divBdr>
            <w:top w:val="none" w:sz="0" w:space="0" w:color="auto"/>
            <w:left w:val="none" w:sz="0" w:space="0" w:color="auto"/>
            <w:bottom w:val="none" w:sz="0" w:space="0" w:color="auto"/>
            <w:right w:val="none" w:sz="0" w:space="0" w:color="auto"/>
          </w:divBdr>
        </w:div>
        <w:div w:id="2024703499">
          <w:marLeft w:val="0"/>
          <w:marRight w:val="0"/>
          <w:marTop w:val="0"/>
          <w:marBottom w:val="0"/>
          <w:divBdr>
            <w:top w:val="none" w:sz="0" w:space="0" w:color="auto"/>
            <w:left w:val="none" w:sz="0" w:space="0" w:color="auto"/>
            <w:bottom w:val="none" w:sz="0" w:space="0" w:color="auto"/>
            <w:right w:val="none" w:sz="0" w:space="0" w:color="auto"/>
          </w:divBdr>
        </w:div>
        <w:div w:id="2024703500">
          <w:marLeft w:val="0"/>
          <w:marRight w:val="0"/>
          <w:marTop w:val="0"/>
          <w:marBottom w:val="0"/>
          <w:divBdr>
            <w:top w:val="none" w:sz="0" w:space="0" w:color="auto"/>
            <w:left w:val="none" w:sz="0" w:space="0" w:color="auto"/>
            <w:bottom w:val="none" w:sz="0" w:space="0" w:color="auto"/>
            <w:right w:val="none" w:sz="0" w:space="0" w:color="auto"/>
          </w:divBdr>
        </w:div>
        <w:div w:id="2024703501">
          <w:marLeft w:val="0"/>
          <w:marRight w:val="0"/>
          <w:marTop w:val="0"/>
          <w:marBottom w:val="0"/>
          <w:divBdr>
            <w:top w:val="none" w:sz="0" w:space="0" w:color="auto"/>
            <w:left w:val="none" w:sz="0" w:space="0" w:color="auto"/>
            <w:bottom w:val="none" w:sz="0" w:space="0" w:color="auto"/>
            <w:right w:val="none" w:sz="0" w:space="0" w:color="auto"/>
          </w:divBdr>
        </w:div>
        <w:div w:id="2024703502">
          <w:marLeft w:val="0"/>
          <w:marRight w:val="0"/>
          <w:marTop w:val="0"/>
          <w:marBottom w:val="0"/>
          <w:divBdr>
            <w:top w:val="none" w:sz="0" w:space="0" w:color="auto"/>
            <w:left w:val="none" w:sz="0" w:space="0" w:color="auto"/>
            <w:bottom w:val="none" w:sz="0" w:space="0" w:color="auto"/>
            <w:right w:val="none" w:sz="0" w:space="0" w:color="auto"/>
          </w:divBdr>
        </w:div>
        <w:div w:id="2024703503">
          <w:marLeft w:val="0"/>
          <w:marRight w:val="0"/>
          <w:marTop w:val="0"/>
          <w:marBottom w:val="0"/>
          <w:divBdr>
            <w:top w:val="none" w:sz="0" w:space="0" w:color="auto"/>
            <w:left w:val="none" w:sz="0" w:space="0" w:color="auto"/>
            <w:bottom w:val="none" w:sz="0" w:space="0" w:color="auto"/>
            <w:right w:val="none" w:sz="0" w:space="0" w:color="auto"/>
          </w:divBdr>
        </w:div>
        <w:div w:id="2024703504">
          <w:marLeft w:val="0"/>
          <w:marRight w:val="0"/>
          <w:marTop w:val="0"/>
          <w:marBottom w:val="0"/>
          <w:divBdr>
            <w:top w:val="none" w:sz="0" w:space="0" w:color="auto"/>
            <w:left w:val="none" w:sz="0" w:space="0" w:color="auto"/>
            <w:bottom w:val="none" w:sz="0" w:space="0" w:color="auto"/>
            <w:right w:val="none" w:sz="0" w:space="0" w:color="auto"/>
          </w:divBdr>
        </w:div>
        <w:div w:id="2024703505">
          <w:marLeft w:val="0"/>
          <w:marRight w:val="0"/>
          <w:marTop w:val="0"/>
          <w:marBottom w:val="0"/>
          <w:divBdr>
            <w:top w:val="none" w:sz="0" w:space="0" w:color="auto"/>
            <w:left w:val="none" w:sz="0" w:space="0" w:color="auto"/>
            <w:bottom w:val="none" w:sz="0" w:space="0" w:color="auto"/>
            <w:right w:val="none" w:sz="0" w:space="0" w:color="auto"/>
          </w:divBdr>
        </w:div>
        <w:div w:id="2024703506">
          <w:marLeft w:val="0"/>
          <w:marRight w:val="0"/>
          <w:marTop w:val="0"/>
          <w:marBottom w:val="0"/>
          <w:divBdr>
            <w:top w:val="none" w:sz="0" w:space="0" w:color="auto"/>
            <w:left w:val="none" w:sz="0" w:space="0" w:color="auto"/>
            <w:bottom w:val="none" w:sz="0" w:space="0" w:color="auto"/>
            <w:right w:val="none" w:sz="0" w:space="0" w:color="auto"/>
          </w:divBdr>
        </w:div>
        <w:div w:id="2024703507">
          <w:marLeft w:val="0"/>
          <w:marRight w:val="0"/>
          <w:marTop w:val="0"/>
          <w:marBottom w:val="0"/>
          <w:divBdr>
            <w:top w:val="none" w:sz="0" w:space="0" w:color="auto"/>
            <w:left w:val="none" w:sz="0" w:space="0" w:color="auto"/>
            <w:bottom w:val="none" w:sz="0" w:space="0" w:color="auto"/>
            <w:right w:val="none" w:sz="0" w:space="0" w:color="auto"/>
          </w:divBdr>
        </w:div>
        <w:div w:id="2024703508">
          <w:marLeft w:val="0"/>
          <w:marRight w:val="0"/>
          <w:marTop w:val="0"/>
          <w:marBottom w:val="0"/>
          <w:divBdr>
            <w:top w:val="none" w:sz="0" w:space="0" w:color="auto"/>
            <w:left w:val="none" w:sz="0" w:space="0" w:color="auto"/>
            <w:bottom w:val="none" w:sz="0" w:space="0" w:color="auto"/>
            <w:right w:val="none" w:sz="0" w:space="0" w:color="auto"/>
          </w:divBdr>
        </w:div>
        <w:div w:id="2024703509">
          <w:marLeft w:val="0"/>
          <w:marRight w:val="0"/>
          <w:marTop w:val="0"/>
          <w:marBottom w:val="0"/>
          <w:divBdr>
            <w:top w:val="none" w:sz="0" w:space="0" w:color="auto"/>
            <w:left w:val="none" w:sz="0" w:space="0" w:color="auto"/>
            <w:bottom w:val="none" w:sz="0" w:space="0" w:color="auto"/>
            <w:right w:val="none" w:sz="0" w:space="0" w:color="auto"/>
          </w:divBdr>
        </w:div>
        <w:div w:id="2024703510">
          <w:marLeft w:val="0"/>
          <w:marRight w:val="0"/>
          <w:marTop w:val="0"/>
          <w:marBottom w:val="0"/>
          <w:divBdr>
            <w:top w:val="none" w:sz="0" w:space="0" w:color="auto"/>
            <w:left w:val="none" w:sz="0" w:space="0" w:color="auto"/>
            <w:bottom w:val="none" w:sz="0" w:space="0" w:color="auto"/>
            <w:right w:val="none" w:sz="0" w:space="0" w:color="auto"/>
          </w:divBdr>
        </w:div>
        <w:div w:id="2024703511">
          <w:marLeft w:val="0"/>
          <w:marRight w:val="0"/>
          <w:marTop w:val="0"/>
          <w:marBottom w:val="0"/>
          <w:divBdr>
            <w:top w:val="none" w:sz="0" w:space="0" w:color="auto"/>
            <w:left w:val="none" w:sz="0" w:space="0" w:color="auto"/>
            <w:bottom w:val="none" w:sz="0" w:space="0" w:color="auto"/>
            <w:right w:val="none" w:sz="0" w:space="0" w:color="auto"/>
          </w:divBdr>
        </w:div>
        <w:div w:id="2024703512">
          <w:marLeft w:val="0"/>
          <w:marRight w:val="0"/>
          <w:marTop w:val="0"/>
          <w:marBottom w:val="0"/>
          <w:divBdr>
            <w:top w:val="none" w:sz="0" w:space="0" w:color="auto"/>
            <w:left w:val="none" w:sz="0" w:space="0" w:color="auto"/>
            <w:bottom w:val="none" w:sz="0" w:space="0" w:color="auto"/>
            <w:right w:val="none" w:sz="0" w:space="0" w:color="auto"/>
          </w:divBdr>
        </w:div>
        <w:div w:id="2024703513">
          <w:marLeft w:val="0"/>
          <w:marRight w:val="0"/>
          <w:marTop w:val="0"/>
          <w:marBottom w:val="0"/>
          <w:divBdr>
            <w:top w:val="none" w:sz="0" w:space="0" w:color="auto"/>
            <w:left w:val="none" w:sz="0" w:space="0" w:color="auto"/>
            <w:bottom w:val="none" w:sz="0" w:space="0" w:color="auto"/>
            <w:right w:val="none" w:sz="0" w:space="0" w:color="auto"/>
          </w:divBdr>
        </w:div>
        <w:div w:id="2024703514">
          <w:marLeft w:val="0"/>
          <w:marRight w:val="0"/>
          <w:marTop w:val="0"/>
          <w:marBottom w:val="0"/>
          <w:divBdr>
            <w:top w:val="none" w:sz="0" w:space="0" w:color="auto"/>
            <w:left w:val="none" w:sz="0" w:space="0" w:color="auto"/>
            <w:bottom w:val="none" w:sz="0" w:space="0" w:color="auto"/>
            <w:right w:val="none" w:sz="0" w:space="0" w:color="auto"/>
          </w:divBdr>
        </w:div>
        <w:div w:id="2024703515">
          <w:marLeft w:val="0"/>
          <w:marRight w:val="0"/>
          <w:marTop w:val="0"/>
          <w:marBottom w:val="0"/>
          <w:divBdr>
            <w:top w:val="none" w:sz="0" w:space="0" w:color="auto"/>
            <w:left w:val="none" w:sz="0" w:space="0" w:color="auto"/>
            <w:bottom w:val="none" w:sz="0" w:space="0" w:color="auto"/>
            <w:right w:val="none" w:sz="0" w:space="0" w:color="auto"/>
          </w:divBdr>
        </w:div>
        <w:div w:id="2024703516">
          <w:marLeft w:val="0"/>
          <w:marRight w:val="0"/>
          <w:marTop w:val="0"/>
          <w:marBottom w:val="0"/>
          <w:divBdr>
            <w:top w:val="none" w:sz="0" w:space="0" w:color="auto"/>
            <w:left w:val="none" w:sz="0" w:space="0" w:color="auto"/>
            <w:bottom w:val="none" w:sz="0" w:space="0" w:color="auto"/>
            <w:right w:val="none" w:sz="0" w:space="0" w:color="auto"/>
          </w:divBdr>
        </w:div>
        <w:div w:id="2024703517">
          <w:marLeft w:val="0"/>
          <w:marRight w:val="0"/>
          <w:marTop w:val="0"/>
          <w:marBottom w:val="0"/>
          <w:divBdr>
            <w:top w:val="none" w:sz="0" w:space="0" w:color="auto"/>
            <w:left w:val="none" w:sz="0" w:space="0" w:color="auto"/>
            <w:bottom w:val="none" w:sz="0" w:space="0" w:color="auto"/>
            <w:right w:val="none" w:sz="0" w:space="0" w:color="auto"/>
          </w:divBdr>
        </w:div>
        <w:div w:id="2024703518">
          <w:marLeft w:val="0"/>
          <w:marRight w:val="0"/>
          <w:marTop w:val="0"/>
          <w:marBottom w:val="0"/>
          <w:divBdr>
            <w:top w:val="none" w:sz="0" w:space="0" w:color="auto"/>
            <w:left w:val="none" w:sz="0" w:space="0" w:color="auto"/>
            <w:bottom w:val="none" w:sz="0" w:space="0" w:color="auto"/>
            <w:right w:val="none" w:sz="0" w:space="0" w:color="auto"/>
          </w:divBdr>
        </w:div>
        <w:div w:id="2024703519">
          <w:marLeft w:val="0"/>
          <w:marRight w:val="0"/>
          <w:marTop w:val="0"/>
          <w:marBottom w:val="0"/>
          <w:divBdr>
            <w:top w:val="none" w:sz="0" w:space="0" w:color="auto"/>
            <w:left w:val="none" w:sz="0" w:space="0" w:color="auto"/>
            <w:bottom w:val="none" w:sz="0" w:space="0" w:color="auto"/>
            <w:right w:val="none" w:sz="0" w:space="0" w:color="auto"/>
          </w:divBdr>
        </w:div>
        <w:div w:id="2024703520">
          <w:marLeft w:val="0"/>
          <w:marRight w:val="0"/>
          <w:marTop w:val="0"/>
          <w:marBottom w:val="0"/>
          <w:divBdr>
            <w:top w:val="none" w:sz="0" w:space="0" w:color="auto"/>
            <w:left w:val="none" w:sz="0" w:space="0" w:color="auto"/>
            <w:bottom w:val="none" w:sz="0" w:space="0" w:color="auto"/>
            <w:right w:val="none" w:sz="0" w:space="0" w:color="auto"/>
          </w:divBdr>
        </w:div>
        <w:div w:id="2024703521">
          <w:marLeft w:val="0"/>
          <w:marRight w:val="0"/>
          <w:marTop w:val="0"/>
          <w:marBottom w:val="0"/>
          <w:divBdr>
            <w:top w:val="none" w:sz="0" w:space="0" w:color="auto"/>
            <w:left w:val="none" w:sz="0" w:space="0" w:color="auto"/>
            <w:bottom w:val="none" w:sz="0" w:space="0" w:color="auto"/>
            <w:right w:val="none" w:sz="0" w:space="0" w:color="auto"/>
          </w:divBdr>
        </w:div>
        <w:div w:id="2024703522">
          <w:marLeft w:val="0"/>
          <w:marRight w:val="0"/>
          <w:marTop w:val="0"/>
          <w:marBottom w:val="0"/>
          <w:divBdr>
            <w:top w:val="none" w:sz="0" w:space="0" w:color="auto"/>
            <w:left w:val="none" w:sz="0" w:space="0" w:color="auto"/>
            <w:bottom w:val="none" w:sz="0" w:space="0" w:color="auto"/>
            <w:right w:val="none" w:sz="0" w:space="0" w:color="auto"/>
          </w:divBdr>
        </w:div>
        <w:div w:id="2024703523">
          <w:marLeft w:val="0"/>
          <w:marRight w:val="0"/>
          <w:marTop w:val="0"/>
          <w:marBottom w:val="0"/>
          <w:divBdr>
            <w:top w:val="none" w:sz="0" w:space="0" w:color="auto"/>
            <w:left w:val="none" w:sz="0" w:space="0" w:color="auto"/>
            <w:bottom w:val="none" w:sz="0" w:space="0" w:color="auto"/>
            <w:right w:val="none" w:sz="0" w:space="0" w:color="auto"/>
          </w:divBdr>
        </w:div>
        <w:div w:id="2024703524">
          <w:marLeft w:val="0"/>
          <w:marRight w:val="0"/>
          <w:marTop w:val="0"/>
          <w:marBottom w:val="0"/>
          <w:divBdr>
            <w:top w:val="none" w:sz="0" w:space="0" w:color="auto"/>
            <w:left w:val="none" w:sz="0" w:space="0" w:color="auto"/>
            <w:bottom w:val="none" w:sz="0" w:space="0" w:color="auto"/>
            <w:right w:val="none" w:sz="0" w:space="0" w:color="auto"/>
          </w:divBdr>
        </w:div>
        <w:div w:id="2024703525">
          <w:marLeft w:val="0"/>
          <w:marRight w:val="0"/>
          <w:marTop w:val="0"/>
          <w:marBottom w:val="0"/>
          <w:divBdr>
            <w:top w:val="none" w:sz="0" w:space="0" w:color="auto"/>
            <w:left w:val="none" w:sz="0" w:space="0" w:color="auto"/>
            <w:bottom w:val="none" w:sz="0" w:space="0" w:color="auto"/>
            <w:right w:val="none" w:sz="0" w:space="0" w:color="auto"/>
          </w:divBdr>
        </w:div>
        <w:div w:id="2024703527">
          <w:marLeft w:val="0"/>
          <w:marRight w:val="0"/>
          <w:marTop w:val="0"/>
          <w:marBottom w:val="0"/>
          <w:divBdr>
            <w:top w:val="none" w:sz="0" w:space="0" w:color="auto"/>
            <w:left w:val="none" w:sz="0" w:space="0" w:color="auto"/>
            <w:bottom w:val="none" w:sz="0" w:space="0" w:color="auto"/>
            <w:right w:val="none" w:sz="0" w:space="0" w:color="auto"/>
          </w:divBdr>
        </w:div>
        <w:div w:id="2024703528">
          <w:marLeft w:val="0"/>
          <w:marRight w:val="0"/>
          <w:marTop w:val="0"/>
          <w:marBottom w:val="0"/>
          <w:divBdr>
            <w:top w:val="none" w:sz="0" w:space="0" w:color="auto"/>
            <w:left w:val="none" w:sz="0" w:space="0" w:color="auto"/>
            <w:bottom w:val="none" w:sz="0" w:space="0" w:color="auto"/>
            <w:right w:val="none" w:sz="0" w:space="0" w:color="auto"/>
          </w:divBdr>
        </w:div>
        <w:div w:id="2024703529">
          <w:marLeft w:val="0"/>
          <w:marRight w:val="0"/>
          <w:marTop w:val="0"/>
          <w:marBottom w:val="0"/>
          <w:divBdr>
            <w:top w:val="none" w:sz="0" w:space="0" w:color="auto"/>
            <w:left w:val="none" w:sz="0" w:space="0" w:color="auto"/>
            <w:bottom w:val="none" w:sz="0" w:space="0" w:color="auto"/>
            <w:right w:val="none" w:sz="0" w:space="0" w:color="auto"/>
          </w:divBdr>
        </w:div>
        <w:div w:id="2024703530">
          <w:marLeft w:val="0"/>
          <w:marRight w:val="0"/>
          <w:marTop w:val="0"/>
          <w:marBottom w:val="0"/>
          <w:divBdr>
            <w:top w:val="none" w:sz="0" w:space="0" w:color="auto"/>
            <w:left w:val="none" w:sz="0" w:space="0" w:color="auto"/>
            <w:bottom w:val="none" w:sz="0" w:space="0" w:color="auto"/>
            <w:right w:val="none" w:sz="0" w:space="0" w:color="auto"/>
          </w:divBdr>
        </w:div>
        <w:div w:id="2024703531">
          <w:marLeft w:val="0"/>
          <w:marRight w:val="0"/>
          <w:marTop w:val="0"/>
          <w:marBottom w:val="0"/>
          <w:divBdr>
            <w:top w:val="none" w:sz="0" w:space="0" w:color="auto"/>
            <w:left w:val="none" w:sz="0" w:space="0" w:color="auto"/>
            <w:bottom w:val="none" w:sz="0" w:space="0" w:color="auto"/>
            <w:right w:val="none" w:sz="0" w:space="0" w:color="auto"/>
          </w:divBdr>
        </w:div>
        <w:div w:id="2024703532">
          <w:marLeft w:val="0"/>
          <w:marRight w:val="0"/>
          <w:marTop w:val="0"/>
          <w:marBottom w:val="0"/>
          <w:divBdr>
            <w:top w:val="none" w:sz="0" w:space="0" w:color="auto"/>
            <w:left w:val="none" w:sz="0" w:space="0" w:color="auto"/>
            <w:bottom w:val="none" w:sz="0" w:space="0" w:color="auto"/>
            <w:right w:val="none" w:sz="0" w:space="0" w:color="auto"/>
          </w:divBdr>
        </w:div>
        <w:div w:id="2024703533">
          <w:marLeft w:val="0"/>
          <w:marRight w:val="0"/>
          <w:marTop w:val="0"/>
          <w:marBottom w:val="0"/>
          <w:divBdr>
            <w:top w:val="none" w:sz="0" w:space="0" w:color="auto"/>
            <w:left w:val="none" w:sz="0" w:space="0" w:color="auto"/>
            <w:bottom w:val="none" w:sz="0" w:space="0" w:color="auto"/>
            <w:right w:val="none" w:sz="0" w:space="0" w:color="auto"/>
          </w:divBdr>
        </w:div>
        <w:div w:id="2024703534">
          <w:marLeft w:val="0"/>
          <w:marRight w:val="0"/>
          <w:marTop w:val="0"/>
          <w:marBottom w:val="0"/>
          <w:divBdr>
            <w:top w:val="none" w:sz="0" w:space="0" w:color="auto"/>
            <w:left w:val="none" w:sz="0" w:space="0" w:color="auto"/>
            <w:bottom w:val="none" w:sz="0" w:space="0" w:color="auto"/>
            <w:right w:val="none" w:sz="0" w:space="0" w:color="auto"/>
          </w:divBdr>
        </w:div>
        <w:div w:id="2024703535">
          <w:marLeft w:val="0"/>
          <w:marRight w:val="0"/>
          <w:marTop w:val="0"/>
          <w:marBottom w:val="0"/>
          <w:divBdr>
            <w:top w:val="none" w:sz="0" w:space="0" w:color="auto"/>
            <w:left w:val="none" w:sz="0" w:space="0" w:color="auto"/>
            <w:bottom w:val="none" w:sz="0" w:space="0" w:color="auto"/>
            <w:right w:val="none" w:sz="0" w:space="0" w:color="auto"/>
          </w:divBdr>
        </w:div>
        <w:div w:id="2024703536">
          <w:marLeft w:val="0"/>
          <w:marRight w:val="0"/>
          <w:marTop w:val="0"/>
          <w:marBottom w:val="0"/>
          <w:divBdr>
            <w:top w:val="none" w:sz="0" w:space="0" w:color="auto"/>
            <w:left w:val="none" w:sz="0" w:space="0" w:color="auto"/>
            <w:bottom w:val="none" w:sz="0" w:space="0" w:color="auto"/>
            <w:right w:val="none" w:sz="0" w:space="0" w:color="auto"/>
          </w:divBdr>
        </w:div>
        <w:div w:id="2024703537">
          <w:marLeft w:val="0"/>
          <w:marRight w:val="0"/>
          <w:marTop w:val="0"/>
          <w:marBottom w:val="0"/>
          <w:divBdr>
            <w:top w:val="none" w:sz="0" w:space="0" w:color="auto"/>
            <w:left w:val="none" w:sz="0" w:space="0" w:color="auto"/>
            <w:bottom w:val="none" w:sz="0" w:space="0" w:color="auto"/>
            <w:right w:val="none" w:sz="0" w:space="0" w:color="auto"/>
          </w:divBdr>
        </w:div>
        <w:div w:id="2024703538">
          <w:marLeft w:val="0"/>
          <w:marRight w:val="0"/>
          <w:marTop w:val="0"/>
          <w:marBottom w:val="0"/>
          <w:divBdr>
            <w:top w:val="none" w:sz="0" w:space="0" w:color="auto"/>
            <w:left w:val="none" w:sz="0" w:space="0" w:color="auto"/>
            <w:bottom w:val="none" w:sz="0" w:space="0" w:color="auto"/>
            <w:right w:val="none" w:sz="0" w:space="0" w:color="auto"/>
          </w:divBdr>
        </w:div>
        <w:div w:id="2024703540">
          <w:marLeft w:val="0"/>
          <w:marRight w:val="0"/>
          <w:marTop w:val="0"/>
          <w:marBottom w:val="0"/>
          <w:divBdr>
            <w:top w:val="none" w:sz="0" w:space="0" w:color="auto"/>
            <w:left w:val="none" w:sz="0" w:space="0" w:color="auto"/>
            <w:bottom w:val="none" w:sz="0" w:space="0" w:color="auto"/>
            <w:right w:val="none" w:sz="0" w:space="0" w:color="auto"/>
          </w:divBdr>
        </w:div>
        <w:div w:id="2024703541">
          <w:marLeft w:val="0"/>
          <w:marRight w:val="0"/>
          <w:marTop w:val="0"/>
          <w:marBottom w:val="0"/>
          <w:divBdr>
            <w:top w:val="none" w:sz="0" w:space="0" w:color="auto"/>
            <w:left w:val="none" w:sz="0" w:space="0" w:color="auto"/>
            <w:bottom w:val="none" w:sz="0" w:space="0" w:color="auto"/>
            <w:right w:val="none" w:sz="0" w:space="0" w:color="auto"/>
          </w:divBdr>
        </w:div>
        <w:div w:id="2024703542">
          <w:marLeft w:val="0"/>
          <w:marRight w:val="0"/>
          <w:marTop w:val="0"/>
          <w:marBottom w:val="0"/>
          <w:divBdr>
            <w:top w:val="none" w:sz="0" w:space="0" w:color="auto"/>
            <w:left w:val="none" w:sz="0" w:space="0" w:color="auto"/>
            <w:bottom w:val="none" w:sz="0" w:space="0" w:color="auto"/>
            <w:right w:val="none" w:sz="0" w:space="0" w:color="auto"/>
          </w:divBdr>
        </w:div>
        <w:div w:id="2024703543">
          <w:marLeft w:val="0"/>
          <w:marRight w:val="0"/>
          <w:marTop w:val="0"/>
          <w:marBottom w:val="0"/>
          <w:divBdr>
            <w:top w:val="none" w:sz="0" w:space="0" w:color="auto"/>
            <w:left w:val="none" w:sz="0" w:space="0" w:color="auto"/>
            <w:bottom w:val="none" w:sz="0" w:space="0" w:color="auto"/>
            <w:right w:val="none" w:sz="0" w:space="0" w:color="auto"/>
          </w:divBdr>
        </w:div>
        <w:div w:id="2024703544">
          <w:marLeft w:val="0"/>
          <w:marRight w:val="0"/>
          <w:marTop w:val="0"/>
          <w:marBottom w:val="0"/>
          <w:divBdr>
            <w:top w:val="none" w:sz="0" w:space="0" w:color="auto"/>
            <w:left w:val="none" w:sz="0" w:space="0" w:color="auto"/>
            <w:bottom w:val="none" w:sz="0" w:space="0" w:color="auto"/>
            <w:right w:val="none" w:sz="0" w:space="0" w:color="auto"/>
          </w:divBdr>
        </w:div>
        <w:div w:id="2024703545">
          <w:marLeft w:val="0"/>
          <w:marRight w:val="0"/>
          <w:marTop w:val="0"/>
          <w:marBottom w:val="0"/>
          <w:divBdr>
            <w:top w:val="none" w:sz="0" w:space="0" w:color="auto"/>
            <w:left w:val="none" w:sz="0" w:space="0" w:color="auto"/>
            <w:bottom w:val="none" w:sz="0" w:space="0" w:color="auto"/>
            <w:right w:val="none" w:sz="0" w:space="0" w:color="auto"/>
          </w:divBdr>
        </w:div>
        <w:div w:id="2024703546">
          <w:marLeft w:val="0"/>
          <w:marRight w:val="0"/>
          <w:marTop w:val="0"/>
          <w:marBottom w:val="0"/>
          <w:divBdr>
            <w:top w:val="none" w:sz="0" w:space="0" w:color="auto"/>
            <w:left w:val="none" w:sz="0" w:space="0" w:color="auto"/>
            <w:bottom w:val="none" w:sz="0" w:space="0" w:color="auto"/>
            <w:right w:val="none" w:sz="0" w:space="0" w:color="auto"/>
          </w:divBdr>
        </w:div>
        <w:div w:id="2024703547">
          <w:marLeft w:val="0"/>
          <w:marRight w:val="0"/>
          <w:marTop w:val="0"/>
          <w:marBottom w:val="0"/>
          <w:divBdr>
            <w:top w:val="none" w:sz="0" w:space="0" w:color="auto"/>
            <w:left w:val="none" w:sz="0" w:space="0" w:color="auto"/>
            <w:bottom w:val="none" w:sz="0" w:space="0" w:color="auto"/>
            <w:right w:val="none" w:sz="0" w:space="0" w:color="auto"/>
          </w:divBdr>
        </w:div>
        <w:div w:id="2024703548">
          <w:marLeft w:val="0"/>
          <w:marRight w:val="0"/>
          <w:marTop w:val="0"/>
          <w:marBottom w:val="0"/>
          <w:divBdr>
            <w:top w:val="none" w:sz="0" w:space="0" w:color="auto"/>
            <w:left w:val="none" w:sz="0" w:space="0" w:color="auto"/>
            <w:bottom w:val="none" w:sz="0" w:space="0" w:color="auto"/>
            <w:right w:val="none" w:sz="0" w:space="0" w:color="auto"/>
          </w:divBdr>
        </w:div>
        <w:div w:id="2024703549">
          <w:marLeft w:val="0"/>
          <w:marRight w:val="0"/>
          <w:marTop w:val="0"/>
          <w:marBottom w:val="0"/>
          <w:divBdr>
            <w:top w:val="none" w:sz="0" w:space="0" w:color="auto"/>
            <w:left w:val="none" w:sz="0" w:space="0" w:color="auto"/>
            <w:bottom w:val="none" w:sz="0" w:space="0" w:color="auto"/>
            <w:right w:val="none" w:sz="0" w:space="0" w:color="auto"/>
          </w:divBdr>
        </w:div>
        <w:div w:id="2024703550">
          <w:marLeft w:val="0"/>
          <w:marRight w:val="0"/>
          <w:marTop w:val="0"/>
          <w:marBottom w:val="0"/>
          <w:divBdr>
            <w:top w:val="none" w:sz="0" w:space="0" w:color="auto"/>
            <w:left w:val="none" w:sz="0" w:space="0" w:color="auto"/>
            <w:bottom w:val="none" w:sz="0" w:space="0" w:color="auto"/>
            <w:right w:val="none" w:sz="0" w:space="0" w:color="auto"/>
          </w:divBdr>
        </w:div>
        <w:div w:id="2024703551">
          <w:marLeft w:val="0"/>
          <w:marRight w:val="0"/>
          <w:marTop w:val="0"/>
          <w:marBottom w:val="0"/>
          <w:divBdr>
            <w:top w:val="none" w:sz="0" w:space="0" w:color="auto"/>
            <w:left w:val="none" w:sz="0" w:space="0" w:color="auto"/>
            <w:bottom w:val="none" w:sz="0" w:space="0" w:color="auto"/>
            <w:right w:val="none" w:sz="0" w:space="0" w:color="auto"/>
          </w:divBdr>
        </w:div>
        <w:div w:id="2024703552">
          <w:marLeft w:val="0"/>
          <w:marRight w:val="0"/>
          <w:marTop w:val="0"/>
          <w:marBottom w:val="0"/>
          <w:divBdr>
            <w:top w:val="none" w:sz="0" w:space="0" w:color="auto"/>
            <w:left w:val="none" w:sz="0" w:space="0" w:color="auto"/>
            <w:bottom w:val="none" w:sz="0" w:space="0" w:color="auto"/>
            <w:right w:val="none" w:sz="0" w:space="0" w:color="auto"/>
          </w:divBdr>
        </w:div>
        <w:div w:id="2024703553">
          <w:marLeft w:val="0"/>
          <w:marRight w:val="0"/>
          <w:marTop w:val="0"/>
          <w:marBottom w:val="0"/>
          <w:divBdr>
            <w:top w:val="none" w:sz="0" w:space="0" w:color="auto"/>
            <w:left w:val="none" w:sz="0" w:space="0" w:color="auto"/>
            <w:bottom w:val="none" w:sz="0" w:space="0" w:color="auto"/>
            <w:right w:val="none" w:sz="0" w:space="0" w:color="auto"/>
          </w:divBdr>
        </w:div>
        <w:div w:id="2024703554">
          <w:marLeft w:val="0"/>
          <w:marRight w:val="0"/>
          <w:marTop w:val="0"/>
          <w:marBottom w:val="0"/>
          <w:divBdr>
            <w:top w:val="none" w:sz="0" w:space="0" w:color="auto"/>
            <w:left w:val="none" w:sz="0" w:space="0" w:color="auto"/>
            <w:bottom w:val="none" w:sz="0" w:space="0" w:color="auto"/>
            <w:right w:val="none" w:sz="0" w:space="0" w:color="auto"/>
          </w:divBdr>
        </w:div>
        <w:div w:id="2024703555">
          <w:marLeft w:val="0"/>
          <w:marRight w:val="0"/>
          <w:marTop w:val="0"/>
          <w:marBottom w:val="0"/>
          <w:divBdr>
            <w:top w:val="none" w:sz="0" w:space="0" w:color="auto"/>
            <w:left w:val="none" w:sz="0" w:space="0" w:color="auto"/>
            <w:bottom w:val="none" w:sz="0" w:space="0" w:color="auto"/>
            <w:right w:val="none" w:sz="0" w:space="0" w:color="auto"/>
          </w:divBdr>
        </w:div>
        <w:div w:id="2024703556">
          <w:marLeft w:val="0"/>
          <w:marRight w:val="0"/>
          <w:marTop w:val="0"/>
          <w:marBottom w:val="0"/>
          <w:divBdr>
            <w:top w:val="none" w:sz="0" w:space="0" w:color="auto"/>
            <w:left w:val="none" w:sz="0" w:space="0" w:color="auto"/>
            <w:bottom w:val="none" w:sz="0" w:space="0" w:color="auto"/>
            <w:right w:val="none" w:sz="0" w:space="0" w:color="auto"/>
          </w:divBdr>
        </w:div>
        <w:div w:id="2024703557">
          <w:marLeft w:val="0"/>
          <w:marRight w:val="0"/>
          <w:marTop w:val="0"/>
          <w:marBottom w:val="0"/>
          <w:divBdr>
            <w:top w:val="none" w:sz="0" w:space="0" w:color="auto"/>
            <w:left w:val="none" w:sz="0" w:space="0" w:color="auto"/>
            <w:bottom w:val="none" w:sz="0" w:space="0" w:color="auto"/>
            <w:right w:val="none" w:sz="0" w:space="0" w:color="auto"/>
          </w:divBdr>
        </w:div>
        <w:div w:id="2024703558">
          <w:marLeft w:val="0"/>
          <w:marRight w:val="0"/>
          <w:marTop w:val="0"/>
          <w:marBottom w:val="0"/>
          <w:divBdr>
            <w:top w:val="none" w:sz="0" w:space="0" w:color="auto"/>
            <w:left w:val="none" w:sz="0" w:space="0" w:color="auto"/>
            <w:bottom w:val="none" w:sz="0" w:space="0" w:color="auto"/>
            <w:right w:val="none" w:sz="0" w:space="0" w:color="auto"/>
          </w:divBdr>
        </w:div>
        <w:div w:id="2024703559">
          <w:marLeft w:val="0"/>
          <w:marRight w:val="0"/>
          <w:marTop w:val="0"/>
          <w:marBottom w:val="0"/>
          <w:divBdr>
            <w:top w:val="none" w:sz="0" w:space="0" w:color="auto"/>
            <w:left w:val="none" w:sz="0" w:space="0" w:color="auto"/>
            <w:bottom w:val="none" w:sz="0" w:space="0" w:color="auto"/>
            <w:right w:val="none" w:sz="0" w:space="0" w:color="auto"/>
          </w:divBdr>
        </w:div>
        <w:div w:id="2024703560">
          <w:marLeft w:val="0"/>
          <w:marRight w:val="0"/>
          <w:marTop w:val="0"/>
          <w:marBottom w:val="0"/>
          <w:divBdr>
            <w:top w:val="none" w:sz="0" w:space="0" w:color="auto"/>
            <w:left w:val="none" w:sz="0" w:space="0" w:color="auto"/>
            <w:bottom w:val="none" w:sz="0" w:space="0" w:color="auto"/>
            <w:right w:val="none" w:sz="0" w:space="0" w:color="auto"/>
          </w:divBdr>
        </w:div>
        <w:div w:id="2024703561">
          <w:marLeft w:val="0"/>
          <w:marRight w:val="0"/>
          <w:marTop w:val="0"/>
          <w:marBottom w:val="0"/>
          <w:divBdr>
            <w:top w:val="none" w:sz="0" w:space="0" w:color="auto"/>
            <w:left w:val="none" w:sz="0" w:space="0" w:color="auto"/>
            <w:bottom w:val="none" w:sz="0" w:space="0" w:color="auto"/>
            <w:right w:val="none" w:sz="0" w:space="0" w:color="auto"/>
          </w:divBdr>
        </w:div>
        <w:div w:id="2024703562">
          <w:marLeft w:val="0"/>
          <w:marRight w:val="0"/>
          <w:marTop w:val="0"/>
          <w:marBottom w:val="0"/>
          <w:divBdr>
            <w:top w:val="none" w:sz="0" w:space="0" w:color="auto"/>
            <w:left w:val="none" w:sz="0" w:space="0" w:color="auto"/>
            <w:bottom w:val="none" w:sz="0" w:space="0" w:color="auto"/>
            <w:right w:val="none" w:sz="0" w:space="0" w:color="auto"/>
          </w:divBdr>
        </w:div>
        <w:div w:id="2024703563">
          <w:marLeft w:val="0"/>
          <w:marRight w:val="0"/>
          <w:marTop w:val="0"/>
          <w:marBottom w:val="0"/>
          <w:divBdr>
            <w:top w:val="none" w:sz="0" w:space="0" w:color="auto"/>
            <w:left w:val="none" w:sz="0" w:space="0" w:color="auto"/>
            <w:bottom w:val="none" w:sz="0" w:space="0" w:color="auto"/>
            <w:right w:val="none" w:sz="0" w:space="0" w:color="auto"/>
          </w:divBdr>
        </w:div>
        <w:div w:id="2024703564">
          <w:marLeft w:val="0"/>
          <w:marRight w:val="0"/>
          <w:marTop w:val="0"/>
          <w:marBottom w:val="0"/>
          <w:divBdr>
            <w:top w:val="none" w:sz="0" w:space="0" w:color="auto"/>
            <w:left w:val="none" w:sz="0" w:space="0" w:color="auto"/>
            <w:bottom w:val="none" w:sz="0" w:space="0" w:color="auto"/>
            <w:right w:val="none" w:sz="0" w:space="0" w:color="auto"/>
          </w:divBdr>
        </w:div>
        <w:div w:id="2024703565">
          <w:marLeft w:val="0"/>
          <w:marRight w:val="0"/>
          <w:marTop w:val="0"/>
          <w:marBottom w:val="0"/>
          <w:divBdr>
            <w:top w:val="none" w:sz="0" w:space="0" w:color="auto"/>
            <w:left w:val="none" w:sz="0" w:space="0" w:color="auto"/>
            <w:bottom w:val="none" w:sz="0" w:space="0" w:color="auto"/>
            <w:right w:val="none" w:sz="0" w:space="0" w:color="auto"/>
          </w:divBdr>
        </w:div>
        <w:div w:id="2024703566">
          <w:marLeft w:val="0"/>
          <w:marRight w:val="0"/>
          <w:marTop w:val="0"/>
          <w:marBottom w:val="0"/>
          <w:divBdr>
            <w:top w:val="none" w:sz="0" w:space="0" w:color="auto"/>
            <w:left w:val="none" w:sz="0" w:space="0" w:color="auto"/>
            <w:bottom w:val="none" w:sz="0" w:space="0" w:color="auto"/>
            <w:right w:val="none" w:sz="0" w:space="0" w:color="auto"/>
          </w:divBdr>
        </w:div>
        <w:div w:id="2024703567">
          <w:marLeft w:val="0"/>
          <w:marRight w:val="0"/>
          <w:marTop w:val="0"/>
          <w:marBottom w:val="0"/>
          <w:divBdr>
            <w:top w:val="none" w:sz="0" w:space="0" w:color="auto"/>
            <w:left w:val="none" w:sz="0" w:space="0" w:color="auto"/>
            <w:bottom w:val="none" w:sz="0" w:space="0" w:color="auto"/>
            <w:right w:val="none" w:sz="0" w:space="0" w:color="auto"/>
          </w:divBdr>
        </w:div>
        <w:div w:id="2024703568">
          <w:marLeft w:val="0"/>
          <w:marRight w:val="0"/>
          <w:marTop w:val="0"/>
          <w:marBottom w:val="0"/>
          <w:divBdr>
            <w:top w:val="none" w:sz="0" w:space="0" w:color="auto"/>
            <w:left w:val="none" w:sz="0" w:space="0" w:color="auto"/>
            <w:bottom w:val="none" w:sz="0" w:space="0" w:color="auto"/>
            <w:right w:val="none" w:sz="0" w:space="0" w:color="auto"/>
          </w:divBdr>
        </w:div>
        <w:div w:id="2024703569">
          <w:marLeft w:val="0"/>
          <w:marRight w:val="0"/>
          <w:marTop w:val="0"/>
          <w:marBottom w:val="0"/>
          <w:divBdr>
            <w:top w:val="none" w:sz="0" w:space="0" w:color="auto"/>
            <w:left w:val="none" w:sz="0" w:space="0" w:color="auto"/>
            <w:bottom w:val="none" w:sz="0" w:space="0" w:color="auto"/>
            <w:right w:val="none" w:sz="0" w:space="0" w:color="auto"/>
          </w:divBdr>
        </w:div>
        <w:div w:id="2024703570">
          <w:marLeft w:val="0"/>
          <w:marRight w:val="0"/>
          <w:marTop w:val="0"/>
          <w:marBottom w:val="0"/>
          <w:divBdr>
            <w:top w:val="none" w:sz="0" w:space="0" w:color="auto"/>
            <w:left w:val="none" w:sz="0" w:space="0" w:color="auto"/>
            <w:bottom w:val="none" w:sz="0" w:space="0" w:color="auto"/>
            <w:right w:val="none" w:sz="0" w:space="0" w:color="auto"/>
          </w:divBdr>
        </w:div>
        <w:div w:id="2024703571">
          <w:marLeft w:val="0"/>
          <w:marRight w:val="0"/>
          <w:marTop w:val="0"/>
          <w:marBottom w:val="0"/>
          <w:divBdr>
            <w:top w:val="none" w:sz="0" w:space="0" w:color="auto"/>
            <w:left w:val="none" w:sz="0" w:space="0" w:color="auto"/>
            <w:bottom w:val="none" w:sz="0" w:space="0" w:color="auto"/>
            <w:right w:val="none" w:sz="0" w:space="0" w:color="auto"/>
          </w:divBdr>
        </w:div>
        <w:div w:id="2024703572">
          <w:marLeft w:val="0"/>
          <w:marRight w:val="0"/>
          <w:marTop w:val="0"/>
          <w:marBottom w:val="0"/>
          <w:divBdr>
            <w:top w:val="none" w:sz="0" w:space="0" w:color="auto"/>
            <w:left w:val="none" w:sz="0" w:space="0" w:color="auto"/>
            <w:bottom w:val="none" w:sz="0" w:space="0" w:color="auto"/>
            <w:right w:val="none" w:sz="0" w:space="0" w:color="auto"/>
          </w:divBdr>
        </w:div>
        <w:div w:id="2024703573">
          <w:marLeft w:val="0"/>
          <w:marRight w:val="0"/>
          <w:marTop w:val="0"/>
          <w:marBottom w:val="0"/>
          <w:divBdr>
            <w:top w:val="none" w:sz="0" w:space="0" w:color="auto"/>
            <w:left w:val="none" w:sz="0" w:space="0" w:color="auto"/>
            <w:bottom w:val="none" w:sz="0" w:space="0" w:color="auto"/>
            <w:right w:val="none" w:sz="0" w:space="0" w:color="auto"/>
          </w:divBdr>
        </w:div>
        <w:div w:id="2024703574">
          <w:marLeft w:val="0"/>
          <w:marRight w:val="0"/>
          <w:marTop w:val="0"/>
          <w:marBottom w:val="0"/>
          <w:divBdr>
            <w:top w:val="none" w:sz="0" w:space="0" w:color="auto"/>
            <w:left w:val="none" w:sz="0" w:space="0" w:color="auto"/>
            <w:bottom w:val="none" w:sz="0" w:space="0" w:color="auto"/>
            <w:right w:val="none" w:sz="0" w:space="0" w:color="auto"/>
          </w:divBdr>
        </w:div>
        <w:div w:id="2024703575">
          <w:marLeft w:val="0"/>
          <w:marRight w:val="0"/>
          <w:marTop w:val="0"/>
          <w:marBottom w:val="0"/>
          <w:divBdr>
            <w:top w:val="none" w:sz="0" w:space="0" w:color="auto"/>
            <w:left w:val="none" w:sz="0" w:space="0" w:color="auto"/>
            <w:bottom w:val="none" w:sz="0" w:space="0" w:color="auto"/>
            <w:right w:val="none" w:sz="0" w:space="0" w:color="auto"/>
          </w:divBdr>
        </w:div>
        <w:div w:id="2024703576">
          <w:marLeft w:val="0"/>
          <w:marRight w:val="0"/>
          <w:marTop w:val="0"/>
          <w:marBottom w:val="0"/>
          <w:divBdr>
            <w:top w:val="none" w:sz="0" w:space="0" w:color="auto"/>
            <w:left w:val="none" w:sz="0" w:space="0" w:color="auto"/>
            <w:bottom w:val="none" w:sz="0" w:space="0" w:color="auto"/>
            <w:right w:val="none" w:sz="0" w:space="0" w:color="auto"/>
          </w:divBdr>
        </w:div>
        <w:div w:id="2024703577">
          <w:marLeft w:val="0"/>
          <w:marRight w:val="0"/>
          <w:marTop w:val="0"/>
          <w:marBottom w:val="0"/>
          <w:divBdr>
            <w:top w:val="none" w:sz="0" w:space="0" w:color="auto"/>
            <w:left w:val="none" w:sz="0" w:space="0" w:color="auto"/>
            <w:bottom w:val="none" w:sz="0" w:space="0" w:color="auto"/>
            <w:right w:val="none" w:sz="0" w:space="0" w:color="auto"/>
          </w:divBdr>
        </w:div>
        <w:div w:id="2024703578">
          <w:marLeft w:val="0"/>
          <w:marRight w:val="0"/>
          <w:marTop w:val="0"/>
          <w:marBottom w:val="0"/>
          <w:divBdr>
            <w:top w:val="none" w:sz="0" w:space="0" w:color="auto"/>
            <w:left w:val="none" w:sz="0" w:space="0" w:color="auto"/>
            <w:bottom w:val="none" w:sz="0" w:space="0" w:color="auto"/>
            <w:right w:val="none" w:sz="0" w:space="0" w:color="auto"/>
          </w:divBdr>
        </w:div>
        <w:div w:id="2024703579">
          <w:marLeft w:val="0"/>
          <w:marRight w:val="0"/>
          <w:marTop w:val="0"/>
          <w:marBottom w:val="0"/>
          <w:divBdr>
            <w:top w:val="none" w:sz="0" w:space="0" w:color="auto"/>
            <w:left w:val="none" w:sz="0" w:space="0" w:color="auto"/>
            <w:bottom w:val="none" w:sz="0" w:space="0" w:color="auto"/>
            <w:right w:val="none" w:sz="0" w:space="0" w:color="auto"/>
          </w:divBdr>
        </w:div>
        <w:div w:id="2024703580">
          <w:marLeft w:val="0"/>
          <w:marRight w:val="0"/>
          <w:marTop w:val="0"/>
          <w:marBottom w:val="0"/>
          <w:divBdr>
            <w:top w:val="none" w:sz="0" w:space="0" w:color="auto"/>
            <w:left w:val="none" w:sz="0" w:space="0" w:color="auto"/>
            <w:bottom w:val="none" w:sz="0" w:space="0" w:color="auto"/>
            <w:right w:val="none" w:sz="0" w:space="0" w:color="auto"/>
          </w:divBdr>
        </w:div>
        <w:div w:id="2024703582">
          <w:marLeft w:val="0"/>
          <w:marRight w:val="0"/>
          <w:marTop w:val="0"/>
          <w:marBottom w:val="0"/>
          <w:divBdr>
            <w:top w:val="none" w:sz="0" w:space="0" w:color="auto"/>
            <w:left w:val="none" w:sz="0" w:space="0" w:color="auto"/>
            <w:bottom w:val="none" w:sz="0" w:space="0" w:color="auto"/>
            <w:right w:val="none" w:sz="0" w:space="0" w:color="auto"/>
          </w:divBdr>
        </w:div>
        <w:div w:id="2024703583">
          <w:marLeft w:val="0"/>
          <w:marRight w:val="0"/>
          <w:marTop w:val="0"/>
          <w:marBottom w:val="0"/>
          <w:divBdr>
            <w:top w:val="none" w:sz="0" w:space="0" w:color="auto"/>
            <w:left w:val="none" w:sz="0" w:space="0" w:color="auto"/>
            <w:bottom w:val="none" w:sz="0" w:space="0" w:color="auto"/>
            <w:right w:val="none" w:sz="0" w:space="0" w:color="auto"/>
          </w:divBdr>
        </w:div>
        <w:div w:id="2024703584">
          <w:marLeft w:val="0"/>
          <w:marRight w:val="0"/>
          <w:marTop w:val="0"/>
          <w:marBottom w:val="0"/>
          <w:divBdr>
            <w:top w:val="none" w:sz="0" w:space="0" w:color="auto"/>
            <w:left w:val="none" w:sz="0" w:space="0" w:color="auto"/>
            <w:bottom w:val="none" w:sz="0" w:space="0" w:color="auto"/>
            <w:right w:val="none" w:sz="0" w:space="0" w:color="auto"/>
          </w:divBdr>
        </w:div>
        <w:div w:id="2024703585">
          <w:marLeft w:val="0"/>
          <w:marRight w:val="0"/>
          <w:marTop w:val="0"/>
          <w:marBottom w:val="0"/>
          <w:divBdr>
            <w:top w:val="none" w:sz="0" w:space="0" w:color="auto"/>
            <w:left w:val="none" w:sz="0" w:space="0" w:color="auto"/>
            <w:bottom w:val="none" w:sz="0" w:space="0" w:color="auto"/>
            <w:right w:val="none" w:sz="0" w:space="0" w:color="auto"/>
          </w:divBdr>
        </w:div>
        <w:div w:id="2024703586">
          <w:marLeft w:val="0"/>
          <w:marRight w:val="0"/>
          <w:marTop w:val="0"/>
          <w:marBottom w:val="0"/>
          <w:divBdr>
            <w:top w:val="none" w:sz="0" w:space="0" w:color="auto"/>
            <w:left w:val="none" w:sz="0" w:space="0" w:color="auto"/>
            <w:bottom w:val="none" w:sz="0" w:space="0" w:color="auto"/>
            <w:right w:val="none" w:sz="0" w:space="0" w:color="auto"/>
          </w:divBdr>
        </w:div>
        <w:div w:id="2024703587">
          <w:marLeft w:val="0"/>
          <w:marRight w:val="0"/>
          <w:marTop w:val="0"/>
          <w:marBottom w:val="0"/>
          <w:divBdr>
            <w:top w:val="none" w:sz="0" w:space="0" w:color="auto"/>
            <w:left w:val="none" w:sz="0" w:space="0" w:color="auto"/>
            <w:bottom w:val="none" w:sz="0" w:space="0" w:color="auto"/>
            <w:right w:val="none" w:sz="0" w:space="0" w:color="auto"/>
          </w:divBdr>
        </w:div>
        <w:div w:id="2024703588">
          <w:marLeft w:val="0"/>
          <w:marRight w:val="0"/>
          <w:marTop w:val="0"/>
          <w:marBottom w:val="0"/>
          <w:divBdr>
            <w:top w:val="none" w:sz="0" w:space="0" w:color="auto"/>
            <w:left w:val="none" w:sz="0" w:space="0" w:color="auto"/>
            <w:bottom w:val="none" w:sz="0" w:space="0" w:color="auto"/>
            <w:right w:val="none" w:sz="0" w:space="0" w:color="auto"/>
          </w:divBdr>
        </w:div>
        <w:div w:id="2024703589">
          <w:marLeft w:val="0"/>
          <w:marRight w:val="0"/>
          <w:marTop w:val="0"/>
          <w:marBottom w:val="0"/>
          <w:divBdr>
            <w:top w:val="none" w:sz="0" w:space="0" w:color="auto"/>
            <w:left w:val="none" w:sz="0" w:space="0" w:color="auto"/>
            <w:bottom w:val="none" w:sz="0" w:space="0" w:color="auto"/>
            <w:right w:val="none" w:sz="0" w:space="0" w:color="auto"/>
          </w:divBdr>
        </w:div>
        <w:div w:id="2024703590">
          <w:marLeft w:val="0"/>
          <w:marRight w:val="0"/>
          <w:marTop w:val="0"/>
          <w:marBottom w:val="0"/>
          <w:divBdr>
            <w:top w:val="none" w:sz="0" w:space="0" w:color="auto"/>
            <w:left w:val="none" w:sz="0" w:space="0" w:color="auto"/>
            <w:bottom w:val="none" w:sz="0" w:space="0" w:color="auto"/>
            <w:right w:val="none" w:sz="0" w:space="0" w:color="auto"/>
          </w:divBdr>
        </w:div>
        <w:div w:id="2024703591">
          <w:marLeft w:val="0"/>
          <w:marRight w:val="0"/>
          <w:marTop w:val="0"/>
          <w:marBottom w:val="0"/>
          <w:divBdr>
            <w:top w:val="none" w:sz="0" w:space="0" w:color="auto"/>
            <w:left w:val="none" w:sz="0" w:space="0" w:color="auto"/>
            <w:bottom w:val="none" w:sz="0" w:space="0" w:color="auto"/>
            <w:right w:val="none" w:sz="0" w:space="0" w:color="auto"/>
          </w:divBdr>
        </w:div>
        <w:div w:id="2024703592">
          <w:marLeft w:val="0"/>
          <w:marRight w:val="0"/>
          <w:marTop w:val="0"/>
          <w:marBottom w:val="0"/>
          <w:divBdr>
            <w:top w:val="none" w:sz="0" w:space="0" w:color="auto"/>
            <w:left w:val="none" w:sz="0" w:space="0" w:color="auto"/>
            <w:bottom w:val="none" w:sz="0" w:space="0" w:color="auto"/>
            <w:right w:val="none" w:sz="0" w:space="0" w:color="auto"/>
          </w:divBdr>
        </w:div>
        <w:div w:id="2024703593">
          <w:marLeft w:val="0"/>
          <w:marRight w:val="0"/>
          <w:marTop w:val="0"/>
          <w:marBottom w:val="0"/>
          <w:divBdr>
            <w:top w:val="none" w:sz="0" w:space="0" w:color="auto"/>
            <w:left w:val="none" w:sz="0" w:space="0" w:color="auto"/>
            <w:bottom w:val="none" w:sz="0" w:space="0" w:color="auto"/>
            <w:right w:val="none" w:sz="0" w:space="0" w:color="auto"/>
          </w:divBdr>
        </w:div>
        <w:div w:id="2024703594">
          <w:marLeft w:val="0"/>
          <w:marRight w:val="0"/>
          <w:marTop w:val="0"/>
          <w:marBottom w:val="0"/>
          <w:divBdr>
            <w:top w:val="none" w:sz="0" w:space="0" w:color="auto"/>
            <w:left w:val="none" w:sz="0" w:space="0" w:color="auto"/>
            <w:bottom w:val="none" w:sz="0" w:space="0" w:color="auto"/>
            <w:right w:val="none" w:sz="0" w:space="0" w:color="auto"/>
          </w:divBdr>
        </w:div>
        <w:div w:id="2024703595">
          <w:marLeft w:val="0"/>
          <w:marRight w:val="0"/>
          <w:marTop w:val="0"/>
          <w:marBottom w:val="0"/>
          <w:divBdr>
            <w:top w:val="none" w:sz="0" w:space="0" w:color="auto"/>
            <w:left w:val="none" w:sz="0" w:space="0" w:color="auto"/>
            <w:bottom w:val="none" w:sz="0" w:space="0" w:color="auto"/>
            <w:right w:val="none" w:sz="0" w:space="0" w:color="auto"/>
          </w:divBdr>
        </w:div>
        <w:div w:id="2024703596">
          <w:marLeft w:val="0"/>
          <w:marRight w:val="0"/>
          <w:marTop w:val="0"/>
          <w:marBottom w:val="0"/>
          <w:divBdr>
            <w:top w:val="none" w:sz="0" w:space="0" w:color="auto"/>
            <w:left w:val="none" w:sz="0" w:space="0" w:color="auto"/>
            <w:bottom w:val="none" w:sz="0" w:space="0" w:color="auto"/>
            <w:right w:val="none" w:sz="0" w:space="0" w:color="auto"/>
          </w:divBdr>
        </w:div>
        <w:div w:id="2024703597">
          <w:marLeft w:val="0"/>
          <w:marRight w:val="0"/>
          <w:marTop w:val="0"/>
          <w:marBottom w:val="0"/>
          <w:divBdr>
            <w:top w:val="none" w:sz="0" w:space="0" w:color="auto"/>
            <w:left w:val="none" w:sz="0" w:space="0" w:color="auto"/>
            <w:bottom w:val="none" w:sz="0" w:space="0" w:color="auto"/>
            <w:right w:val="none" w:sz="0" w:space="0" w:color="auto"/>
          </w:divBdr>
        </w:div>
        <w:div w:id="2024703598">
          <w:marLeft w:val="0"/>
          <w:marRight w:val="0"/>
          <w:marTop w:val="0"/>
          <w:marBottom w:val="0"/>
          <w:divBdr>
            <w:top w:val="none" w:sz="0" w:space="0" w:color="auto"/>
            <w:left w:val="none" w:sz="0" w:space="0" w:color="auto"/>
            <w:bottom w:val="none" w:sz="0" w:space="0" w:color="auto"/>
            <w:right w:val="none" w:sz="0" w:space="0" w:color="auto"/>
          </w:divBdr>
        </w:div>
        <w:div w:id="2024703599">
          <w:marLeft w:val="0"/>
          <w:marRight w:val="0"/>
          <w:marTop w:val="0"/>
          <w:marBottom w:val="0"/>
          <w:divBdr>
            <w:top w:val="none" w:sz="0" w:space="0" w:color="auto"/>
            <w:left w:val="none" w:sz="0" w:space="0" w:color="auto"/>
            <w:bottom w:val="none" w:sz="0" w:space="0" w:color="auto"/>
            <w:right w:val="none" w:sz="0" w:space="0" w:color="auto"/>
          </w:divBdr>
        </w:div>
        <w:div w:id="2024703600">
          <w:marLeft w:val="0"/>
          <w:marRight w:val="0"/>
          <w:marTop w:val="0"/>
          <w:marBottom w:val="0"/>
          <w:divBdr>
            <w:top w:val="none" w:sz="0" w:space="0" w:color="auto"/>
            <w:left w:val="none" w:sz="0" w:space="0" w:color="auto"/>
            <w:bottom w:val="none" w:sz="0" w:space="0" w:color="auto"/>
            <w:right w:val="none" w:sz="0" w:space="0" w:color="auto"/>
          </w:divBdr>
        </w:div>
        <w:div w:id="2024703601">
          <w:marLeft w:val="0"/>
          <w:marRight w:val="0"/>
          <w:marTop w:val="0"/>
          <w:marBottom w:val="0"/>
          <w:divBdr>
            <w:top w:val="none" w:sz="0" w:space="0" w:color="auto"/>
            <w:left w:val="none" w:sz="0" w:space="0" w:color="auto"/>
            <w:bottom w:val="none" w:sz="0" w:space="0" w:color="auto"/>
            <w:right w:val="none" w:sz="0" w:space="0" w:color="auto"/>
          </w:divBdr>
        </w:div>
        <w:div w:id="2024703602">
          <w:marLeft w:val="0"/>
          <w:marRight w:val="0"/>
          <w:marTop w:val="0"/>
          <w:marBottom w:val="0"/>
          <w:divBdr>
            <w:top w:val="none" w:sz="0" w:space="0" w:color="auto"/>
            <w:left w:val="none" w:sz="0" w:space="0" w:color="auto"/>
            <w:bottom w:val="none" w:sz="0" w:space="0" w:color="auto"/>
            <w:right w:val="none" w:sz="0" w:space="0" w:color="auto"/>
          </w:divBdr>
        </w:div>
        <w:div w:id="2024703603">
          <w:marLeft w:val="0"/>
          <w:marRight w:val="0"/>
          <w:marTop w:val="0"/>
          <w:marBottom w:val="0"/>
          <w:divBdr>
            <w:top w:val="none" w:sz="0" w:space="0" w:color="auto"/>
            <w:left w:val="none" w:sz="0" w:space="0" w:color="auto"/>
            <w:bottom w:val="none" w:sz="0" w:space="0" w:color="auto"/>
            <w:right w:val="none" w:sz="0" w:space="0" w:color="auto"/>
          </w:divBdr>
        </w:div>
        <w:div w:id="2024703604">
          <w:marLeft w:val="0"/>
          <w:marRight w:val="0"/>
          <w:marTop w:val="0"/>
          <w:marBottom w:val="0"/>
          <w:divBdr>
            <w:top w:val="none" w:sz="0" w:space="0" w:color="auto"/>
            <w:left w:val="none" w:sz="0" w:space="0" w:color="auto"/>
            <w:bottom w:val="none" w:sz="0" w:space="0" w:color="auto"/>
            <w:right w:val="none" w:sz="0" w:space="0" w:color="auto"/>
          </w:divBdr>
        </w:div>
        <w:div w:id="2024703605">
          <w:marLeft w:val="0"/>
          <w:marRight w:val="0"/>
          <w:marTop w:val="0"/>
          <w:marBottom w:val="0"/>
          <w:divBdr>
            <w:top w:val="none" w:sz="0" w:space="0" w:color="auto"/>
            <w:left w:val="none" w:sz="0" w:space="0" w:color="auto"/>
            <w:bottom w:val="none" w:sz="0" w:space="0" w:color="auto"/>
            <w:right w:val="none" w:sz="0" w:space="0" w:color="auto"/>
          </w:divBdr>
        </w:div>
        <w:div w:id="2024703606">
          <w:marLeft w:val="0"/>
          <w:marRight w:val="0"/>
          <w:marTop w:val="0"/>
          <w:marBottom w:val="0"/>
          <w:divBdr>
            <w:top w:val="none" w:sz="0" w:space="0" w:color="auto"/>
            <w:left w:val="none" w:sz="0" w:space="0" w:color="auto"/>
            <w:bottom w:val="none" w:sz="0" w:space="0" w:color="auto"/>
            <w:right w:val="none" w:sz="0" w:space="0" w:color="auto"/>
          </w:divBdr>
        </w:div>
        <w:div w:id="2024703607">
          <w:marLeft w:val="0"/>
          <w:marRight w:val="0"/>
          <w:marTop w:val="0"/>
          <w:marBottom w:val="0"/>
          <w:divBdr>
            <w:top w:val="none" w:sz="0" w:space="0" w:color="auto"/>
            <w:left w:val="none" w:sz="0" w:space="0" w:color="auto"/>
            <w:bottom w:val="none" w:sz="0" w:space="0" w:color="auto"/>
            <w:right w:val="none" w:sz="0" w:space="0" w:color="auto"/>
          </w:divBdr>
        </w:div>
        <w:div w:id="2024703608">
          <w:marLeft w:val="0"/>
          <w:marRight w:val="0"/>
          <w:marTop w:val="0"/>
          <w:marBottom w:val="0"/>
          <w:divBdr>
            <w:top w:val="none" w:sz="0" w:space="0" w:color="auto"/>
            <w:left w:val="none" w:sz="0" w:space="0" w:color="auto"/>
            <w:bottom w:val="none" w:sz="0" w:space="0" w:color="auto"/>
            <w:right w:val="none" w:sz="0" w:space="0" w:color="auto"/>
          </w:divBdr>
        </w:div>
        <w:div w:id="2024703609">
          <w:marLeft w:val="0"/>
          <w:marRight w:val="0"/>
          <w:marTop w:val="0"/>
          <w:marBottom w:val="0"/>
          <w:divBdr>
            <w:top w:val="none" w:sz="0" w:space="0" w:color="auto"/>
            <w:left w:val="none" w:sz="0" w:space="0" w:color="auto"/>
            <w:bottom w:val="none" w:sz="0" w:space="0" w:color="auto"/>
            <w:right w:val="none" w:sz="0" w:space="0" w:color="auto"/>
          </w:divBdr>
        </w:div>
        <w:div w:id="2024703610">
          <w:marLeft w:val="0"/>
          <w:marRight w:val="0"/>
          <w:marTop w:val="0"/>
          <w:marBottom w:val="0"/>
          <w:divBdr>
            <w:top w:val="none" w:sz="0" w:space="0" w:color="auto"/>
            <w:left w:val="none" w:sz="0" w:space="0" w:color="auto"/>
            <w:bottom w:val="none" w:sz="0" w:space="0" w:color="auto"/>
            <w:right w:val="none" w:sz="0" w:space="0" w:color="auto"/>
          </w:divBdr>
        </w:div>
        <w:div w:id="2024703611">
          <w:marLeft w:val="0"/>
          <w:marRight w:val="0"/>
          <w:marTop w:val="0"/>
          <w:marBottom w:val="0"/>
          <w:divBdr>
            <w:top w:val="none" w:sz="0" w:space="0" w:color="auto"/>
            <w:left w:val="none" w:sz="0" w:space="0" w:color="auto"/>
            <w:bottom w:val="none" w:sz="0" w:space="0" w:color="auto"/>
            <w:right w:val="none" w:sz="0" w:space="0" w:color="auto"/>
          </w:divBdr>
        </w:div>
        <w:div w:id="2024703612">
          <w:marLeft w:val="0"/>
          <w:marRight w:val="0"/>
          <w:marTop w:val="0"/>
          <w:marBottom w:val="0"/>
          <w:divBdr>
            <w:top w:val="none" w:sz="0" w:space="0" w:color="auto"/>
            <w:left w:val="none" w:sz="0" w:space="0" w:color="auto"/>
            <w:bottom w:val="none" w:sz="0" w:space="0" w:color="auto"/>
            <w:right w:val="none" w:sz="0" w:space="0" w:color="auto"/>
          </w:divBdr>
        </w:div>
        <w:div w:id="2024703613">
          <w:marLeft w:val="0"/>
          <w:marRight w:val="0"/>
          <w:marTop w:val="0"/>
          <w:marBottom w:val="0"/>
          <w:divBdr>
            <w:top w:val="none" w:sz="0" w:space="0" w:color="auto"/>
            <w:left w:val="none" w:sz="0" w:space="0" w:color="auto"/>
            <w:bottom w:val="none" w:sz="0" w:space="0" w:color="auto"/>
            <w:right w:val="none" w:sz="0" w:space="0" w:color="auto"/>
          </w:divBdr>
        </w:div>
        <w:div w:id="2024703614">
          <w:marLeft w:val="0"/>
          <w:marRight w:val="0"/>
          <w:marTop w:val="0"/>
          <w:marBottom w:val="0"/>
          <w:divBdr>
            <w:top w:val="none" w:sz="0" w:space="0" w:color="auto"/>
            <w:left w:val="none" w:sz="0" w:space="0" w:color="auto"/>
            <w:bottom w:val="none" w:sz="0" w:space="0" w:color="auto"/>
            <w:right w:val="none" w:sz="0" w:space="0" w:color="auto"/>
          </w:divBdr>
        </w:div>
        <w:div w:id="2024703615">
          <w:marLeft w:val="0"/>
          <w:marRight w:val="0"/>
          <w:marTop w:val="0"/>
          <w:marBottom w:val="0"/>
          <w:divBdr>
            <w:top w:val="none" w:sz="0" w:space="0" w:color="auto"/>
            <w:left w:val="none" w:sz="0" w:space="0" w:color="auto"/>
            <w:bottom w:val="none" w:sz="0" w:space="0" w:color="auto"/>
            <w:right w:val="none" w:sz="0" w:space="0" w:color="auto"/>
          </w:divBdr>
        </w:div>
        <w:div w:id="2024703616">
          <w:marLeft w:val="0"/>
          <w:marRight w:val="0"/>
          <w:marTop w:val="0"/>
          <w:marBottom w:val="0"/>
          <w:divBdr>
            <w:top w:val="none" w:sz="0" w:space="0" w:color="auto"/>
            <w:left w:val="none" w:sz="0" w:space="0" w:color="auto"/>
            <w:bottom w:val="none" w:sz="0" w:space="0" w:color="auto"/>
            <w:right w:val="none" w:sz="0" w:space="0" w:color="auto"/>
          </w:divBdr>
        </w:div>
        <w:div w:id="2024703617">
          <w:marLeft w:val="0"/>
          <w:marRight w:val="0"/>
          <w:marTop w:val="0"/>
          <w:marBottom w:val="0"/>
          <w:divBdr>
            <w:top w:val="none" w:sz="0" w:space="0" w:color="auto"/>
            <w:left w:val="none" w:sz="0" w:space="0" w:color="auto"/>
            <w:bottom w:val="none" w:sz="0" w:space="0" w:color="auto"/>
            <w:right w:val="none" w:sz="0" w:space="0" w:color="auto"/>
          </w:divBdr>
        </w:div>
        <w:div w:id="2024703618">
          <w:marLeft w:val="0"/>
          <w:marRight w:val="0"/>
          <w:marTop w:val="0"/>
          <w:marBottom w:val="0"/>
          <w:divBdr>
            <w:top w:val="none" w:sz="0" w:space="0" w:color="auto"/>
            <w:left w:val="none" w:sz="0" w:space="0" w:color="auto"/>
            <w:bottom w:val="none" w:sz="0" w:space="0" w:color="auto"/>
            <w:right w:val="none" w:sz="0" w:space="0" w:color="auto"/>
          </w:divBdr>
        </w:div>
        <w:div w:id="2024703619">
          <w:marLeft w:val="0"/>
          <w:marRight w:val="0"/>
          <w:marTop w:val="0"/>
          <w:marBottom w:val="0"/>
          <w:divBdr>
            <w:top w:val="none" w:sz="0" w:space="0" w:color="auto"/>
            <w:left w:val="none" w:sz="0" w:space="0" w:color="auto"/>
            <w:bottom w:val="none" w:sz="0" w:space="0" w:color="auto"/>
            <w:right w:val="none" w:sz="0" w:space="0" w:color="auto"/>
          </w:divBdr>
        </w:div>
        <w:div w:id="2024703620">
          <w:marLeft w:val="0"/>
          <w:marRight w:val="0"/>
          <w:marTop w:val="0"/>
          <w:marBottom w:val="0"/>
          <w:divBdr>
            <w:top w:val="none" w:sz="0" w:space="0" w:color="auto"/>
            <w:left w:val="none" w:sz="0" w:space="0" w:color="auto"/>
            <w:bottom w:val="none" w:sz="0" w:space="0" w:color="auto"/>
            <w:right w:val="none" w:sz="0" w:space="0" w:color="auto"/>
          </w:divBdr>
        </w:div>
        <w:div w:id="2024703621">
          <w:marLeft w:val="0"/>
          <w:marRight w:val="0"/>
          <w:marTop w:val="0"/>
          <w:marBottom w:val="0"/>
          <w:divBdr>
            <w:top w:val="none" w:sz="0" w:space="0" w:color="auto"/>
            <w:left w:val="none" w:sz="0" w:space="0" w:color="auto"/>
            <w:bottom w:val="none" w:sz="0" w:space="0" w:color="auto"/>
            <w:right w:val="none" w:sz="0" w:space="0" w:color="auto"/>
          </w:divBdr>
        </w:div>
        <w:div w:id="2024703622">
          <w:marLeft w:val="0"/>
          <w:marRight w:val="0"/>
          <w:marTop w:val="0"/>
          <w:marBottom w:val="0"/>
          <w:divBdr>
            <w:top w:val="none" w:sz="0" w:space="0" w:color="auto"/>
            <w:left w:val="none" w:sz="0" w:space="0" w:color="auto"/>
            <w:bottom w:val="none" w:sz="0" w:space="0" w:color="auto"/>
            <w:right w:val="none" w:sz="0" w:space="0" w:color="auto"/>
          </w:divBdr>
        </w:div>
        <w:div w:id="2024703623">
          <w:marLeft w:val="0"/>
          <w:marRight w:val="0"/>
          <w:marTop w:val="0"/>
          <w:marBottom w:val="0"/>
          <w:divBdr>
            <w:top w:val="none" w:sz="0" w:space="0" w:color="auto"/>
            <w:left w:val="none" w:sz="0" w:space="0" w:color="auto"/>
            <w:bottom w:val="none" w:sz="0" w:space="0" w:color="auto"/>
            <w:right w:val="none" w:sz="0" w:space="0" w:color="auto"/>
          </w:divBdr>
        </w:div>
        <w:div w:id="2024703624">
          <w:marLeft w:val="0"/>
          <w:marRight w:val="0"/>
          <w:marTop w:val="0"/>
          <w:marBottom w:val="0"/>
          <w:divBdr>
            <w:top w:val="none" w:sz="0" w:space="0" w:color="auto"/>
            <w:left w:val="none" w:sz="0" w:space="0" w:color="auto"/>
            <w:bottom w:val="none" w:sz="0" w:space="0" w:color="auto"/>
            <w:right w:val="none" w:sz="0" w:space="0" w:color="auto"/>
          </w:divBdr>
        </w:div>
        <w:div w:id="2024703625">
          <w:marLeft w:val="0"/>
          <w:marRight w:val="0"/>
          <w:marTop w:val="0"/>
          <w:marBottom w:val="0"/>
          <w:divBdr>
            <w:top w:val="none" w:sz="0" w:space="0" w:color="auto"/>
            <w:left w:val="none" w:sz="0" w:space="0" w:color="auto"/>
            <w:bottom w:val="none" w:sz="0" w:space="0" w:color="auto"/>
            <w:right w:val="none" w:sz="0" w:space="0" w:color="auto"/>
          </w:divBdr>
        </w:div>
        <w:div w:id="2024703626">
          <w:marLeft w:val="0"/>
          <w:marRight w:val="0"/>
          <w:marTop w:val="0"/>
          <w:marBottom w:val="0"/>
          <w:divBdr>
            <w:top w:val="none" w:sz="0" w:space="0" w:color="auto"/>
            <w:left w:val="none" w:sz="0" w:space="0" w:color="auto"/>
            <w:bottom w:val="none" w:sz="0" w:space="0" w:color="auto"/>
            <w:right w:val="none" w:sz="0" w:space="0" w:color="auto"/>
          </w:divBdr>
        </w:div>
        <w:div w:id="2024703627">
          <w:marLeft w:val="0"/>
          <w:marRight w:val="0"/>
          <w:marTop w:val="0"/>
          <w:marBottom w:val="0"/>
          <w:divBdr>
            <w:top w:val="none" w:sz="0" w:space="0" w:color="auto"/>
            <w:left w:val="none" w:sz="0" w:space="0" w:color="auto"/>
            <w:bottom w:val="none" w:sz="0" w:space="0" w:color="auto"/>
            <w:right w:val="none" w:sz="0" w:space="0" w:color="auto"/>
          </w:divBdr>
        </w:div>
        <w:div w:id="2024703628">
          <w:marLeft w:val="0"/>
          <w:marRight w:val="0"/>
          <w:marTop w:val="0"/>
          <w:marBottom w:val="0"/>
          <w:divBdr>
            <w:top w:val="none" w:sz="0" w:space="0" w:color="auto"/>
            <w:left w:val="none" w:sz="0" w:space="0" w:color="auto"/>
            <w:bottom w:val="none" w:sz="0" w:space="0" w:color="auto"/>
            <w:right w:val="none" w:sz="0" w:space="0" w:color="auto"/>
          </w:divBdr>
        </w:div>
        <w:div w:id="2024703629">
          <w:marLeft w:val="0"/>
          <w:marRight w:val="0"/>
          <w:marTop w:val="0"/>
          <w:marBottom w:val="0"/>
          <w:divBdr>
            <w:top w:val="none" w:sz="0" w:space="0" w:color="auto"/>
            <w:left w:val="none" w:sz="0" w:space="0" w:color="auto"/>
            <w:bottom w:val="none" w:sz="0" w:space="0" w:color="auto"/>
            <w:right w:val="none" w:sz="0" w:space="0" w:color="auto"/>
          </w:divBdr>
        </w:div>
        <w:div w:id="2024703630">
          <w:marLeft w:val="0"/>
          <w:marRight w:val="0"/>
          <w:marTop w:val="0"/>
          <w:marBottom w:val="0"/>
          <w:divBdr>
            <w:top w:val="none" w:sz="0" w:space="0" w:color="auto"/>
            <w:left w:val="none" w:sz="0" w:space="0" w:color="auto"/>
            <w:bottom w:val="none" w:sz="0" w:space="0" w:color="auto"/>
            <w:right w:val="none" w:sz="0" w:space="0" w:color="auto"/>
          </w:divBdr>
        </w:div>
        <w:div w:id="2024703631">
          <w:marLeft w:val="0"/>
          <w:marRight w:val="0"/>
          <w:marTop w:val="0"/>
          <w:marBottom w:val="0"/>
          <w:divBdr>
            <w:top w:val="none" w:sz="0" w:space="0" w:color="auto"/>
            <w:left w:val="none" w:sz="0" w:space="0" w:color="auto"/>
            <w:bottom w:val="none" w:sz="0" w:space="0" w:color="auto"/>
            <w:right w:val="none" w:sz="0" w:space="0" w:color="auto"/>
          </w:divBdr>
        </w:div>
        <w:div w:id="2024703632">
          <w:marLeft w:val="0"/>
          <w:marRight w:val="0"/>
          <w:marTop w:val="0"/>
          <w:marBottom w:val="0"/>
          <w:divBdr>
            <w:top w:val="none" w:sz="0" w:space="0" w:color="auto"/>
            <w:left w:val="none" w:sz="0" w:space="0" w:color="auto"/>
            <w:bottom w:val="none" w:sz="0" w:space="0" w:color="auto"/>
            <w:right w:val="none" w:sz="0" w:space="0" w:color="auto"/>
          </w:divBdr>
        </w:div>
        <w:div w:id="2024703633">
          <w:marLeft w:val="0"/>
          <w:marRight w:val="0"/>
          <w:marTop w:val="0"/>
          <w:marBottom w:val="0"/>
          <w:divBdr>
            <w:top w:val="none" w:sz="0" w:space="0" w:color="auto"/>
            <w:left w:val="none" w:sz="0" w:space="0" w:color="auto"/>
            <w:bottom w:val="none" w:sz="0" w:space="0" w:color="auto"/>
            <w:right w:val="none" w:sz="0" w:space="0" w:color="auto"/>
          </w:divBdr>
        </w:div>
        <w:div w:id="2024703634">
          <w:marLeft w:val="0"/>
          <w:marRight w:val="0"/>
          <w:marTop w:val="0"/>
          <w:marBottom w:val="0"/>
          <w:divBdr>
            <w:top w:val="none" w:sz="0" w:space="0" w:color="auto"/>
            <w:left w:val="none" w:sz="0" w:space="0" w:color="auto"/>
            <w:bottom w:val="none" w:sz="0" w:space="0" w:color="auto"/>
            <w:right w:val="none" w:sz="0" w:space="0" w:color="auto"/>
          </w:divBdr>
        </w:div>
        <w:div w:id="2024703635">
          <w:marLeft w:val="0"/>
          <w:marRight w:val="0"/>
          <w:marTop w:val="0"/>
          <w:marBottom w:val="0"/>
          <w:divBdr>
            <w:top w:val="none" w:sz="0" w:space="0" w:color="auto"/>
            <w:left w:val="none" w:sz="0" w:space="0" w:color="auto"/>
            <w:bottom w:val="none" w:sz="0" w:space="0" w:color="auto"/>
            <w:right w:val="none" w:sz="0" w:space="0" w:color="auto"/>
          </w:divBdr>
        </w:div>
        <w:div w:id="2024703636">
          <w:marLeft w:val="0"/>
          <w:marRight w:val="0"/>
          <w:marTop w:val="0"/>
          <w:marBottom w:val="0"/>
          <w:divBdr>
            <w:top w:val="none" w:sz="0" w:space="0" w:color="auto"/>
            <w:left w:val="none" w:sz="0" w:space="0" w:color="auto"/>
            <w:bottom w:val="none" w:sz="0" w:space="0" w:color="auto"/>
            <w:right w:val="none" w:sz="0" w:space="0" w:color="auto"/>
          </w:divBdr>
        </w:div>
        <w:div w:id="2024703637">
          <w:marLeft w:val="0"/>
          <w:marRight w:val="0"/>
          <w:marTop w:val="0"/>
          <w:marBottom w:val="0"/>
          <w:divBdr>
            <w:top w:val="none" w:sz="0" w:space="0" w:color="auto"/>
            <w:left w:val="none" w:sz="0" w:space="0" w:color="auto"/>
            <w:bottom w:val="none" w:sz="0" w:space="0" w:color="auto"/>
            <w:right w:val="none" w:sz="0" w:space="0" w:color="auto"/>
          </w:divBdr>
        </w:div>
        <w:div w:id="2024703638">
          <w:marLeft w:val="0"/>
          <w:marRight w:val="0"/>
          <w:marTop w:val="0"/>
          <w:marBottom w:val="0"/>
          <w:divBdr>
            <w:top w:val="none" w:sz="0" w:space="0" w:color="auto"/>
            <w:left w:val="none" w:sz="0" w:space="0" w:color="auto"/>
            <w:bottom w:val="none" w:sz="0" w:space="0" w:color="auto"/>
            <w:right w:val="none" w:sz="0" w:space="0" w:color="auto"/>
          </w:divBdr>
        </w:div>
        <w:div w:id="2024703639">
          <w:marLeft w:val="0"/>
          <w:marRight w:val="0"/>
          <w:marTop w:val="0"/>
          <w:marBottom w:val="0"/>
          <w:divBdr>
            <w:top w:val="none" w:sz="0" w:space="0" w:color="auto"/>
            <w:left w:val="none" w:sz="0" w:space="0" w:color="auto"/>
            <w:bottom w:val="none" w:sz="0" w:space="0" w:color="auto"/>
            <w:right w:val="none" w:sz="0" w:space="0" w:color="auto"/>
          </w:divBdr>
        </w:div>
        <w:div w:id="2024703640">
          <w:marLeft w:val="0"/>
          <w:marRight w:val="0"/>
          <w:marTop w:val="0"/>
          <w:marBottom w:val="0"/>
          <w:divBdr>
            <w:top w:val="none" w:sz="0" w:space="0" w:color="auto"/>
            <w:left w:val="none" w:sz="0" w:space="0" w:color="auto"/>
            <w:bottom w:val="none" w:sz="0" w:space="0" w:color="auto"/>
            <w:right w:val="none" w:sz="0" w:space="0" w:color="auto"/>
          </w:divBdr>
        </w:div>
        <w:div w:id="2024703641">
          <w:marLeft w:val="0"/>
          <w:marRight w:val="0"/>
          <w:marTop w:val="0"/>
          <w:marBottom w:val="0"/>
          <w:divBdr>
            <w:top w:val="none" w:sz="0" w:space="0" w:color="auto"/>
            <w:left w:val="none" w:sz="0" w:space="0" w:color="auto"/>
            <w:bottom w:val="none" w:sz="0" w:space="0" w:color="auto"/>
            <w:right w:val="none" w:sz="0" w:space="0" w:color="auto"/>
          </w:divBdr>
        </w:div>
        <w:div w:id="2024703642">
          <w:marLeft w:val="0"/>
          <w:marRight w:val="0"/>
          <w:marTop w:val="0"/>
          <w:marBottom w:val="0"/>
          <w:divBdr>
            <w:top w:val="none" w:sz="0" w:space="0" w:color="auto"/>
            <w:left w:val="none" w:sz="0" w:space="0" w:color="auto"/>
            <w:bottom w:val="none" w:sz="0" w:space="0" w:color="auto"/>
            <w:right w:val="none" w:sz="0" w:space="0" w:color="auto"/>
          </w:divBdr>
        </w:div>
        <w:div w:id="2024703643">
          <w:marLeft w:val="0"/>
          <w:marRight w:val="0"/>
          <w:marTop w:val="0"/>
          <w:marBottom w:val="0"/>
          <w:divBdr>
            <w:top w:val="none" w:sz="0" w:space="0" w:color="auto"/>
            <w:left w:val="none" w:sz="0" w:space="0" w:color="auto"/>
            <w:bottom w:val="none" w:sz="0" w:space="0" w:color="auto"/>
            <w:right w:val="none" w:sz="0" w:space="0" w:color="auto"/>
          </w:divBdr>
        </w:div>
        <w:div w:id="2024703644">
          <w:marLeft w:val="0"/>
          <w:marRight w:val="0"/>
          <w:marTop w:val="0"/>
          <w:marBottom w:val="0"/>
          <w:divBdr>
            <w:top w:val="none" w:sz="0" w:space="0" w:color="auto"/>
            <w:left w:val="none" w:sz="0" w:space="0" w:color="auto"/>
            <w:bottom w:val="none" w:sz="0" w:space="0" w:color="auto"/>
            <w:right w:val="none" w:sz="0" w:space="0" w:color="auto"/>
          </w:divBdr>
        </w:div>
        <w:div w:id="2024703645">
          <w:marLeft w:val="0"/>
          <w:marRight w:val="0"/>
          <w:marTop w:val="0"/>
          <w:marBottom w:val="0"/>
          <w:divBdr>
            <w:top w:val="none" w:sz="0" w:space="0" w:color="auto"/>
            <w:left w:val="none" w:sz="0" w:space="0" w:color="auto"/>
            <w:bottom w:val="none" w:sz="0" w:space="0" w:color="auto"/>
            <w:right w:val="none" w:sz="0" w:space="0" w:color="auto"/>
          </w:divBdr>
        </w:div>
        <w:div w:id="2024703646">
          <w:marLeft w:val="0"/>
          <w:marRight w:val="0"/>
          <w:marTop w:val="0"/>
          <w:marBottom w:val="0"/>
          <w:divBdr>
            <w:top w:val="none" w:sz="0" w:space="0" w:color="auto"/>
            <w:left w:val="none" w:sz="0" w:space="0" w:color="auto"/>
            <w:bottom w:val="none" w:sz="0" w:space="0" w:color="auto"/>
            <w:right w:val="none" w:sz="0" w:space="0" w:color="auto"/>
          </w:divBdr>
        </w:div>
        <w:div w:id="2024703647">
          <w:marLeft w:val="0"/>
          <w:marRight w:val="0"/>
          <w:marTop w:val="0"/>
          <w:marBottom w:val="0"/>
          <w:divBdr>
            <w:top w:val="none" w:sz="0" w:space="0" w:color="auto"/>
            <w:left w:val="none" w:sz="0" w:space="0" w:color="auto"/>
            <w:bottom w:val="none" w:sz="0" w:space="0" w:color="auto"/>
            <w:right w:val="none" w:sz="0" w:space="0" w:color="auto"/>
          </w:divBdr>
        </w:div>
        <w:div w:id="2024703648">
          <w:marLeft w:val="0"/>
          <w:marRight w:val="0"/>
          <w:marTop w:val="0"/>
          <w:marBottom w:val="0"/>
          <w:divBdr>
            <w:top w:val="none" w:sz="0" w:space="0" w:color="auto"/>
            <w:left w:val="none" w:sz="0" w:space="0" w:color="auto"/>
            <w:bottom w:val="none" w:sz="0" w:space="0" w:color="auto"/>
            <w:right w:val="none" w:sz="0" w:space="0" w:color="auto"/>
          </w:divBdr>
        </w:div>
        <w:div w:id="2024703651">
          <w:marLeft w:val="0"/>
          <w:marRight w:val="0"/>
          <w:marTop w:val="0"/>
          <w:marBottom w:val="0"/>
          <w:divBdr>
            <w:top w:val="none" w:sz="0" w:space="0" w:color="auto"/>
            <w:left w:val="none" w:sz="0" w:space="0" w:color="auto"/>
            <w:bottom w:val="none" w:sz="0" w:space="0" w:color="auto"/>
            <w:right w:val="none" w:sz="0" w:space="0" w:color="auto"/>
          </w:divBdr>
        </w:div>
        <w:div w:id="2024703652">
          <w:marLeft w:val="0"/>
          <w:marRight w:val="0"/>
          <w:marTop w:val="0"/>
          <w:marBottom w:val="0"/>
          <w:divBdr>
            <w:top w:val="none" w:sz="0" w:space="0" w:color="auto"/>
            <w:left w:val="none" w:sz="0" w:space="0" w:color="auto"/>
            <w:bottom w:val="none" w:sz="0" w:space="0" w:color="auto"/>
            <w:right w:val="none" w:sz="0" w:space="0" w:color="auto"/>
          </w:divBdr>
        </w:div>
        <w:div w:id="2024703653">
          <w:marLeft w:val="0"/>
          <w:marRight w:val="0"/>
          <w:marTop w:val="0"/>
          <w:marBottom w:val="0"/>
          <w:divBdr>
            <w:top w:val="none" w:sz="0" w:space="0" w:color="auto"/>
            <w:left w:val="none" w:sz="0" w:space="0" w:color="auto"/>
            <w:bottom w:val="none" w:sz="0" w:space="0" w:color="auto"/>
            <w:right w:val="none" w:sz="0" w:space="0" w:color="auto"/>
          </w:divBdr>
        </w:div>
        <w:div w:id="2024703654">
          <w:marLeft w:val="0"/>
          <w:marRight w:val="0"/>
          <w:marTop w:val="0"/>
          <w:marBottom w:val="0"/>
          <w:divBdr>
            <w:top w:val="none" w:sz="0" w:space="0" w:color="auto"/>
            <w:left w:val="none" w:sz="0" w:space="0" w:color="auto"/>
            <w:bottom w:val="none" w:sz="0" w:space="0" w:color="auto"/>
            <w:right w:val="none" w:sz="0" w:space="0" w:color="auto"/>
          </w:divBdr>
        </w:div>
        <w:div w:id="2024703655">
          <w:marLeft w:val="0"/>
          <w:marRight w:val="0"/>
          <w:marTop w:val="0"/>
          <w:marBottom w:val="0"/>
          <w:divBdr>
            <w:top w:val="none" w:sz="0" w:space="0" w:color="auto"/>
            <w:left w:val="none" w:sz="0" w:space="0" w:color="auto"/>
            <w:bottom w:val="none" w:sz="0" w:space="0" w:color="auto"/>
            <w:right w:val="none" w:sz="0" w:space="0" w:color="auto"/>
          </w:divBdr>
        </w:div>
        <w:div w:id="2024703656">
          <w:marLeft w:val="0"/>
          <w:marRight w:val="0"/>
          <w:marTop w:val="0"/>
          <w:marBottom w:val="0"/>
          <w:divBdr>
            <w:top w:val="none" w:sz="0" w:space="0" w:color="auto"/>
            <w:left w:val="none" w:sz="0" w:space="0" w:color="auto"/>
            <w:bottom w:val="none" w:sz="0" w:space="0" w:color="auto"/>
            <w:right w:val="none" w:sz="0" w:space="0" w:color="auto"/>
          </w:divBdr>
        </w:div>
        <w:div w:id="2024703657">
          <w:marLeft w:val="0"/>
          <w:marRight w:val="0"/>
          <w:marTop w:val="0"/>
          <w:marBottom w:val="0"/>
          <w:divBdr>
            <w:top w:val="none" w:sz="0" w:space="0" w:color="auto"/>
            <w:left w:val="none" w:sz="0" w:space="0" w:color="auto"/>
            <w:bottom w:val="none" w:sz="0" w:space="0" w:color="auto"/>
            <w:right w:val="none" w:sz="0" w:space="0" w:color="auto"/>
          </w:divBdr>
        </w:div>
        <w:div w:id="2024703658">
          <w:marLeft w:val="0"/>
          <w:marRight w:val="0"/>
          <w:marTop w:val="0"/>
          <w:marBottom w:val="0"/>
          <w:divBdr>
            <w:top w:val="none" w:sz="0" w:space="0" w:color="auto"/>
            <w:left w:val="none" w:sz="0" w:space="0" w:color="auto"/>
            <w:bottom w:val="none" w:sz="0" w:space="0" w:color="auto"/>
            <w:right w:val="none" w:sz="0" w:space="0" w:color="auto"/>
          </w:divBdr>
        </w:div>
        <w:div w:id="2024703659">
          <w:marLeft w:val="0"/>
          <w:marRight w:val="0"/>
          <w:marTop w:val="0"/>
          <w:marBottom w:val="0"/>
          <w:divBdr>
            <w:top w:val="none" w:sz="0" w:space="0" w:color="auto"/>
            <w:left w:val="none" w:sz="0" w:space="0" w:color="auto"/>
            <w:bottom w:val="none" w:sz="0" w:space="0" w:color="auto"/>
            <w:right w:val="none" w:sz="0" w:space="0" w:color="auto"/>
          </w:divBdr>
        </w:div>
        <w:div w:id="2024703660">
          <w:marLeft w:val="0"/>
          <w:marRight w:val="0"/>
          <w:marTop w:val="0"/>
          <w:marBottom w:val="0"/>
          <w:divBdr>
            <w:top w:val="none" w:sz="0" w:space="0" w:color="auto"/>
            <w:left w:val="none" w:sz="0" w:space="0" w:color="auto"/>
            <w:bottom w:val="none" w:sz="0" w:space="0" w:color="auto"/>
            <w:right w:val="none" w:sz="0" w:space="0" w:color="auto"/>
          </w:divBdr>
        </w:div>
        <w:div w:id="2024703661">
          <w:marLeft w:val="0"/>
          <w:marRight w:val="0"/>
          <w:marTop w:val="0"/>
          <w:marBottom w:val="0"/>
          <w:divBdr>
            <w:top w:val="none" w:sz="0" w:space="0" w:color="auto"/>
            <w:left w:val="none" w:sz="0" w:space="0" w:color="auto"/>
            <w:bottom w:val="none" w:sz="0" w:space="0" w:color="auto"/>
            <w:right w:val="none" w:sz="0" w:space="0" w:color="auto"/>
          </w:divBdr>
        </w:div>
        <w:div w:id="2024703662">
          <w:marLeft w:val="0"/>
          <w:marRight w:val="0"/>
          <w:marTop w:val="0"/>
          <w:marBottom w:val="0"/>
          <w:divBdr>
            <w:top w:val="none" w:sz="0" w:space="0" w:color="auto"/>
            <w:left w:val="none" w:sz="0" w:space="0" w:color="auto"/>
            <w:bottom w:val="none" w:sz="0" w:space="0" w:color="auto"/>
            <w:right w:val="none" w:sz="0" w:space="0" w:color="auto"/>
          </w:divBdr>
        </w:div>
        <w:div w:id="2024703663">
          <w:marLeft w:val="0"/>
          <w:marRight w:val="0"/>
          <w:marTop w:val="0"/>
          <w:marBottom w:val="0"/>
          <w:divBdr>
            <w:top w:val="none" w:sz="0" w:space="0" w:color="auto"/>
            <w:left w:val="none" w:sz="0" w:space="0" w:color="auto"/>
            <w:bottom w:val="none" w:sz="0" w:space="0" w:color="auto"/>
            <w:right w:val="none" w:sz="0" w:space="0" w:color="auto"/>
          </w:divBdr>
        </w:div>
        <w:div w:id="2024703664">
          <w:marLeft w:val="0"/>
          <w:marRight w:val="0"/>
          <w:marTop w:val="0"/>
          <w:marBottom w:val="0"/>
          <w:divBdr>
            <w:top w:val="none" w:sz="0" w:space="0" w:color="auto"/>
            <w:left w:val="none" w:sz="0" w:space="0" w:color="auto"/>
            <w:bottom w:val="none" w:sz="0" w:space="0" w:color="auto"/>
            <w:right w:val="none" w:sz="0" w:space="0" w:color="auto"/>
          </w:divBdr>
        </w:div>
        <w:div w:id="2024703665">
          <w:marLeft w:val="0"/>
          <w:marRight w:val="0"/>
          <w:marTop w:val="0"/>
          <w:marBottom w:val="0"/>
          <w:divBdr>
            <w:top w:val="none" w:sz="0" w:space="0" w:color="auto"/>
            <w:left w:val="none" w:sz="0" w:space="0" w:color="auto"/>
            <w:bottom w:val="none" w:sz="0" w:space="0" w:color="auto"/>
            <w:right w:val="none" w:sz="0" w:space="0" w:color="auto"/>
          </w:divBdr>
        </w:div>
        <w:div w:id="2024703666">
          <w:marLeft w:val="0"/>
          <w:marRight w:val="0"/>
          <w:marTop w:val="0"/>
          <w:marBottom w:val="0"/>
          <w:divBdr>
            <w:top w:val="none" w:sz="0" w:space="0" w:color="auto"/>
            <w:left w:val="none" w:sz="0" w:space="0" w:color="auto"/>
            <w:bottom w:val="none" w:sz="0" w:space="0" w:color="auto"/>
            <w:right w:val="none" w:sz="0" w:space="0" w:color="auto"/>
          </w:divBdr>
        </w:div>
        <w:div w:id="2024703667">
          <w:marLeft w:val="0"/>
          <w:marRight w:val="0"/>
          <w:marTop w:val="0"/>
          <w:marBottom w:val="0"/>
          <w:divBdr>
            <w:top w:val="none" w:sz="0" w:space="0" w:color="auto"/>
            <w:left w:val="none" w:sz="0" w:space="0" w:color="auto"/>
            <w:bottom w:val="none" w:sz="0" w:space="0" w:color="auto"/>
            <w:right w:val="none" w:sz="0" w:space="0" w:color="auto"/>
          </w:divBdr>
        </w:div>
        <w:div w:id="2024703668">
          <w:marLeft w:val="0"/>
          <w:marRight w:val="0"/>
          <w:marTop w:val="0"/>
          <w:marBottom w:val="0"/>
          <w:divBdr>
            <w:top w:val="none" w:sz="0" w:space="0" w:color="auto"/>
            <w:left w:val="none" w:sz="0" w:space="0" w:color="auto"/>
            <w:bottom w:val="none" w:sz="0" w:space="0" w:color="auto"/>
            <w:right w:val="none" w:sz="0" w:space="0" w:color="auto"/>
          </w:divBdr>
        </w:div>
        <w:div w:id="2024703669">
          <w:marLeft w:val="0"/>
          <w:marRight w:val="0"/>
          <w:marTop w:val="0"/>
          <w:marBottom w:val="0"/>
          <w:divBdr>
            <w:top w:val="none" w:sz="0" w:space="0" w:color="auto"/>
            <w:left w:val="none" w:sz="0" w:space="0" w:color="auto"/>
            <w:bottom w:val="none" w:sz="0" w:space="0" w:color="auto"/>
            <w:right w:val="none" w:sz="0" w:space="0" w:color="auto"/>
          </w:divBdr>
        </w:div>
        <w:div w:id="2024703670">
          <w:marLeft w:val="0"/>
          <w:marRight w:val="0"/>
          <w:marTop w:val="0"/>
          <w:marBottom w:val="0"/>
          <w:divBdr>
            <w:top w:val="none" w:sz="0" w:space="0" w:color="auto"/>
            <w:left w:val="none" w:sz="0" w:space="0" w:color="auto"/>
            <w:bottom w:val="none" w:sz="0" w:space="0" w:color="auto"/>
            <w:right w:val="none" w:sz="0" w:space="0" w:color="auto"/>
          </w:divBdr>
        </w:div>
        <w:div w:id="2024703671">
          <w:marLeft w:val="0"/>
          <w:marRight w:val="0"/>
          <w:marTop w:val="0"/>
          <w:marBottom w:val="0"/>
          <w:divBdr>
            <w:top w:val="none" w:sz="0" w:space="0" w:color="auto"/>
            <w:left w:val="none" w:sz="0" w:space="0" w:color="auto"/>
            <w:bottom w:val="none" w:sz="0" w:space="0" w:color="auto"/>
            <w:right w:val="none" w:sz="0" w:space="0" w:color="auto"/>
          </w:divBdr>
        </w:div>
        <w:div w:id="2024703672">
          <w:marLeft w:val="0"/>
          <w:marRight w:val="0"/>
          <w:marTop w:val="0"/>
          <w:marBottom w:val="0"/>
          <w:divBdr>
            <w:top w:val="none" w:sz="0" w:space="0" w:color="auto"/>
            <w:left w:val="none" w:sz="0" w:space="0" w:color="auto"/>
            <w:bottom w:val="none" w:sz="0" w:space="0" w:color="auto"/>
            <w:right w:val="none" w:sz="0" w:space="0" w:color="auto"/>
          </w:divBdr>
        </w:div>
        <w:div w:id="2024703674">
          <w:marLeft w:val="0"/>
          <w:marRight w:val="0"/>
          <w:marTop w:val="0"/>
          <w:marBottom w:val="0"/>
          <w:divBdr>
            <w:top w:val="none" w:sz="0" w:space="0" w:color="auto"/>
            <w:left w:val="none" w:sz="0" w:space="0" w:color="auto"/>
            <w:bottom w:val="none" w:sz="0" w:space="0" w:color="auto"/>
            <w:right w:val="none" w:sz="0" w:space="0" w:color="auto"/>
          </w:divBdr>
        </w:div>
        <w:div w:id="2024703675">
          <w:marLeft w:val="0"/>
          <w:marRight w:val="0"/>
          <w:marTop w:val="0"/>
          <w:marBottom w:val="0"/>
          <w:divBdr>
            <w:top w:val="none" w:sz="0" w:space="0" w:color="auto"/>
            <w:left w:val="none" w:sz="0" w:space="0" w:color="auto"/>
            <w:bottom w:val="none" w:sz="0" w:space="0" w:color="auto"/>
            <w:right w:val="none" w:sz="0" w:space="0" w:color="auto"/>
          </w:divBdr>
        </w:div>
        <w:div w:id="2024703676">
          <w:marLeft w:val="0"/>
          <w:marRight w:val="0"/>
          <w:marTop w:val="0"/>
          <w:marBottom w:val="0"/>
          <w:divBdr>
            <w:top w:val="none" w:sz="0" w:space="0" w:color="auto"/>
            <w:left w:val="none" w:sz="0" w:space="0" w:color="auto"/>
            <w:bottom w:val="none" w:sz="0" w:space="0" w:color="auto"/>
            <w:right w:val="none" w:sz="0" w:space="0" w:color="auto"/>
          </w:divBdr>
        </w:div>
        <w:div w:id="2024703677">
          <w:marLeft w:val="0"/>
          <w:marRight w:val="0"/>
          <w:marTop w:val="0"/>
          <w:marBottom w:val="0"/>
          <w:divBdr>
            <w:top w:val="none" w:sz="0" w:space="0" w:color="auto"/>
            <w:left w:val="none" w:sz="0" w:space="0" w:color="auto"/>
            <w:bottom w:val="none" w:sz="0" w:space="0" w:color="auto"/>
            <w:right w:val="none" w:sz="0" w:space="0" w:color="auto"/>
          </w:divBdr>
        </w:div>
        <w:div w:id="2024703678">
          <w:marLeft w:val="0"/>
          <w:marRight w:val="0"/>
          <w:marTop w:val="0"/>
          <w:marBottom w:val="0"/>
          <w:divBdr>
            <w:top w:val="none" w:sz="0" w:space="0" w:color="auto"/>
            <w:left w:val="none" w:sz="0" w:space="0" w:color="auto"/>
            <w:bottom w:val="none" w:sz="0" w:space="0" w:color="auto"/>
            <w:right w:val="none" w:sz="0" w:space="0" w:color="auto"/>
          </w:divBdr>
        </w:div>
        <w:div w:id="2024703679">
          <w:marLeft w:val="0"/>
          <w:marRight w:val="0"/>
          <w:marTop w:val="0"/>
          <w:marBottom w:val="0"/>
          <w:divBdr>
            <w:top w:val="none" w:sz="0" w:space="0" w:color="auto"/>
            <w:left w:val="none" w:sz="0" w:space="0" w:color="auto"/>
            <w:bottom w:val="none" w:sz="0" w:space="0" w:color="auto"/>
            <w:right w:val="none" w:sz="0" w:space="0" w:color="auto"/>
          </w:divBdr>
        </w:div>
        <w:div w:id="2024703680">
          <w:marLeft w:val="0"/>
          <w:marRight w:val="0"/>
          <w:marTop w:val="0"/>
          <w:marBottom w:val="0"/>
          <w:divBdr>
            <w:top w:val="none" w:sz="0" w:space="0" w:color="auto"/>
            <w:left w:val="none" w:sz="0" w:space="0" w:color="auto"/>
            <w:bottom w:val="none" w:sz="0" w:space="0" w:color="auto"/>
            <w:right w:val="none" w:sz="0" w:space="0" w:color="auto"/>
          </w:divBdr>
        </w:div>
        <w:div w:id="2024703681">
          <w:marLeft w:val="0"/>
          <w:marRight w:val="0"/>
          <w:marTop w:val="0"/>
          <w:marBottom w:val="0"/>
          <w:divBdr>
            <w:top w:val="none" w:sz="0" w:space="0" w:color="auto"/>
            <w:left w:val="none" w:sz="0" w:space="0" w:color="auto"/>
            <w:bottom w:val="none" w:sz="0" w:space="0" w:color="auto"/>
            <w:right w:val="none" w:sz="0" w:space="0" w:color="auto"/>
          </w:divBdr>
        </w:div>
        <w:div w:id="2024703682">
          <w:marLeft w:val="0"/>
          <w:marRight w:val="0"/>
          <w:marTop w:val="0"/>
          <w:marBottom w:val="0"/>
          <w:divBdr>
            <w:top w:val="none" w:sz="0" w:space="0" w:color="auto"/>
            <w:left w:val="none" w:sz="0" w:space="0" w:color="auto"/>
            <w:bottom w:val="none" w:sz="0" w:space="0" w:color="auto"/>
            <w:right w:val="none" w:sz="0" w:space="0" w:color="auto"/>
          </w:divBdr>
        </w:div>
        <w:div w:id="2024703683">
          <w:marLeft w:val="0"/>
          <w:marRight w:val="0"/>
          <w:marTop w:val="0"/>
          <w:marBottom w:val="0"/>
          <w:divBdr>
            <w:top w:val="none" w:sz="0" w:space="0" w:color="auto"/>
            <w:left w:val="none" w:sz="0" w:space="0" w:color="auto"/>
            <w:bottom w:val="none" w:sz="0" w:space="0" w:color="auto"/>
            <w:right w:val="none" w:sz="0" w:space="0" w:color="auto"/>
          </w:divBdr>
        </w:div>
        <w:div w:id="2024703684">
          <w:marLeft w:val="0"/>
          <w:marRight w:val="0"/>
          <w:marTop w:val="0"/>
          <w:marBottom w:val="0"/>
          <w:divBdr>
            <w:top w:val="none" w:sz="0" w:space="0" w:color="auto"/>
            <w:left w:val="none" w:sz="0" w:space="0" w:color="auto"/>
            <w:bottom w:val="none" w:sz="0" w:space="0" w:color="auto"/>
            <w:right w:val="none" w:sz="0" w:space="0" w:color="auto"/>
          </w:divBdr>
        </w:div>
        <w:div w:id="2024703685">
          <w:marLeft w:val="0"/>
          <w:marRight w:val="0"/>
          <w:marTop w:val="0"/>
          <w:marBottom w:val="0"/>
          <w:divBdr>
            <w:top w:val="none" w:sz="0" w:space="0" w:color="auto"/>
            <w:left w:val="none" w:sz="0" w:space="0" w:color="auto"/>
            <w:bottom w:val="none" w:sz="0" w:space="0" w:color="auto"/>
            <w:right w:val="none" w:sz="0" w:space="0" w:color="auto"/>
          </w:divBdr>
        </w:div>
        <w:div w:id="2024703686">
          <w:marLeft w:val="0"/>
          <w:marRight w:val="0"/>
          <w:marTop w:val="0"/>
          <w:marBottom w:val="0"/>
          <w:divBdr>
            <w:top w:val="none" w:sz="0" w:space="0" w:color="auto"/>
            <w:left w:val="none" w:sz="0" w:space="0" w:color="auto"/>
            <w:bottom w:val="none" w:sz="0" w:space="0" w:color="auto"/>
            <w:right w:val="none" w:sz="0" w:space="0" w:color="auto"/>
          </w:divBdr>
        </w:div>
        <w:div w:id="2024703687">
          <w:marLeft w:val="0"/>
          <w:marRight w:val="0"/>
          <w:marTop w:val="0"/>
          <w:marBottom w:val="0"/>
          <w:divBdr>
            <w:top w:val="none" w:sz="0" w:space="0" w:color="auto"/>
            <w:left w:val="none" w:sz="0" w:space="0" w:color="auto"/>
            <w:bottom w:val="none" w:sz="0" w:space="0" w:color="auto"/>
            <w:right w:val="none" w:sz="0" w:space="0" w:color="auto"/>
          </w:divBdr>
        </w:div>
        <w:div w:id="2024703688">
          <w:marLeft w:val="0"/>
          <w:marRight w:val="0"/>
          <w:marTop w:val="0"/>
          <w:marBottom w:val="0"/>
          <w:divBdr>
            <w:top w:val="none" w:sz="0" w:space="0" w:color="auto"/>
            <w:left w:val="none" w:sz="0" w:space="0" w:color="auto"/>
            <w:bottom w:val="none" w:sz="0" w:space="0" w:color="auto"/>
            <w:right w:val="none" w:sz="0" w:space="0" w:color="auto"/>
          </w:divBdr>
        </w:div>
        <w:div w:id="2024703689">
          <w:marLeft w:val="0"/>
          <w:marRight w:val="0"/>
          <w:marTop w:val="0"/>
          <w:marBottom w:val="0"/>
          <w:divBdr>
            <w:top w:val="none" w:sz="0" w:space="0" w:color="auto"/>
            <w:left w:val="none" w:sz="0" w:space="0" w:color="auto"/>
            <w:bottom w:val="none" w:sz="0" w:space="0" w:color="auto"/>
            <w:right w:val="none" w:sz="0" w:space="0" w:color="auto"/>
          </w:divBdr>
        </w:div>
        <w:div w:id="2024703690">
          <w:marLeft w:val="0"/>
          <w:marRight w:val="0"/>
          <w:marTop w:val="0"/>
          <w:marBottom w:val="0"/>
          <w:divBdr>
            <w:top w:val="none" w:sz="0" w:space="0" w:color="auto"/>
            <w:left w:val="none" w:sz="0" w:space="0" w:color="auto"/>
            <w:bottom w:val="none" w:sz="0" w:space="0" w:color="auto"/>
            <w:right w:val="none" w:sz="0" w:space="0" w:color="auto"/>
          </w:divBdr>
        </w:div>
        <w:div w:id="2024703691">
          <w:marLeft w:val="0"/>
          <w:marRight w:val="0"/>
          <w:marTop w:val="0"/>
          <w:marBottom w:val="0"/>
          <w:divBdr>
            <w:top w:val="none" w:sz="0" w:space="0" w:color="auto"/>
            <w:left w:val="none" w:sz="0" w:space="0" w:color="auto"/>
            <w:bottom w:val="none" w:sz="0" w:space="0" w:color="auto"/>
            <w:right w:val="none" w:sz="0" w:space="0" w:color="auto"/>
          </w:divBdr>
        </w:div>
        <w:div w:id="2024703692">
          <w:marLeft w:val="0"/>
          <w:marRight w:val="0"/>
          <w:marTop w:val="0"/>
          <w:marBottom w:val="0"/>
          <w:divBdr>
            <w:top w:val="none" w:sz="0" w:space="0" w:color="auto"/>
            <w:left w:val="none" w:sz="0" w:space="0" w:color="auto"/>
            <w:bottom w:val="none" w:sz="0" w:space="0" w:color="auto"/>
            <w:right w:val="none" w:sz="0" w:space="0" w:color="auto"/>
          </w:divBdr>
        </w:div>
        <w:div w:id="2024703693">
          <w:marLeft w:val="0"/>
          <w:marRight w:val="0"/>
          <w:marTop w:val="0"/>
          <w:marBottom w:val="0"/>
          <w:divBdr>
            <w:top w:val="none" w:sz="0" w:space="0" w:color="auto"/>
            <w:left w:val="none" w:sz="0" w:space="0" w:color="auto"/>
            <w:bottom w:val="none" w:sz="0" w:space="0" w:color="auto"/>
            <w:right w:val="none" w:sz="0" w:space="0" w:color="auto"/>
          </w:divBdr>
        </w:div>
        <w:div w:id="2024703694">
          <w:marLeft w:val="0"/>
          <w:marRight w:val="0"/>
          <w:marTop w:val="0"/>
          <w:marBottom w:val="0"/>
          <w:divBdr>
            <w:top w:val="none" w:sz="0" w:space="0" w:color="auto"/>
            <w:left w:val="none" w:sz="0" w:space="0" w:color="auto"/>
            <w:bottom w:val="none" w:sz="0" w:space="0" w:color="auto"/>
            <w:right w:val="none" w:sz="0" w:space="0" w:color="auto"/>
          </w:divBdr>
        </w:div>
        <w:div w:id="2024703695">
          <w:marLeft w:val="0"/>
          <w:marRight w:val="0"/>
          <w:marTop w:val="0"/>
          <w:marBottom w:val="0"/>
          <w:divBdr>
            <w:top w:val="none" w:sz="0" w:space="0" w:color="auto"/>
            <w:left w:val="none" w:sz="0" w:space="0" w:color="auto"/>
            <w:bottom w:val="none" w:sz="0" w:space="0" w:color="auto"/>
            <w:right w:val="none" w:sz="0" w:space="0" w:color="auto"/>
          </w:divBdr>
        </w:div>
        <w:div w:id="2024703696">
          <w:marLeft w:val="0"/>
          <w:marRight w:val="0"/>
          <w:marTop w:val="0"/>
          <w:marBottom w:val="0"/>
          <w:divBdr>
            <w:top w:val="none" w:sz="0" w:space="0" w:color="auto"/>
            <w:left w:val="none" w:sz="0" w:space="0" w:color="auto"/>
            <w:bottom w:val="none" w:sz="0" w:space="0" w:color="auto"/>
            <w:right w:val="none" w:sz="0" w:space="0" w:color="auto"/>
          </w:divBdr>
        </w:div>
        <w:div w:id="2024703697">
          <w:marLeft w:val="0"/>
          <w:marRight w:val="0"/>
          <w:marTop w:val="0"/>
          <w:marBottom w:val="0"/>
          <w:divBdr>
            <w:top w:val="none" w:sz="0" w:space="0" w:color="auto"/>
            <w:left w:val="none" w:sz="0" w:space="0" w:color="auto"/>
            <w:bottom w:val="none" w:sz="0" w:space="0" w:color="auto"/>
            <w:right w:val="none" w:sz="0" w:space="0" w:color="auto"/>
          </w:divBdr>
        </w:div>
        <w:div w:id="2024703698">
          <w:marLeft w:val="0"/>
          <w:marRight w:val="0"/>
          <w:marTop w:val="0"/>
          <w:marBottom w:val="0"/>
          <w:divBdr>
            <w:top w:val="none" w:sz="0" w:space="0" w:color="auto"/>
            <w:left w:val="none" w:sz="0" w:space="0" w:color="auto"/>
            <w:bottom w:val="none" w:sz="0" w:space="0" w:color="auto"/>
            <w:right w:val="none" w:sz="0" w:space="0" w:color="auto"/>
          </w:divBdr>
        </w:div>
        <w:div w:id="2024703699">
          <w:marLeft w:val="0"/>
          <w:marRight w:val="0"/>
          <w:marTop w:val="0"/>
          <w:marBottom w:val="0"/>
          <w:divBdr>
            <w:top w:val="none" w:sz="0" w:space="0" w:color="auto"/>
            <w:left w:val="none" w:sz="0" w:space="0" w:color="auto"/>
            <w:bottom w:val="none" w:sz="0" w:space="0" w:color="auto"/>
            <w:right w:val="none" w:sz="0" w:space="0" w:color="auto"/>
          </w:divBdr>
        </w:div>
        <w:div w:id="2024703700">
          <w:marLeft w:val="0"/>
          <w:marRight w:val="0"/>
          <w:marTop w:val="0"/>
          <w:marBottom w:val="0"/>
          <w:divBdr>
            <w:top w:val="none" w:sz="0" w:space="0" w:color="auto"/>
            <w:left w:val="none" w:sz="0" w:space="0" w:color="auto"/>
            <w:bottom w:val="none" w:sz="0" w:space="0" w:color="auto"/>
            <w:right w:val="none" w:sz="0" w:space="0" w:color="auto"/>
          </w:divBdr>
        </w:div>
        <w:div w:id="2024703701">
          <w:marLeft w:val="0"/>
          <w:marRight w:val="0"/>
          <w:marTop w:val="0"/>
          <w:marBottom w:val="0"/>
          <w:divBdr>
            <w:top w:val="none" w:sz="0" w:space="0" w:color="auto"/>
            <w:left w:val="none" w:sz="0" w:space="0" w:color="auto"/>
            <w:bottom w:val="none" w:sz="0" w:space="0" w:color="auto"/>
            <w:right w:val="none" w:sz="0" w:space="0" w:color="auto"/>
          </w:divBdr>
        </w:div>
        <w:div w:id="2024703702">
          <w:marLeft w:val="0"/>
          <w:marRight w:val="0"/>
          <w:marTop w:val="0"/>
          <w:marBottom w:val="0"/>
          <w:divBdr>
            <w:top w:val="none" w:sz="0" w:space="0" w:color="auto"/>
            <w:left w:val="none" w:sz="0" w:space="0" w:color="auto"/>
            <w:bottom w:val="none" w:sz="0" w:space="0" w:color="auto"/>
            <w:right w:val="none" w:sz="0" w:space="0" w:color="auto"/>
          </w:divBdr>
        </w:div>
        <w:div w:id="2024703704">
          <w:marLeft w:val="0"/>
          <w:marRight w:val="0"/>
          <w:marTop w:val="0"/>
          <w:marBottom w:val="0"/>
          <w:divBdr>
            <w:top w:val="none" w:sz="0" w:space="0" w:color="auto"/>
            <w:left w:val="none" w:sz="0" w:space="0" w:color="auto"/>
            <w:bottom w:val="none" w:sz="0" w:space="0" w:color="auto"/>
            <w:right w:val="none" w:sz="0" w:space="0" w:color="auto"/>
          </w:divBdr>
        </w:div>
        <w:div w:id="2024703705">
          <w:marLeft w:val="0"/>
          <w:marRight w:val="0"/>
          <w:marTop w:val="0"/>
          <w:marBottom w:val="0"/>
          <w:divBdr>
            <w:top w:val="none" w:sz="0" w:space="0" w:color="auto"/>
            <w:left w:val="none" w:sz="0" w:space="0" w:color="auto"/>
            <w:bottom w:val="none" w:sz="0" w:space="0" w:color="auto"/>
            <w:right w:val="none" w:sz="0" w:space="0" w:color="auto"/>
          </w:divBdr>
        </w:div>
        <w:div w:id="2024703706">
          <w:marLeft w:val="0"/>
          <w:marRight w:val="0"/>
          <w:marTop w:val="0"/>
          <w:marBottom w:val="0"/>
          <w:divBdr>
            <w:top w:val="none" w:sz="0" w:space="0" w:color="auto"/>
            <w:left w:val="none" w:sz="0" w:space="0" w:color="auto"/>
            <w:bottom w:val="none" w:sz="0" w:space="0" w:color="auto"/>
            <w:right w:val="none" w:sz="0" w:space="0" w:color="auto"/>
          </w:divBdr>
        </w:div>
        <w:div w:id="2024703707">
          <w:marLeft w:val="0"/>
          <w:marRight w:val="0"/>
          <w:marTop w:val="0"/>
          <w:marBottom w:val="0"/>
          <w:divBdr>
            <w:top w:val="none" w:sz="0" w:space="0" w:color="auto"/>
            <w:left w:val="none" w:sz="0" w:space="0" w:color="auto"/>
            <w:bottom w:val="none" w:sz="0" w:space="0" w:color="auto"/>
            <w:right w:val="none" w:sz="0" w:space="0" w:color="auto"/>
          </w:divBdr>
        </w:div>
        <w:div w:id="2024703708">
          <w:marLeft w:val="0"/>
          <w:marRight w:val="0"/>
          <w:marTop w:val="0"/>
          <w:marBottom w:val="0"/>
          <w:divBdr>
            <w:top w:val="none" w:sz="0" w:space="0" w:color="auto"/>
            <w:left w:val="none" w:sz="0" w:space="0" w:color="auto"/>
            <w:bottom w:val="none" w:sz="0" w:space="0" w:color="auto"/>
            <w:right w:val="none" w:sz="0" w:space="0" w:color="auto"/>
          </w:divBdr>
        </w:div>
        <w:div w:id="2024703710">
          <w:marLeft w:val="0"/>
          <w:marRight w:val="0"/>
          <w:marTop w:val="0"/>
          <w:marBottom w:val="0"/>
          <w:divBdr>
            <w:top w:val="none" w:sz="0" w:space="0" w:color="auto"/>
            <w:left w:val="none" w:sz="0" w:space="0" w:color="auto"/>
            <w:bottom w:val="none" w:sz="0" w:space="0" w:color="auto"/>
            <w:right w:val="none" w:sz="0" w:space="0" w:color="auto"/>
          </w:divBdr>
        </w:div>
        <w:div w:id="2024703711">
          <w:marLeft w:val="0"/>
          <w:marRight w:val="0"/>
          <w:marTop w:val="0"/>
          <w:marBottom w:val="0"/>
          <w:divBdr>
            <w:top w:val="none" w:sz="0" w:space="0" w:color="auto"/>
            <w:left w:val="none" w:sz="0" w:space="0" w:color="auto"/>
            <w:bottom w:val="none" w:sz="0" w:space="0" w:color="auto"/>
            <w:right w:val="none" w:sz="0" w:space="0" w:color="auto"/>
          </w:divBdr>
        </w:div>
        <w:div w:id="2024703712">
          <w:marLeft w:val="0"/>
          <w:marRight w:val="0"/>
          <w:marTop w:val="0"/>
          <w:marBottom w:val="0"/>
          <w:divBdr>
            <w:top w:val="none" w:sz="0" w:space="0" w:color="auto"/>
            <w:left w:val="none" w:sz="0" w:space="0" w:color="auto"/>
            <w:bottom w:val="none" w:sz="0" w:space="0" w:color="auto"/>
            <w:right w:val="none" w:sz="0" w:space="0" w:color="auto"/>
          </w:divBdr>
        </w:div>
        <w:div w:id="2024703713">
          <w:marLeft w:val="0"/>
          <w:marRight w:val="0"/>
          <w:marTop w:val="0"/>
          <w:marBottom w:val="0"/>
          <w:divBdr>
            <w:top w:val="none" w:sz="0" w:space="0" w:color="auto"/>
            <w:left w:val="none" w:sz="0" w:space="0" w:color="auto"/>
            <w:bottom w:val="none" w:sz="0" w:space="0" w:color="auto"/>
            <w:right w:val="none" w:sz="0" w:space="0" w:color="auto"/>
          </w:divBdr>
        </w:div>
        <w:div w:id="2024703714">
          <w:marLeft w:val="0"/>
          <w:marRight w:val="0"/>
          <w:marTop w:val="0"/>
          <w:marBottom w:val="0"/>
          <w:divBdr>
            <w:top w:val="none" w:sz="0" w:space="0" w:color="auto"/>
            <w:left w:val="none" w:sz="0" w:space="0" w:color="auto"/>
            <w:bottom w:val="none" w:sz="0" w:space="0" w:color="auto"/>
            <w:right w:val="none" w:sz="0" w:space="0" w:color="auto"/>
          </w:divBdr>
        </w:div>
        <w:div w:id="2024703715">
          <w:marLeft w:val="0"/>
          <w:marRight w:val="0"/>
          <w:marTop w:val="0"/>
          <w:marBottom w:val="0"/>
          <w:divBdr>
            <w:top w:val="none" w:sz="0" w:space="0" w:color="auto"/>
            <w:left w:val="none" w:sz="0" w:space="0" w:color="auto"/>
            <w:bottom w:val="none" w:sz="0" w:space="0" w:color="auto"/>
            <w:right w:val="none" w:sz="0" w:space="0" w:color="auto"/>
          </w:divBdr>
        </w:div>
        <w:div w:id="2024703716">
          <w:marLeft w:val="0"/>
          <w:marRight w:val="0"/>
          <w:marTop w:val="0"/>
          <w:marBottom w:val="0"/>
          <w:divBdr>
            <w:top w:val="none" w:sz="0" w:space="0" w:color="auto"/>
            <w:left w:val="none" w:sz="0" w:space="0" w:color="auto"/>
            <w:bottom w:val="none" w:sz="0" w:space="0" w:color="auto"/>
            <w:right w:val="none" w:sz="0" w:space="0" w:color="auto"/>
          </w:divBdr>
        </w:div>
        <w:div w:id="2024703717">
          <w:marLeft w:val="0"/>
          <w:marRight w:val="0"/>
          <w:marTop w:val="0"/>
          <w:marBottom w:val="0"/>
          <w:divBdr>
            <w:top w:val="none" w:sz="0" w:space="0" w:color="auto"/>
            <w:left w:val="none" w:sz="0" w:space="0" w:color="auto"/>
            <w:bottom w:val="none" w:sz="0" w:space="0" w:color="auto"/>
            <w:right w:val="none" w:sz="0" w:space="0" w:color="auto"/>
          </w:divBdr>
        </w:div>
        <w:div w:id="2024703718">
          <w:marLeft w:val="0"/>
          <w:marRight w:val="0"/>
          <w:marTop w:val="0"/>
          <w:marBottom w:val="0"/>
          <w:divBdr>
            <w:top w:val="none" w:sz="0" w:space="0" w:color="auto"/>
            <w:left w:val="none" w:sz="0" w:space="0" w:color="auto"/>
            <w:bottom w:val="none" w:sz="0" w:space="0" w:color="auto"/>
            <w:right w:val="none" w:sz="0" w:space="0" w:color="auto"/>
          </w:divBdr>
        </w:div>
        <w:div w:id="2024703719">
          <w:marLeft w:val="0"/>
          <w:marRight w:val="0"/>
          <w:marTop w:val="0"/>
          <w:marBottom w:val="0"/>
          <w:divBdr>
            <w:top w:val="none" w:sz="0" w:space="0" w:color="auto"/>
            <w:left w:val="none" w:sz="0" w:space="0" w:color="auto"/>
            <w:bottom w:val="none" w:sz="0" w:space="0" w:color="auto"/>
            <w:right w:val="none" w:sz="0" w:space="0" w:color="auto"/>
          </w:divBdr>
        </w:div>
        <w:div w:id="2024703720">
          <w:marLeft w:val="0"/>
          <w:marRight w:val="0"/>
          <w:marTop w:val="0"/>
          <w:marBottom w:val="0"/>
          <w:divBdr>
            <w:top w:val="none" w:sz="0" w:space="0" w:color="auto"/>
            <w:left w:val="none" w:sz="0" w:space="0" w:color="auto"/>
            <w:bottom w:val="none" w:sz="0" w:space="0" w:color="auto"/>
            <w:right w:val="none" w:sz="0" w:space="0" w:color="auto"/>
          </w:divBdr>
        </w:div>
        <w:div w:id="2024703722">
          <w:marLeft w:val="0"/>
          <w:marRight w:val="0"/>
          <w:marTop w:val="0"/>
          <w:marBottom w:val="0"/>
          <w:divBdr>
            <w:top w:val="none" w:sz="0" w:space="0" w:color="auto"/>
            <w:left w:val="none" w:sz="0" w:space="0" w:color="auto"/>
            <w:bottom w:val="none" w:sz="0" w:space="0" w:color="auto"/>
            <w:right w:val="none" w:sz="0" w:space="0" w:color="auto"/>
          </w:divBdr>
        </w:div>
        <w:div w:id="2024703723">
          <w:marLeft w:val="0"/>
          <w:marRight w:val="0"/>
          <w:marTop w:val="0"/>
          <w:marBottom w:val="0"/>
          <w:divBdr>
            <w:top w:val="none" w:sz="0" w:space="0" w:color="auto"/>
            <w:left w:val="none" w:sz="0" w:space="0" w:color="auto"/>
            <w:bottom w:val="none" w:sz="0" w:space="0" w:color="auto"/>
            <w:right w:val="none" w:sz="0" w:space="0" w:color="auto"/>
          </w:divBdr>
        </w:div>
        <w:div w:id="2024703724">
          <w:marLeft w:val="0"/>
          <w:marRight w:val="0"/>
          <w:marTop w:val="0"/>
          <w:marBottom w:val="0"/>
          <w:divBdr>
            <w:top w:val="none" w:sz="0" w:space="0" w:color="auto"/>
            <w:left w:val="none" w:sz="0" w:space="0" w:color="auto"/>
            <w:bottom w:val="none" w:sz="0" w:space="0" w:color="auto"/>
            <w:right w:val="none" w:sz="0" w:space="0" w:color="auto"/>
          </w:divBdr>
        </w:div>
        <w:div w:id="2024703725">
          <w:marLeft w:val="0"/>
          <w:marRight w:val="0"/>
          <w:marTop w:val="0"/>
          <w:marBottom w:val="0"/>
          <w:divBdr>
            <w:top w:val="none" w:sz="0" w:space="0" w:color="auto"/>
            <w:left w:val="none" w:sz="0" w:space="0" w:color="auto"/>
            <w:bottom w:val="none" w:sz="0" w:space="0" w:color="auto"/>
            <w:right w:val="none" w:sz="0" w:space="0" w:color="auto"/>
          </w:divBdr>
        </w:div>
        <w:div w:id="2024703726">
          <w:marLeft w:val="0"/>
          <w:marRight w:val="0"/>
          <w:marTop w:val="0"/>
          <w:marBottom w:val="0"/>
          <w:divBdr>
            <w:top w:val="none" w:sz="0" w:space="0" w:color="auto"/>
            <w:left w:val="none" w:sz="0" w:space="0" w:color="auto"/>
            <w:bottom w:val="none" w:sz="0" w:space="0" w:color="auto"/>
            <w:right w:val="none" w:sz="0" w:space="0" w:color="auto"/>
          </w:divBdr>
        </w:div>
        <w:div w:id="2024703727">
          <w:marLeft w:val="0"/>
          <w:marRight w:val="0"/>
          <w:marTop w:val="0"/>
          <w:marBottom w:val="0"/>
          <w:divBdr>
            <w:top w:val="none" w:sz="0" w:space="0" w:color="auto"/>
            <w:left w:val="none" w:sz="0" w:space="0" w:color="auto"/>
            <w:bottom w:val="none" w:sz="0" w:space="0" w:color="auto"/>
            <w:right w:val="none" w:sz="0" w:space="0" w:color="auto"/>
          </w:divBdr>
        </w:div>
        <w:div w:id="2024703728">
          <w:marLeft w:val="0"/>
          <w:marRight w:val="0"/>
          <w:marTop w:val="0"/>
          <w:marBottom w:val="0"/>
          <w:divBdr>
            <w:top w:val="none" w:sz="0" w:space="0" w:color="auto"/>
            <w:left w:val="none" w:sz="0" w:space="0" w:color="auto"/>
            <w:bottom w:val="none" w:sz="0" w:space="0" w:color="auto"/>
            <w:right w:val="none" w:sz="0" w:space="0" w:color="auto"/>
          </w:divBdr>
        </w:div>
        <w:div w:id="2024703730">
          <w:marLeft w:val="0"/>
          <w:marRight w:val="0"/>
          <w:marTop w:val="0"/>
          <w:marBottom w:val="0"/>
          <w:divBdr>
            <w:top w:val="none" w:sz="0" w:space="0" w:color="auto"/>
            <w:left w:val="none" w:sz="0" w:space="0" w:color="auto"/>
            <w:bottom w:val="none" w:sz="0" w:space="0" w:color="auto"/>
            <w:right w:val="none" w:sz="0" w:space="0" w:color="auto"/>
          </w:divBdr>
        </w:div>
        <w:div w:id="2024703731">
          <w:marLeft w:val="0"/>
          <w:marRight w:val="0"/>
          <w:marTop w:val="0"/>
          <w:marBottom w:val="0"/>
          <w:divBdr>
            <w:top w:val="none" w:sz="0" w:space="0" w:color="auto"/>
            <w:left w:val="none" w:sz="0" w:space="0" w:color="auto"/>
            <w:bottom w:val="none" w:sz="0" w:space="0" w:color="auto"/>
            <w:right w:val="none" w:sz="0" w:space="0" w:color="auto"/>
          </w:divBdr>
        </w:div>
        <w:div w:id="2024703732">
          <w:marLeft w:val="0"/>
          <w:marRight w:val="0"/>
          <w:marTop w:val="0"/>
          <w:marBottom w:val="0"/>
          <w:divBdr>
            <w:top w:val="none" w:sz="0" w:space="0" w:color="auto"/>
            <w:left w:val="none" w:sz="0" w:space="0" w:color="auto"/>
            <w:bottom w:val="none" w:sz="0" w:space="0" w:color="auto"/>
            <w:right w:val="none" w:sz="0" w:space="0" w:color="auto"/>
          </w:divBdr>
        </w:div>
        <w:div w:id="2024703733">
          <w:marLeft w:val="0"/>
          <w:marRight w:val="0"/>
          <w:marTop w:val="0"/>
          <w:marBottom w:val="0"/>
          <w:divBdr>
            <w:top w:val="none" w:sz="0" w:space="0" w:color="auto"/>
            <w:left w:val="none" w:sz="0" w:space="0" w:color="auto"/>
            <w:bottom w:val="none" w:sz="0" w:space="0" w:color="auto"/>
            <w:right w:val="none" w:sz="0" w:space="0" w:color="auto"/>
          </w:divBdr>
        </w:div>
        <w:div w:id="2024703734">
          <w:marLeft w:val="0"/>
          <w:marRight w:val="0"/>
          <w:marTop w:val="0"/>
          <w:marBottom w:val="0"/>
          <w:divBdr>
            <w:top w:val="none" w:sz="0" w:space="0" w:color="auto"/>
            <w:left w:val="none" w:sz="0" w:space="0" w:color="auto"/>
            <w:bottom w:val="none" w:sz="0" w:space="0" w:color="auto"/>
            <w:right w:val="none" w:sz="0" w:space="0" w:color="auto"/>
          </w:divBdr>
        </w:div>
        <w:div w:id="2024703735">
          <w:marLeft w:val="0"/>
          <w:marRight w:val="0"/>
          <w:marTop w:val="0"/>
          <w:marBottom w:val="0"/>
          <w:divBdr>
            <w:top w:val="none" w:sz="0" w:space="0" w:color="auto"/>
            <w:left w:val="none" w:sz="0" w:space="0" w:color="auto"/>
            <w:bottom w:val="none" w:sz="0" w:space="0" w:color="auto"/>
            <w:right w:val="none" w:sz="0" w:space="0" w:color="auto"/>
          </w:divBdr>
        </w:div>
        <w:div w:id="2024703736">
          <w:marLeft w:val="0"/>
          <w:marRight w:val="0"/>
          <w:marTop w:val="0"/>
          <w:marBottom w:val="0"/>
          <w:divBdr>
            <w:top w:val="none" w:sz="0" w:space="0" w:color="auto"/>
            <w:left w:val="none" w:sz="0" w:space="0" w:color="auto"/>
            <w:bottom w:val="none" w:sz="0" w:space="0" w:color="auto"/>
            <w:right w:val="none" w:sz="0" w:space="0" w:color="auto"/>
          </w:divBdr>
        </w:div>
        <w:div w:id="2024703737">
          <w:marLeft w:val="0"/>
          <w:marRight w:val="0"/>
          <w:marTop w:val="0"/>
          <w:marBottom w:val="0"/>
          <w:divBdr>
            <w:top w:val="none" w:sz="0" w:space="0" w:color="auto"/>
            <w:left w:val="none" w:sz="0" w:space="0" w:color="auto"/>
            <w:bottom w:val="none" w:sz="0" w:space="0" w:color="auto"/>
            <w:right w:val="none" w:sz="0" w:space="0" w:color="auto"/>
          </w:divBdr>
        </w:div>
        <w:div w:id="2024703738">
          <w:marLeft w:val="0"/>
          <w:marRight w:val="0"/>
          <w:marTop w:val="0"/>
          <w:marBottom w:val="0"/>
          <w:divBdr>
            <w:top w:val="none" w:sz="0" w:space="0" w:color="auto"/>
            <w:left w:val="none" w:sz="0" w:space="0" w:color="auto"/>
            <w:bottom w:val="none" w:sz="0" w:space="0" w:color="auto"/>
            <w:right w:val="none" w:sz="0" w:space="0" w:color="auto"/>
          </w:divBdr>
        </w:div>
        <w:div w:id="2024703739">
          <w:marLeft w:val="0"/>
          <w:marRight w:val="0"/>
          <w:marTop w:val="0"/>
          <w:marBottom w:val="0"/>
          <w:divBdr>
            <w:top w:val="none" w:sz="0" w:space="0" w:color="auto"/>
            <w:left w:val="none" w:sz="0" w:space="0" w:color="auto"/>
            <w:bottom w:val="none" w:sz="0" w:space="0" w:color="auto"/>
            <w:right w:val="none" w:sz="0" w:space="0" w:color="auto"/>
          </w:divBdr>
        </w:div>
        <w:div w:id="2024703740">
          <w:marLeft w:val="0"/>
          <w:marRight w:val="0"/>
          <w:marTop w:val="0"/>
          <w:marBottom w:val="0"/>
          <w:divBdr>
            <w:top w:val="none" w:sz="0" w:space="0" w:color="auto"/>
            <w:left w:val="none" w:sz="0" w:space="0" w:color="auto"/>
            <w:bottom w:val="none" w:sz="0" w:space="0" w:color="auto"/>
            <w:right w:val="none" w:sz="0" w:space="0" w:color="auto"/>
          </w:divBdr>
        </w:div>
        <w:div w:id="2024703741">
          <w:marLeft w:val="0"/>
          <w:marRight w:val="0"/>
          <w:marTop w:val="0"/>
          <w:marBottom w:val="0"/>
          <w:divBdr>
            <w:top w:val="none" w:sz="0" w:space="0" w:color="auto"/>
            <w:left w:val="none" w:sz="0" w:space="0" w:color="auto"/>
            <w:bottom w:val="none" w:sz="0" w:space="0" w:color="auto"/>
            <w:right w:val="none" w:sz="0" w:space="0" w:color="auto"/>
          </w:divBdr>
        </w:div>
        <w:div w:id="2024703742">
          <w:marLeft w:val="0"/>
          <w:marRight w:val="0"/>
          <w:marTop w:val="0"/>
          <w:marBottom w:val="0"/>
          <w:divBdr>
            <w:top w:val="none" w:sz="0" w:space="0" w:color="auto"/>
            <w:left w:val="none" w:sz="0" w:space="0" w:color="auto"/>
            <w:bottom w:val="none" w:sz="0" w:space="0" w:color="auto"/>
            <w:right w:val="none" w:sz="0" w:space="0" w:color="auto"/>
          </w:divBdr>
        </w:div>
        <w:div w:id="2024703743">
          <w:marLeft w:val="0"/>
          <w:marRight w:val="0"/>
          <w:marTop w:val="0"/>
          <w:marBottom w:val="0"/>
          <w:divBdr>
            <w:top w:val="none" w:sz="0" w:space="0" w:color="auto"/>
            <w:left w:val="none" w:sz="0" w:space="0" w:color="auto"/>
            <w:bottom w:val="none" w:sz="0" w:space="0" w:color="auto"/>
            <w:right w:val="none" w:sz="0" w:space="0" w:color="auto"/>
          </w:divBdr>
        </w:div>
        <w:div w:id="2024703744">
          <w:marLeft w:val="0"/>
          <w:marRight w:val="0"/>
          <w:marTop w:val="0"/>
          <w:marBottom w:val="0"/>
          <w:divBdr>
            <w:top w:val="none" w:sz="0" w:space="0" w:color="auto"/>
            <w:left w:val="none" w:sz="0" w:space="0" w:color="auto"/>
            <w:bottom w:val="none" w:sz="0" w:space="0" w:color="auto"/>
            <w:right w:val="none" w:sz="0" w:space="0" w:color="auto"/>
          </w:divBdr>
        </w:div>
        <w:div w:id="2024703745">
          <w:marLeft w:val="0"/>
          <w:marRight w:val="0"/>
          <w:marTop w:val="0"/>
          <w:marBottom w:val="0"/>
          <w:divBdr>
            <w:top w:val="none" w:sz="0" w:space="0" w:color="auto"/>
            <w:left w:val="none" w:sz="0" w:space="0" w:color="auto"/>
            <w:bottom w:val="none" w:sz="0" w:space="0" w:color="auto"/>
            <w:right w:val="none" w:sz="0" w:space="0" w:color="auto"/>
          </w:divBdr>
        </w:div>
        <w:div w:id="2024703746">
          <w:marLeft w:val="0"/>
          <w:marRight w:val="0"/>
          <w:marTop w:val="0"/>
          <w:marBottom w:val="0"/>
          <w:divBdr>
            <w:top w:val="none" w:sz="0" w:space="0" w:color="auto"/>
            <w:left w:val="none" w:sz="0" w:space="0" w:color="auto"/>
            <w:bottom w:val="none" w:sz="0" w:space="0" w:color="auto"/>
            <w:right w:val="none" w:sz="0" w:space="0" w:color="auto"/>
          </w:divBdr>
        </w:div>
        <w:div w:id="2024703747">
          <w:marLeft w:val="0"/>
          <w:marRight w:val="0"/>
          <w:marTop w:val="0"/>
          <w:marBottom w:val="0"/>
          <w:divBdr>
            <w:top w:val="none" w:sz="0" w:space="0" w:color="auto"/>
            <w:left w:val="none" w:sz="0" w:space="0" w:color="auto"/>
            <w:bottom w:val="none" w:sz="0" w:space="0" w:color="auto"/>
            <w:right w:val="none" w:sz="0" w:space="0" w:color="auto"/>
          </w:divBdr>
        </w:div>
        <w:div w:id="2024703748">
          <w:marLeft w:val="0"/>
          <w:marRight w:val="0"/>
          <w:marTop w:val="0"/>
          <w:marBottom w:val="0"/>
          <w:divBdr>
            <w:top w:val="none" w:sz="0" w:space="0" w:color="auto"/>
            <w:left w:val="none" w:sz="0" w:space="0" w:color="auto"/>
            <w:bottom w:val="none" w:sz="0" w:space="0" w:color="auto"/>
            <w:right w:val="none" w:sz="0" w:space="0" w:color="auto"/>
          </w:divBdr>
        </w:div>
        <w:div w:id="2024703749">
          <w:marLeft w:val="0"/>
          <w:marRight w:val="0"/>
          <w:marTop w:val="0"/>
          <w:marBottom w:val="0"/>
          <w:divBdr>
            <w:top w:val="none" w:sz="0" w:space="0" w:color="auto"/>
            <w:left w:val="none" w:sz="0" w:space="0" w:color="auto"/>
            <w:bottom w:val="none" w:sz="0" w:space="0" w:color="auto"/>
            <w:right w:val="none" w:sz="0" w:space="0" w:color="auto"/>
          </w:divBdr>
        </w:div>
        <w:div w:id="2024703750">
          <w:marLeft w:val="0"/>
          <w:marRight w:val="0"/>
          <w:marTop w:val="0"/>
          <w:marBottom w:val="0"/>
          <w:divBdr>
            <w:top w:val="none" w:sz="0" w:space="0" w:color="auto"/>
            <w:left w:val="none" w:sz="0" w:space="0" w:color="auto"/>
            <w:bottom w:val="none" w:sz="0" w:space="0" w:color="auto"/>
            <w:right w:val="none" w:sz="0" w:space="0" w:color="auto"/>
          </w:divBdr>
        </w:div>
        <w:div w:id="2024703751">
          <w:marLeft w:val="0"/>
          <w:marRight w:val="0"/>
          <w:marTop w:val="0"/>
          <w:marBottom w:val="0"/>
          <w:divBdr>
            <w:top w:val="none" w:sz="0" w:space="0" w:color="auto"/>
            <w:left w:val="none" w:sz="0" w:space="0" w:color="auto"/>
            <w:bottom w:val="none" w:sz="0" w:space="0" w:color="auto"/>
            <w:right w:val="none" w:sz="0" w:space="0" w:color="auto"/>
          </w:divBdr>
        </w:div>
        <w:div w:id="2024703752">
          <w:marLeft w:val="0"/>
          <w:marRight w:val="0"/>
          <w:marTop w:val="0"/>
          <w:marBottom w:val="0"/>
          <w:divBdr>
            <w:top w:val="none" w:sz="0" w:space="0" w:color="auto"/>
            <w:left w:val="none" w:sz="0" w:space="0" w:color="auto"/>
            <w:bottom w:val="none" w:sz="0" w:space="0" w:color="auto"/>
            <w:right w:val="none" w:sz="0" w:space="0" w:color="auto"/>
          </w:divBdr>
        </w:div>
        <w:div w:id="2024703753">
          <w:marLeft w:val="0"/>
          <w:marRight w:val="0"/>
          <w:marTop w:val="0"/>
          <w:marBottom w:val="0"/>
          <w:divBdr>
            <w:top w:val="none" w:sz="0" w:space="0" w:color="auto"/>
            <w:left w:val="none" w:sz="0" w:space="0" w:color="auto"/>
            <w:bottom w:val="none" w:sz="0" w:space="0" w:color="auto"/>
            <w:right w:val="none" w:sz="0" w:space="0" w:color="auto"/>
          </w:divBdr>
        </w:div>
        <w:div w:id="2024703754">
          <w:marLeft w:val="0"/>
          <w:marRight w:val="0"/>
          <w:marTop w:val="0"/>
          <w:marBottom w:val="0"/>
          <w:divBdr>
            <w:top w:val="none" w:sz="0" w:space="0" w:color="auto"/>
            <w:left w:val="none" w:sz="0" w:space="0" w:color="auto"/>
            <w:bottom w:val="none" w:sz="0" w:space="0" w:color="auto"/>
            <w:right w:val="none" w:sz="0" w:space="0" w:color="auto"/>
          </w:divBdr>
        </w:div>
        <w:div w:id="2024703755">
          <w:marLeft w:val="0"/>
          <w:marRight w:val="0"/>
          <w:marTop w:val="0"/>
          <w:marBottom w:val="0"/>
          <w:divBdr>
            <w:top w:val="none" w:sz="0" w:space="0" w:color="auto"/>
            <w:left w:val="none" w:sz="0" w:space="0" w:color="auto"/>
            <w:bottom w:val="none" w:sz="0" w:space="0" w:color="auto"/>
            <w:right w:val="none" w:sz="0" w:space="0" w:color="auto"/>
          </w:divBdr>
        </w:div>
        <w:div w:id="2024703756">
          <w:marLeft w:val="0"/>
          <w:marRight w:val="0"/>
          <w:marTop w:val="0"/>
          <w:marBottom w:val="0"/>
          <w:divBdr>
            <w:top w:val="none" w:sz="0" w:space="0" w:color="auto"/>
            <w:left w:val="none" w:sz="0" w:space="0" w:color="auto"/>
            <w:bottom w:val="none" w:sz="0" w:space="0" w:color="auto"/>
            <w:right w:val="none" w:sz="0" w:space="0" w:color="auto"/>
          </w:divBdr>
        </w:div>
        <w:div w:id="2024703757">
          <w:marLeft w:val="0"/>
          <w:marRight w:val="0"/>
          <w:marTop w:val="0"/>
          <w:marBottom w:val="0"/>
          <w:divBdr>
            <w:top w:val="none" w:sz="0" w:space="0" w:color="auto"/>
            <w:left w:val="none" w:sz="0" w:space="0" w:color="auto"/>
            <w:bottom w:val="none" w:sz="0" w:space="0" w:color="auto"/>
            <w:right w:val="none" w:sz="0" w:space="0" w:color="auto"/>
          </w:divBdr>
        </w:div>
        <w:div w:id="2024703758">
          <w:marLeft w:val="0"/>
          <w:marRight w:val="0"/>
          <w:marTop w:val="0"/>
          <w:marBottom w:val="0"/>
          <w:divBdr>
            <w:top w:val="none" w:sz="0" w:space="0" w:color="auto"/>
            <w:left w:val="none" w:sz="0" w:space="0" w:color="auto"/>
            <w:bottom w:val="none" w:sz="0" w:space="0" w:color="auto"/>
            <w:right w:val="none" w:sz="0" w:space="0" w:color="auto"/>
          </w:divBdr>
        </w:div>
        <w:div w:id="2024703759">
          <w:marLeft w:val="0"/>
          <w:marRight w:val="0"/>
          <w:marTop w:val="0"/>
          <w:marBottom w:val="0"/>
          <w:divBdr>
            <w:top w:val="none" w:sz="0" w:space="0" w:color="auto"/>
            <w:left w:val="none" w:sz="0" w:space="0" w:color="auto"/>
            <w:bottom w:val="none" w:sz="0" w:space="0" w:color="auto"/>
            <w:right w:val="none" w:sz="0" w:space="0" w:color="auto"/>
          </w:divBdr>
        </w:div>
        <w:div w:id="2024703760">
          <w:marLeft w:val="0"/>
          <w:marRight w:val="0"/>
          <w:marTop w:val="0"/>
          <w:marBottom w:val="0"/>
          <w:divBdr>
            <w:top w:val="none" w:sz="0" w:space="0" w:color="auto"/>
            <w:left w:val="none" w:sz="0" w:space="0" w:color="auto"/>
            <w:bottom w:val="none" w:sz="0" w:space="0" w:color="auto"/>
            <w:right w:val="none" w:sz="0" w:space="0" w:color="auto"/>
          </w:divBdr>
        </w:div>
        <w:div w:id="2024703761">
          <w:marLeft w:val="0"/>
          <w:marRight w:val="0"/>
          <w:marTop w:val="0"/>
          <w:marBottom w:val="0"/>
          <w:divBdr>
            <w:top w:val="none" w:sz="0" w:space="0" w:color="auto"/>
            <w:left w:val="none" w:sz="0" w:space="0" w:color="auto"/>
            <w:bottom w:val="none" w:sz="0" w:space="0" w:color="auto"/>
            <w:right w:val="none" w:sz="0" w:space="0" w:color="auto"/>
          </w:divBdr>
        </w:div>
        <w:div w:id="2024703762">
          <w:marLeft w:val="0"/>
          <w:marRight w:val="0"/>
          <w:marTop w:val="0"/>
          <w:marBottom w:val="0"/>
          <w:divBdr>
            <w:top w:val="none" w:sz="0" w:space="0" w:color="auto"/>
            <w:left w:val="none" w:sz="0" w:space="0" w:color="auto"/>
            <w:bottom w:val="none" w:sz="0" w:space="0" w:color="auto"/>
            <w:right w:val="none" w:sz="0" w:space="0" w:color="auto"/>
          </w:divBdr>
        </w:div>
        <w:div w:id="2024703763">
          <w:marLeft w:val="0"/>
          <w:marRight w:val="0"/>
          <w:marTop w:val="0"/>
          <w:marBottom w:val="0"/>
          <w:divBdr>
            <w:top w:val="none" w:sz="0" w:space="0" w:color="auto"/>
            <w:left w:val="none" w:sz="0" w:space="0" w:color="auto"/>
            <w:bottom w:val="none" w:sz="0" w:space="0" w:color="auto"/>
            <w:right w:val="none" w:sz="0" w:space="0" w:color="auto"/>
          </w:divBdr>
        </w:div>
        <w:div w:id="2024703764">
          <w:marLeft w:val="0"/>
          <w:marRight w:val="0"/>
          <w:marTop w:val="0"/>
          <w:marBottom w:val="0"/>
          <w:divBdr>
            <w:top w:val="none" w:sz="0" w:space="0" w:color="auto"/>
            <w:left w:val="none" w:sz="0" w:space="0" w:color="auto"/>
            <w:bottom w:val="none" w:sz="0" w:space="0" w:color="auto"/>
            <w:right w:val="none" w:sz="0" w:space="0" w:color="auto"/>
          </w:divBdr>
        </w:div>
        <w:div w:id="2024703765">
          <w:marLeft w:val="0"/>
          <w:marRight w:val="0"/>
          <w:marTop w:val="0"/>
          <w:marBottom w:val="0"/>
          <w:divBdr>
            <w:top w:val="none" w:sz="0" w:space="0" w:color="auto"/>
            <w:left w:val="none" w:sz="0" w:space="0" w:color="auto"/>
            <w:bottom w:val="none" w:sz="0" w:space="0" w:color="auto"/>
            <w:right w:val="none" w:sz="0" w:space="0" w:color="auto"/>
          </w:divBdr>
        </w:div>
        <w:div w:id="2024703766">
          <w:marLeft w:val="0"/>
          <w:marRight w:val="0"/>
          <w:marTop w:val="0"/>
          <w:marBottom w:val="0"/>
          <w:divBdr>
            <w:top w:val="none" w:sz="0" w:space="0" w:color="auto"/>
            <w:left w:val="none" w:sz="0" w:space="0" w:color="auto"/>
            <w:bottom w:val="none" w:sz="0" w:space="0" w:color="auto"/>
            <w:right w:val="none" w:sz="0" w:space="0" w:color="auto"/>
          </w:divBdr>
        </w:div>
        <w:div w:id="2024703767">
          <w:marLeft w:val="0"/>
          <w:marRight w:val="0"/>
          <w:marTop w:val="0"/>
          <w:marBottom w:val="0"/>
          <w:divBdr>
            <w:top w:val="none" w:sz="0" w:space="0" w:color="auto"/>
            <w:left w:val="none" w:sz="0" w:space="0" w:color="auto"/>
            <w:bottom w:val="none" w:sz="0" w:space="0" w:color="auto"/>
            <w:right w:val="none" w:sz="0" w:space="0" w:color="auto"/>
          </w:divBdr>
        </w:div>
        <w:div w:id="2024703768">
          <w:marLeft w:val="0"/>
          <w:marRight w:val="0"/>
          <w:marTop w:val="0"/>
          <w:marBottom w:val="0"/>
          <w:divBdr>
            <w:top w:val="none" w:sz="0" w:space="0" w:color="auto"/>
            <w:left w:val="none" w:sz="0" w:space="0" w:color="auto"/>
            <w:bottom w:val="none" w:sz="0" w:space="0" w:color="auto"/>
            <w:right w:val="none" w:sz="0" w:space="0" w:color="auto"/>
          </w:divBdr>
        </w:div>
        <w:div w:id="2024703769">
          <w:marLeft w:val="0"/>
          <w:marRight w:val="0"/>
          <w:marTop w:val="0"/>
          <w:marBottom w:val="0"/>
          <w:divBdr>
            <w:top w:val="none" w:sz="0" w:space="0" w:color="auto"/>
            <w:left w:val="none" w:sz="0" w:space="0" w:color="auto"/>
            <w:bottom w:val="none" w:sz="0" w:space="0" w:color="auto"/>
            <w:right w:val="none" w:sz="0" w:space="0" w:color="auto"/>
          </w:divBdr>
        </w:div>
        <w:div w:id="2024703770">
          <w:marLeft w:val="0"/>
          <w:marRight w:val="0"/>
          <w:marTop w:val="0"/>
          <w:marBottom w:val="0"/>
          <w:divBdr>
            <w:top w:val="none" w:sz="0" w:space="0" w:color="auto"/>
            <w:left w:val="none" w:sz="0" w:space="0" w:color="auto"/>
            <w:bottom w:val="none" w:sz="0" w:space="0" w:color="auto"/>
            <w:right w:val="none" w:sz="0" w:space="0" w:color="auto"/>
          </w:divBdr>
        </w:div>
        <w:div w:id="2024703771">
          <w:marLeft w:val="0"/>
          <w:marRight w:val="0"/>
          <w:marTop w:val="0"/>
          <w:marBottom w:val="0"/>
          <w:divBdr>
            <w:top w:val="none" w:sz="0" w:space="0" w:color="auto"/>
            <w:left w:val="none" w:sz="0" w:space="0" w:color="auto"/>
            <w:bottom w:val="none" w:sz="0" w:space="0" w:color="auto"/>
            <w:right w:val="none" w:sz="0" w:space="0" w:color="auto"/>
          </w:divBdr>
        </w:div>
        <w:div w:id="2024703772">
          <w:marLeft w:val="0"/>
          <w:marRight w:val="0"/>
          <w:marTop w:val="0"/>
          <w:marBottom w:val="0"/>
          <w:divBdr>
            <w:top w:val="none" w:sz="0" w:space="0" w:color="auto"/>
            <w:left w:val="none" w:sz="0" w:space="0" w:color="auto"/>
            <w:bottom w:val="none" w:sz="0" w:space="0" w:color="auto"/>
            <w:right w:val="none" w:sz="0" w:space="0" w:color="auto"/>
          </w:divBdr>
        </w:div>
        <w:div w:id="2024703773">
          <w:marLeft w:val="0"/>
          <w:marRight w:val="0"/>
          <w:marTop w:val="0"/>
          <w:marBottom w:val="0"/>
          <w:divBdr>
            <w:top w:val="none" w:sz="0" w:space="0" w:color="auto"/>
            <w:left w:val="none" w:sz="0" w:space="0" w:color="auto"/>
            <w:bottom w:val="none" w:sz="0" w:space="0" w:color="auto"/>
            <w:right w:val="none" w:sz="0" w:space="0" w:color="auto"/>
          </w:divBdr>
        </w:div>
        <w:div w:id="2024703774">
          <w:marLeft w:val="0"/>
          <w:marRight w:val="0"/>
          <w:marTop w:val="0"/>
          <w:marBottom w:val="0"/>
          <w:divBdr>
            <w:top w:val="none" w:sz="0" w:space="0" w:color="auto"/>
            <w:left w:val="none" w:sz="0" w:space="0" w:color="auto"/>
            <w:bottom w:val="none" w:sz="0" w:space="0" w:color="auto"/>
            <w:right w:val="none" w:sz="0" w:space="0" w:color="auto"/>
          </w:divBdr>
        </w:div>
        <w:div w:id="2024703775">
          <w:marLeft w:val="0"/>
          <w:marRight w:val="0"/>
          <w:marTop w:val="0"/>
          <w:marBottom w:val="0"/>
          <w:divBdr>
            <w:top w:val="none" w:sz="0" w:space="0" w:color="auto"/>
            <w:left w:val="none" w:sz="0" w:space="0" w:color="auto"/>
            <w:bottom w:val="none" w:sz="0" w:space="0" w:color="auto"/>
            <w:right w:val="none" w:sz="0" w:space="0" w:color="auto"/>
          </w:divBdr>
        </w:div>
        <w:div w:id="2024703776">
          <w:marLeft w:val="0"/>
          <w:marRight w:val="0"/>
          <w:marTop w:val="0"/>
          <w:marBottom w:val="0"/>
          <w:divBdr>
            <w:top w:val="none" w:sz="0" w:space="0" w:color="auto"/>
            <w:left w:val="none" w:sz="0" w:space="0" w:color="auto"/>
            <w:bottom w:val="none" w:sz="0" w:space="0" w:color="auto"/>
            <w:right w:val="none" w:sz="0" w:space="0" w:color="auto"/>
          </w:divBdr>
        </w:div>
        <w:div w:id="2024703777">
          <w:marLeft w:val="0"/>
          <w:marRight w:val="0"/>
          <w:marTop w:val="0"/>
          <w:marBottom w:val="0"/>
          <w:divBdr>
            <w:top w:val="none" w:sz="0" w:space="0" w:color="auto"/>
            <w:left w:val="none" w:sz="0" w:space="0" w:color="auto"/>
            <w:bottom w:val="none" w:sz="0" w:space="0" w:color="auto"/>
            <w:right w:val="none" w:sz="0" w:space="0" w:color="auto"/>
          </w:divBdr>
        </w:div>
        <w:div w:id="2024703778">
          <w:marLeft w:val="0"/>
          <w:marRight w:val="0"/>
          <w:marTop w:val="0"/>
          <w:marBottom w:val="0"/>
          <w:divBdr>
            <w:top w:val="none" w:sz="0" w:space="0" w:color="auto"/>
            <w:left w:val="none" w:sz="0" w:space="0" w:color="auto"/>
            <w:bottom w:val="none" w:sz="0" w:space="0" w:color="auto"/>
            <w:right w:val="none" w:sz="0" w:space="0" w:color="auto"/>
          </w:divBdr>
        </w:div>
        <w:div w:id="2024703779">
          <w:marLeft w:val="0"/>
          <w:marRight w:val="0"/>
          <w:marTop w:val="0"/>
          <w:marBottom w:val="0"/>
          <w:divBdr>
            <w:top w:val="none" w:sz="0" w:space="0" w:color="auto"/>
            <w:left w:val="none" w:sz="0" w:space="0" w:color="auto"/>
            <w:bottom w:val="none" w:sz="0" w:space="0" w:color="auto"/>
            <w:right w:val="none" w:sz="0" w:space="0" w:color="auto"/>
          </w:divBdr>
        </w:div>
        <w:div w:id="2024703780">
          <w:marLeft w:val="0"/>
          <w:marRight w:val="0"/>
          <w:marTop w:val="0"/>
          <w:marBottom w:val="0"/>
          <w:divBdr>
            <w:top w:val="none" w:sz="0" w:space="0" w:color="auto"/>
            <w:left w:val="none" w:sz="0" w:space="0" w:color="auto"/>
            <w:bottom w:val="none" w:sz="0" w:space="0" w:color="auto"/>
            <w:right w:val="none" w:sz="0" w:space="0" w:color="auto"/>
          </w:divBdr>
        </w:div>
        <w:div w:id="2024703781">
          <w:marLeft w:val="0"/>
          <w:marRight w:val="0"/>
          <w:marTop w:val="0"/>
          <w:marBottom w:val="0"/>
          <w:divBdr>
            <w:top w:val="none" w:sz="0" w:space="0" w:color="auto"/>
            <w:left w:val="none" w:sz="0" w:space="0" w:color="auto"/>
            <w:bottom w:val="none" w:sz="0" w:space="0" w:color="auto"/>
            <w:right w:val="none" w:sz="0" w:space="0" w:color="auto"/>
          </w:divBdr>
        </w:div>
        <w:div w:id="2024703782">
          <w:marLeft w:val="0"/>
          <w:marRight w:val="0"/>
          <w:marTop w:val="0"/>
          <w:marBottom w:val="0"/>
          <w:divBdr>
            <w:top w:val="none" w:sz="0" w:space="0" w:color="auto"/>
            <w:left w:val="none" w:sz="0" w:space="0" w:color="auto"/>
            <w:bottom w:val="none" w:sz="0" w:space="0" w:color="auto"/>
            <w:right w:val="none" w:sz="0" w:space="0" w:color="auto"/>
          </w:divBdr>
        </w:div>
        <w:div w:id="2024703783">
          <w:marLeft w:val="0"/>
          <w:marRight w:val="0"/>
          <w:marTop w:val="0"/>
          <w:marBottom w:val="0"/>
          <w:divBdr>
            <w:top w:val="none" w:sz="0" w:space="0" w:color="auto"/>
            <w:left w:val="none" w:sz="0" w:space="0" w:color="auto"/>
            <w:bottom w:val="none" w:sz="0" w:space="0" w:color="auto"/>
            <w:right w:val="none" w:sz="0" w:space="0" w:color="auto"/>
          </w:divBdr>
        </w:div>
        <w:div w:id="2024703784">
          <w:marLeft w:val="0"/>
          <w:marRight w:val="0"/>
          <w:marTop w:val="0"/>
          <w:marBottom w:val="0"/>
          <w:divBdr>
            <w:top w:val="none" w:sz="0" w:space="0" w:color="auto"/>
            <w:left w:val="none" w:sz="0" w:space="0" w:color="auto"/>
            <w:bottom w:val="none" w:sz="0" w:space="0" w:color="auto"/>
            <w:right w:val="none" w:sz="0" w:space="0" w:color="auto"/>
          </w:divBdr>
        </w:div>
        <w:div w:id="2024703785">
          <w:marLeft w:val="0"/>
          <w:marRight w:val="0"/>
          <w:marTop w:val="0"/>
          <w:marBottom w:val="0"/>
          <w:divBdr>
            <w:top w:val="none" w:sz="0" w:space="0" w:color="auto"/>
            <w:left w:val="none" w:sz="0" w:space="0" w:color="auto"/>
            <w:bottom w:val="none" w:sz="0" w:space="0" w:color="auto"/>
            <w:right w:val="none" w:sz="0" w:space="0" w:color="auto"/>
          </w:divBdr>
        </w:div>
        <w:div w:id="2024703786">
          <w:marLeft w:val="0"/>
          <w:marRight w:val="0"/>
          <w:marTop w:val="0"/>
          <w:marBottom w:val="0"/>
          <w:divBdr>
            <w:top w:val="none" w:sz="0" w:space="0" w:color="auto"/>
            <w:left w:val="none" w:sz="0" w:space="0" w:color="auto"/>
            <w:bottom w:val="none" w:sz="0" w:space="0" w:color="auto"/>
            <w:right w:val="none" w:sz="0" w:space="0" w:color="auto"/>
          </w:divBdr>
        </w:div>
        <w:div w:id="2024703787">
          <w:marLeft w:val="0"/>
          <w:marRight w:val="0"/>
          <w:marTop w:val="0"/>
          <w:marBottom w:val="0"/>
          <w:divBdr>
            <w:top w:val="none" w:sz="0" w:space="0" w:color="auto"/>
            <w:left w:val="none" w:sz="0" w:space="0" w:color="auto"/>
            <w:bottom w:val="none" w:sz="0" w:space="0" w:color="auto"/>
            <w:right w:val="none" w:sz="0" w:space="0" w:color="auto"/>
          </w:divBdr>
        </w:div>
        <w:div w:id="2024703788">
          <w:marLeft w:val="0"/>
          <w:marRight w:val="0"/>
          <w:marTop w:val="0"/>
          <w:marBottom w:val="0"/>
          <w:divBdr>
            <w:top w:val="none" w:sz="0" w:space="0" w:color="auto"/>
            <w:left w:val="none" w:sz="0" w:space="0" w:color="auto"/>
            <w:bottom w:val="none" w:sz="0" w:space="0" w:color="auto"/>
            <w:right w:val="none" w:sz="0" w:space="0" w:color="auto"/>
          </w:divBdr>
        </w:div>
        <w:div w:id="2024703789">
          <w:marLeft w:val="0"/>
          <w:marRight w:val="0"/>
          <w:marTop w:val="0"/>
          <w:marBottom w:val="0"/>
          <w:divBdr>
            <w:top w:val="none" w:sz="0" w:space="0" w:color="auto"/>
            <w:left w:val="none" w:sz="0" w:space="0" w:color="auto"/>
            <w:bottom w:val="none" w:sz="0" w:space="0" w:color="auto"/>
            <w:right w:val="none" w:sz="0" w:space="0" w:color="auto"/>
          </w:divBdr>
        </w:div>
        <w:div w:id="2024703790">
          <w:marLeft w:val="0"/>
          <w:marRight w:val="0"/>
          <w:marTop w:val="0"/>
          <w:marBottom w:val="0"/>
          <w:divBdr>
            <w:top w:val="none" w:sz="0" w:space="0" w:color="auto"/>
            <w:left w:val="none" w:sz="0" w:space="0" w:color="auto"/>
            <w:bottom w:val="none" w:sz="0" w:space="0" w:color="auto"/>
            <w:right w:val="none" w:sz="0" w:space="0" w:color="auto"/>
          </w:divBdr>
        </w:div>
        <w:div w:id="2024703791">
          <w:marLeft w:val="0"/>
          <w:marRight w:val="0"/>
          <w:marTop w:val="0"/>
          <w:marBottom w:val="0"/>
          <w:divBdr>
            <w:top w:val="none" w:sz="0" w:space="0" w:color="auto"/>
            <w:left w:val="none" w:sz="0" w:space="0" w:color="auto"/>
            <w:bottom w:val="none" w:sz="0" w:space="0" w:color="auto"/>
            <w:right w:val="none" w:sz="0" w:space="0" w:color="auto"/>
          </w:divBdr>
        </w:div>
        <w:div w:id="2024703792">
          <w:marLeft w:val="0"/>
          <w:marRight w:val="0"/>
          <w:marTop w:val="0"/>
          <w:marBottom w:val="0"/>
          <w:divBdr>
            <w:top w:val="none" w:sz="0" w:space="0" w:color="auto"/>
            <w:left w:val="none" w:sz="0" w:space="0" w:color="auto"/>
            <w:bottom w:val="none" w:sz="0" w:space="0" w:color="auto"/>
            <w:right w:val="none" w:sz="0" w:space="0" w:color="auto"/>
          </w:divBdr>
        </w:div>
        <w:div w:id="2024703794">
          <w:marLeft w:val="0"/>
          <w:marRight w:val="0"/>
          <w:marTop w:val="0"/>
          <w:marBottom w:val="0"/>
          <w:divBdr>
            <w:top w:val="none" w:sz="0" w:space="0" w:color="auto"/>
            <w:left w:val="none" w:sz="0" w:space="0" w:color="auto"/>
            <w:bottom w:val="none" w:sz="0" w:space="0" w:color="auto"/>
            <w:right w:val="none" w:sz="0" w:space="0" w:color="auto"/>
          </w:divBdr>
        </w:div>
        <w:div w:id="2024703795">
          <w:marLeft w:val="0"/>
          <w:marRight w:val="0"/>
          <w:marTop w:val="0"/>
          <w:marBottom w:val="0"/>
          <w:divBdr>
            <w:top w:val="none" w:sz="0" w:space="0" w:color="auto"/>
            <w:left w:val="none" w:sz="0" w:space="0" w:color="auto"/>
            <w:bottom w:val="none" w:sz="0" w:space="0" w:color="auto"/>
            <w:right w:val="none" w:sz="0" w:space="0" w:color="auto"/>
          </w:divBdr>
        </w:div>
        <w:div w:id="2024703796">
          <w:marLeft w:val="0"/>
          <w:marRight w:val="0"/>
          <w:marTop w:val="0"/>
          <w:marBottom w:val="0"/>
          <w:divBdr>
            <w:top w:val="none" w:sz="0" w:space="0" w:color="auto"/>
            <w:left w:val="none" w:sz="0" w:space="0" w:color="auto"/>
            <w:bottom w:val="none" w:sz="0" w:space="0" w:color="auto"/>
            <w:right w:val="none" w:sz="0" w:space="0" w:color="auto"/>
          </w:divBdr>
        </w:div>
        <w:div w:id="2024703797">
          <w:marLeft w:val="0"/>
          <w:marRight w:val="0"/>
          <w:marTop w:val="0"/>
          <w:marBottom w:val="0"/>
          <w:divBdr>
            <w:top w:val="none" w:sz="0" w:space="0" w:color="auto"/>
            <w:left w:val="none" w:sz="0" w:space="0" w:color="auto"/>
            <w:bottom w:val="none" w:sz="0" w:space="0" w:color="auto"/>
            <w:right w:val="none" w:sz="0" w:space="0" w:color="auto"/>
          </w:divBdr>
        </w:div>
        <w:div w:id="2024703798">
          <w:marLeft w:val="0"/>
          <w:marRight w:val="0"/>
          <w:marTop w:val="0"/>
          <w:marBottom w:val="0"/>
          <w:divBdr>
            <w:top w:val="none" w:sz="0" w:space="0" w:color="auto"/>
            <w:left w:val="none" w:sz="0" w:space="0" w:color="auto"/>
            <w:bottom w:val="none" w:sz="0" w:space="0" w:color="auto"/>
            <w:right w:val="none" w:sz="0" w:space="0" w:color="auto"/>
          </w:divBdr>
        </w:div>
        <w:div w:id="2024703799">
          <w:marLeft w:val="0"/>
          <w:marRight w:val="0"/>
          <w:marTop w:val="0"/>
          <w:marBottom w:val="0"/>
          <w:divBdr>
            <w:top w:val="none" w:sz="0" w:space="0" w:color="auto"/>
            <w:left w:val="none" w:sz="0" w:space="0" w:color="auto"/>
            <w:bottom w:val="none" w:sz="0" w:space="0" w:color="auto"/>
            <w:right w:val="none" w:sz="0" w:space="0" w:color="auto"/>
          </w:divBdr>
        </w:div>
        <w:div w:id="2024703800">
          <w:marLeft w:val="0"/>
          <w:marRight w:val="0"/>
          <w:marTop w:val="0"/>
          <w:marBottom w:val="0"/>
          <w:divBdr>
            <w:top w:val="none" w:sz="0" w:space="0" w:color="auto"/>
            <w:left w:val="none" w:sz="0" w:space="0" w:color="auto"/>
            <w:bottom w:val="none" w:sz="0" w:space="0" w:color="auto"/>
            <w:right w:val="none" w:sz="0" w:space="0" w:color="auto"/>
          </w:divBdr>
        </w:div>
        <w:div w:id="2024703801">
          <w:marLeft w:val="0"/>
          <w:marRight w:val="0"/>
          <w:marTop w:val="0"/>
          <w:marBottom w:val="0"/>
          <w:divBdr>
            <w:top w:val="none" w:sz="0" w:space="0" w:color="auto"/>
            <w:left w:val="none" w:sz="0" w:space="0" w:color="auto"/>
            <w:bottom w:val="none" w:sz="0" w:space="0" w:color="auto"/>
            <w:right w:val="none" w:sz="0" w:space="0" w:color="auto"/>
          </w:divBdr>
        </w:div>
        <w:div w:id="2024703802">
          <w:marLeft w:val="0"/>
          <w:marRight w:val="0"/>
          <w:marTop w:val="0"/>
          <w:marBottom w:val="0"/>
          <w:divBdr>
            <w:top w:val="none" w:sz="0" w:space="0" w:color="auto"/>
            <w:left w:val="none" w:sz="0" w:space="0" w:color="auto"/>
            <w:bottom w:val="none" w:sz="0" w:space="0" w:color="auto"/>
            <w:right w:val="none" w:sz="0" w:space="0" w:color="auto"/>
          </w:divBdr>
        </w:div>
        <w:div w:id="2024703803">
          <w:marLeft w:val="0"/>
          <w:marRight w:val="0"/>
          <w:marTop w:val="0"/>
          <w:marBottom w:val="0"/>
          <w:divBdr>
            <w:top w:val="none" w:sz="0" w:space="0" w:color="auto"/>
            <w:left w:val="none" w:sz="0" w:space="0" w:color="auto"/>
            <w:bottom w:val="none" w:sz="0" w:space="0" w:color="auto"/>
            <w:right w:val="none" w:sz="0" w:space="0" w:color="auto"/>
          </w:divBdr>
        </w:div>
        <w:div w:id="2024703804">
          <w:marLeft w:val="0"/>
          <w:marRight w:val="0"/>
          <w:marTop w:val="0"/>
          <w:marBottom w:val="0"/>
          <w:divBdr>
            <w:top w:val="none" w:sz="0" w:space="0" w:color="auto"/>
            <w:left w:val="none" w:sz="0" w:space="0" w:color="auto"/>
            <w:bottom w:val="none" w:sz="0" w:space="0" w:color="auto"/>
            <w:right w:val="none" w:sz="0" w:space="0" w:color="auto"/>
          </w:divBdr>
        </w:div>
        <w:div w:id="2024703805">
          <w:marLeft w:val="0"/>
          <w:marRight w:val="0"/>
          <w:marTop w:val="0"/>
          <w:marBottom w:val="0"/>
          <w:divBdr>
            <w:top w:val="none" w:sz="0" w:space="0" w:color="auto"/>
            <w:left w:val="none" w:sz="0" w:space="0" w:color="auto"/>
            <w:bottom w:val="none" w:sz="0" w:space="0" w:color="auto"/>
            <w:right w:val="none" w:sz="0" w:space="0" w:color="auto"/>
          </w:divBdr>
        </w:div>
        <w:div w:id="2024703806">
          <w:marLeft w:val="0"/>
          <w:marRight w:val="0"/>
          <w:marTop w:val="0"/>
          <w:marBottom w:val="0"/>
          <w:divBdr>
            <w:top w:val="none" w:sz="0" w:space="0" w:color="auto"/>
            <w:left w:val="none" w:sz="0" w:space="0" w:color="auto"/>
            <w:bottom w:val="none" w:sz="0" w:space="0" w:color="auto"/>
            <w:right w:val="none" w:sz="0" w:space="0" w:color="auto"/>
          </w:divBdr>
        </w:div>
        <w:div w:id="2024703808">
          <w:marLeft w:val="0"/>
          <w:marRight w:val="0"/>
          <w:marTop w:val="0"/>
          <w:marBottom w:val="0"/>
          <w:divBdr>
            <w:top w:val="none" w:sz="0" w:space="0" w:color="auto"/>
            <w:left w:val="none" w:sz="0" w:space="0" w:color="auto"/>
            <w:bottom w:val="none" w:sz="0" w:space="0" w:color="auto"/>
            <w:right w:val="none" w:sz="0" w:space="0" w:color="auto"/>
          </w:divBdr>
        </w:div>
        <w:div w:id="2024703809">
          <w:marLeft w:val="0"/>
          <w:marRight w:val="0"/>
          <w:marTop w:val="0"/>
          <w:marBottom w:val="0"/>
          <w:divBdr>
            <w:top w:val="none" w:sz="0" w:space="0" w:color="auto"/>
            <w:left w:val="none" w:sz="0" w:space="0" w:color="auto"/>
            <w:bottom w:val="none" w:sz="0" w:space="0" w:color="auto"/>
            <w:right w:val="none" w:sz="0" w:space="0" w:color="auto"/>
          </w:divBdr>
        </w:div>
        <w:div w:id="2024703810">
          <w:marLeft w:val="0"/>
          <w:marRight w:val="0"/>
          <w:marTop w:val="0"/>
          <w:marBottom w:val="0"/>
          <w:divBdr>
            <w:top w:val="none" w:sz="0" w:space="0" w:color="auto"/>
            <w:left w:val="none" w:sz="0" w:space="0" w:color="auto"/>
            <w:bottom w:val="none" w:sz="0" w:space="0" w:color="auto"/>
            <w:right w:val="none" w:sz="0" w:space="0" w:color="auto"/>
          </w:divBdr>
        </w:div>
        <w:div w:id="2024703811">
          <w:marLeft w:val="0"/>
          <w:marRight w:val="0"/>
          <w:marTop w:val="0"/>
          <w:marBottom w:val="0"/>
          <w:divBdr>
            <w:top w:val="none" w:sz="0" w:space="0" w:color="auto"/>
            <w:left w:val="none" w:sz="0" w:space="0" w:color="auto"/>
            <w:bottom w:val="none" w:sz="0" w:space="0" w:color="auto"/>
            <w:right w:val="none" w:sz="0" w:space="0" w:color="auto"/>
          </w:divBdr>
        </w:div>
        <w:div w:id="2024703812">
          <w:marLeft w:val="0"/>
          <w:marRight w:val="0"/>
          <w:marTop w:val="0"/>
          <w:marBottom w:val="0"/>
          <w:divBdr>
            <w:top w:val="none" w:sz="0" w:space="0" w:color="auto"/>
            <w:left w:val="none" w:sz="0" w:space="0" w:color="auto"/>
            <w:bottom w:val="none" w:sz="0" w:space="0" w:color="auto"/>
            <w:right w:val="none" w:sz="0" w:space="0" w:color="auto"/>
          </w:divBdr>
        </w:div>
        <w:div w:id="2024703813">
          <w:marLeft w:val="0"/>
          <w:marRight w:val="0"/>
          <w:marTop w:val="0"/>
          <w:marBottom w:val="0"/>
          <w:divBdr>
            <w:top w:val="none" w:sz="0" w:space="0" w:color="auto"/>
            <w:left w:val="none" w:sz="0" w:space="0" w:color="auto"/>
            <w:bottom w:val="none" w:sz="0" w:space="0" w:color="auto"/>
            <w:right w:val="none" w:sz="0" w:space="0" w:color="auto"/>
          </w:divBdr>
        </w:div>
        <w:div w:id="2024703814">
          <w:marLeft w:val="0"/>
          <w:marRight w:val="0"/>
          <w:marTop w:val="0"/>
          <w:marBottom w:val="0"/>
          <w:divBdr>
            <w:top w:val="none" w:sz="0" w:space="0" w:color="auto"/>
            <w:left w:val="none" w:sz="0" w:space="0" w:color="auto"/>
            <w:bottom w:val="none" w:sz="0" w:space="0" w:color="auto"/>
            <w:right w:val="none" w:sz="0" w:space="0" w:color="auto"/>
          </w:divBdr>
        </w:div>
        <w:div w:id="2024703815">
          <w:marLeft w:val="0"/>
          <w:marRight w:val="0"/>
          <w:marTop w:val="0"/>
          <w:marBottom w:val="0"/>
          <w:divBdr>
            <w:top w:val="none" w:sz="0" w:space="0" w:color="auto"/>
            <w:left w:val="none" w:sz="0" w:space="0" w:color="auto"/>
            <w:bottom w:val="none" w:sz="0" w:space="0" w:color="auto"/>
            <w:right w:val="none" w:sz="0" w:space="0" w:color="auto"/>
          </w:divBdr>
        </w:div>
        <w:div w:id="2024703816">
          <w:marLeft w:val="0"/>
          <w:marRight w:val="0"/>
          <w:marTop w:val="0"/>
          <w:marBottom w:val="0"/>
          <w:divBdr>
            <w:top w:val="none" w:sz="0" w:space="0" w:color="auto"/>
            <w:left w:val="none" w:sz="0" w:space="0" w:color="auto"/>
            <w:bottom w:val="none" w:sz="0" w:space="0" w:color="auto"/>
            <w:right w:val="none" w:sz="0" w:space="0" w:color="auto"/>
          </w:divBdr>
        </w:div>
        <w:div w:id="2024703817">
          <w:marLeft w:val="0"/>
          <w:marRight w:val="0"/>
          <w:marTop w:val="0"/>
          <w:marBottom w:val="0"/>
          <w:divBdr>
            <w:top w:val="none" w:sz="0" w:space="0" w:color="auto"/>
            <w:left w:val="none" w:sz="0" w:space="0" w:color="auto"/>
            <w:bottom w:val="none" w:sz="0" w:space="0" w:color="auto"/>
            <w:right w:val="none" w:sz="0" w:space="0" w:color="auto"/>
          </w:divBdr>
        </w:div>
        <w:div w:id="2024703818">
          <w:marLeft w:val="0"/>
          <w:marRight w:val="0"/>
          <w:marTop w:val="0"/>
          <w:marBottom w:val="0"/>
          <w:divBdr>
            <w:top w:val="none" w:sz="0" w:space="0" w:color="auto"/>
            <w:left w:val="none" w:sz="0" w:space="0" w:color="auto"/>
            <w:bottom w:val="none" w:sz="0" w:space="0" w:color="auto"/>
            <w:right w:val="none" w:sz="0" w:space="0" w:color="auto"/>
          </w:divBdr>
        </w:div>
        <w:div w:id="2024703819">
          <w:marLeft w:val="0"/>
          <w:marRight w:val="0"/>
          <w:marTop w:val="0"/>
          <w:marBottom w:val="0"/>
          <w:divBdr>
            <w:top w:val="none" w:sz="0" w:space="0" w:color="auto"/>
            <w:left w:val="none" w:sz="0" w:space="0" w:color="auto"/>
            <w:bottom w:val="none" w:sz="0" w:space="0" w:color="auto"/>
            <w:right w:val="none" w:sz="0" w:space="0" w:color="auto"/>
          </w:divBdr>
        </w:div>
        <w:div w:id="2024703820">
          <w:marLeft w:val="0"/>
          <w:marRight w:val="0"/>
          <w:marTop w:val="0"/>
          <w:marBottom w:val="0"/>
          <w:divBdr>
            <w:top w:val="none" w:sz="0" w:space="0" w:color="auto"/>
            <w:left w:val="none" w:sz="0" w:space="0" w:color="auto"/>
            <w:bottom w:val="none" w:sz="0" w:space="0" w:color="auto"/>
            <w:right w:val="none" w:sz="0" w:space="0" w:color="auto"/>
          </w:divBdr>
        </w:div>
        <w:div w:id="2024703821">
          <w:marLeft w:val="0"/>
          <w:marRight w:val="0"/>
          <w:marTop w:val="0"/>
          <w:marBottom w:val="0"/>
          <w:divBdr>
            <w:top w:val="none" w:sz="0" w:space="0" w:color="auto"/>
            <w:left w:val="none" w:sz="0" w:space="0" w:color="auto"/>
            <w:bottom w:val="none" w:sz="0" w:space="0" w:color="auto"/>
            <w:right w:val="none" w:sz="0" w:space="0" w:color="auto"/>
          </w:divBdr>
        </w:div>
        <w:div w:id="2024703822">
          <w:marLeft w:val="0"/>
          <w:marRight w:val="0"/>
          <w:marTop w:val="0"/>
          <w:marBottom w:val="0"/>
          <w:divBdr>
            <w:top w:val="none" w:sz="0" w:space="0" w:color="auto"/>
            <w:left w:val="none" w:sz="0" w:space="0" w:color="auto"/>
            <w:bottom w:val="none" w:sz="0" w:space="0" w:color="auto"/>
            <w:right w:val="none" w:sz="0" w:space="0" w:color="auto"/>
          </w:divBdr>
        </w:div>
        <w:div w:id="2024703823">
          <w:marLeft w:val="0"/>
          <w:marRight w:val="0"/>
          <w:marTop w:val="0"/>
          <w:marBottom w:val="0"/>
          <w:divBdr>
            <w:top w:val="none" w:sz="0" w:space="0" w:color="auto"/>
            <w:left w:val="none" w:sz="0" w:space="0" w:color="auto"/>
            <w:bottom w:val="none" w:sz="0" w:space="0" w:color="auto"/>
            <w:right w:val="none" w:sz="0" w:space="0" w:color="auto"/>
          </w:divBdr>
        </w:div>
        <w:div w:id="2024703824">
          <w:marLeft w:val="0"/>
          <w:marRight w:val="0"/>
          <w:marTop w:val="0"/>
          <w:marBottom w:val="0"/>
          <w:divBdr>
            <w:top w:val="none" w:sz="0" w:space="0" w:color="auto"/>
            <w:left w:val="none" w:sz="0" w:space="0" w:color="auto"/>
            <w:bottom w:val="none" w:sz="0" w:space="0" w:color="auto"/>
            <w:right w:val="none" w:sz="0" w:space="0" w:color="auto"/>
          </w:divBdr>
        </w:div>
        <w:div w:id="2024703826">
          <w:marLeft w:val="0"/>
          <w:marRight w:val="0"/>
          <w:marTop w:val="0"/>
          <w:marBottom w:val="0"/>
          <w:divBdr>
            <w:top w:val="none" w:sz="0" w:space="0" w:color="auto"/>
            <w:left w:val="none" w:sz="0" w:space="0" w:color="auto"/>
            <w:bottom w:val="none" w:sz="0" w:space="0" w:color="auto"/>
            <w:right w:val="none" w:sz="0" w:space="0" w:color="auto"/>
          </w:divBdr>
        </w:div>
        <w:div w:id="2024703827">
          <w:marLeft w:val="0"/>
          <w:marRight w:val="0"/>
          <w:marTop w:val="0"/>
          <w:marBottom w:val="0"/>
          <w:divBdr>
            <w:top w:val="none" w:sz="0" w:space="0" w:color="auto"/>
            <w:left w:val="none" w:sz="0" w:space="0" w:color="auto"/>
            <w:bottom w:val="none" w:sz="0" w:space="0" w:color="auto"/>
            <w:right w:val="none" w:sz="0" w:space="0" w:color="auto"/>
          </w:divBdr>
        </w:div>
        <w:div w:id="2024703828">
          <w:marLeft w:val="0"/>
          <w:marRight w:val="0"/>
          <w:marTop w:val="0"/>
          <w:marBottom w:val="0"/>
          <w:divBdr>
            <w:top w:val="none" w:sz="0" w:space="0" w:color="auto"/>
            <w:left w:val="none" w:sz="0" w:space="0" w:color="auto"/>
            <w:bottom w:val="none" w:sz="0" w:space="0" w:color="auto"/>
            <w:right w:val="none" w:sz="0" w:space="0" w:color="auto"/>
          </w:divBdr>
        </w:div>
        <w:div w:id="2024703829">
          <w:marLeft w:val="0"/>
          <w:marRight w:val="0"/>
          <w:marTop w:val="0"/>
          <w:marBottom w:val="0"/>
          <w:divBdr>
            <w:top w:val="none" w:sz="0" w:space="0" w:color="auto"/>
            <w:left w:val="none" w:sz="0" w:space="0" w:color="auto"/>
            <w:bottom w:val="none" w:sz="0" w:space="0" w:color="auto"/>
            <w:right w:val="none" w:sz="0" w:space="0" w:color="auto"/>
          </w:divBdr>
        </w:div>
        <w:div w:id="2024703830">
          <w:marLeft w:val="0"/>
          <w:marRight w:val="0"/>
          <w:marTop w:val="0"/>
          <w:marBottom w:val="0"/>
          <w:divBdr>
            <w:top w:val="none" w:sz="0" w:space="0" w:color="auto"/>
            <w:left w:val="none" w:sz="0" w:space="0" w:color="auto"/>
            <w:bottom w:val="none" w:sz="0" w:space="0" w:color="auto"/>
            <w:right w:val="none" w:sz="0" w:space="0" w:color="auto"/>
          </w:divBdr>
        </w:div>
        <w:div w:id="2024703831">
          <w:marLeft w:val="0"/>
          <w:marRight w:val="0"/>
          <w:marTop w:val="0"/>
          <w:marBottom w:val="0"/>
          <w:divBdr>
            <w:top w:val="none" w:sz="0" w:space="0" w:color="auto"/>
            <w:left w:val="none" w:sz="0" w:space="0" w:color="auto"/>
            <w:bottom w:val="none" w:sz="0" w:space="0" w:color="auto"/>
            <w:right w:val="none" w:sz="0" w:space="0" w:color="auto"/>
          </w:divBdr>
        </w:div>
        <w:div w:id="2024703832">
          <w:marLeft w:val="0"/>
          <w:marRight w:val="0"/>
          <w:marTop w:val="0"/>
          <w:marBottom w:val="0"/>
          <w:divBdr>
            <w:top w:val="none" w:sz="0" w:space="0" w:color="auto"/>
            <w:left w:val="none" w:sz="0" w:space="0" w:color="auto"/>
            <w:bottom w:val="none" w:sz="0" w:space="0" w:color="auto"/>
            <w:right w:val="none" w:sz="0" w:space="0" w:color="auto"/>
          </w:divBdr>
        </w:div>
        <w:div w:id="2024703834">
          <w:marLeft w:val="0"/>
          <w:marRight w:val="0"/>
          <w:marTop w:val="0"/>
          <w:marBottom w:val="0"/>
          <w:divBdr>
            <w:top w:val="none" w:sz="0" w:space="0" w:color="auto"/>
            <w:left w:val="none" w:sz="0" w:space="0" w:color="auto"/>
            <w:bottom w:val="none" w:sz="0" w:space="0" w:color="auto"/>
            <w:right w:val="none" w:sz="0" w:space="0" w:color="auto"/>
          </w:divBdr>
        </w:div>
        <w:div w:id="2024703835">
          <w:marLeft w:val="0"/>
          <w:marRight w:val="0"/>
          <w:marTop w:val="0"/>
          <w:marBottom w:val="0"/>
          <w:divBdr>
            <w:top w:val="none" w:sz="0" w:space="0" w:color="auto"/>
            <w:left w:val="none" w:sz="0" w:space="0" w:color="auto"/>
            <w:bottom w:val="none" w:sz="0" w:space="0" w:color="auto"/>
            <w:right w:val="none" w:sz="0" w:space="0" w:color="auto"/>
          </w:divBdr>
        </w:div>
        <w:div w:id="2024703836">
          <w:marLeft w:val="0"/>
          <w:marRight w:val="0"/>
          <w:marTop w:val="0"/>
          <w:marBottom w:val="0"/>
          <w:divBdr>
            <w:top w:val="none" w:sz="0" w:space="0" w:color="auto"/>
            <w:left w:val="none" w:sz="0" w:space="0" w:color="auto"/>
            <w:bottom w:val="none" w:sz="0" w:space="0" w:color="auto"/>
            <w:right w:val="none" w:sz="0" w:space="0" w:color="auto"/>
          </w:divBdr>
        </w:div>
        <w:div w:id="2024703837">
          <w:marLeft w:val="0"/>
          <w:marRight w:val="0"/>
          <w:marTop w:val="0"/>
          <w:marBottom w:val="0"/>
          <w:divBdr>
            <w:top w:val="none" w:sz="0" w:space="0" w:color="auto"/>
            <w:left w:val="none" w:sz="0" w:space="0" w:color="auto"/>
            <w:bottom w:val="none" w:sz="0" w:space="0" w:color="auto"/>
            <w:right w:val="none" w:sz="0" w:space="0" w:color="auto"/>
          </w:divBdr>
        </w:div>
        <w:div w:id="2024703838">
          <w:marLeft w:val="0"/>
          <w:marRight w:val="0"/>
          <w:marTop w:val="0"/>
          <w:marBottom w:val="0"/>
          <w:divBdr>
            <w:top w:val="none" w:sz="0" w:space="0" w:color="auto"/>
            <w:left w:val="none" w:sz="0" w:space="0" w:color="auto"/>
            <w:bottom w:val="none" w:sz="0" w:space="0" w:color="auto"/>
            <w:right w:val="none" w:sz="0" w:space="0" w:color="auto"/>
          </w:divBdr>
        </w:div>
        <w:div w:id="2024703839">
          <w:marLeft w:val="0"/>
          <w:marRight w:val="0"/>
          <w:marTop w:val="0"/>
          <w:marBottom w:val="0"/>
          <w:divBdr>
            <w:top w:val="none" w:sz="0" w:space="0" w:color="auto"/>
            <w:left w:val="none" w:sz="0" w:space="0" w:color="auto"/>
            <w:bottom w:val="none" w:sz="0" w:space="0" w:color="auto"/>
            <w:right w:val="none" w:sz="0" w:space="0" w:color="auto"/>
          </w:divBdr>
        </w:div>
        <w:div w:id="2024703840">
          <w:marLeft w:val="0"/>
          <w:marRight w:val="0"/>
          <w:marTop w:val="0"/>
          <w:marBottom w:val="0"/>
          <w:divBdr>
            <w:top w:val="none" w:sz="0" w:space="0" w:color="auto"/>
            <w:left w:val="none" w:sz="0" w:space="0" w:color="auto"/>
            <w:bottom w:val="none" w:sz="0" w:space="0" w:color="auto"/>
            <w:right w:val="none" w:sz="0" w:space="0" w:color="auto"/>
          </w:divBdr>
        </w:div>
        <w:div w:id="2024703841">
          <w:marLeft w:val="0"/>
          <w:marRight w:val="0"/>
          <w:marTop w:val="0"/>
          <w:marBottom w:val="0"/>
          <w:divBdr>
            <w:top w:val="none" w:sz="0" w:space="0" w:color="auto"/>
            <w:left w:val="none" w:sz="0" w:space="0" w:color="auto"/>
            <w:bottom w:val="none" w:sz="0" w:space="0" w:color="auto"/>
            <w:right w:val="none" w:sz="0" w:space="0" w:color="auto"/>
          </w:divBdr>
        </w:div>
        <w:div w:id="2024703842">
          <w:marLeft w:val="0"/>
          <w:marRight w:val="0"/>
          <w:marTop w:val="0"/>
          <w:marBottom w:val="0"/>
          <w:divBdr>
            <w:top w:val="none" w:sz="0" w:space="0" w:color="auto"/>
            <w:left w:val="none" w:sz="0" w:space="0" w:color="auto"/>
            <w:bottom w:val="none" w:sz="0" w:space="0" w:color="auto"/>
            <w:right w:val="none" w:sz="0" w:space="0" w:color="auto"/>
          </w:divBdr>
        </w:div>
        <w:div w:id="2024703843">
          <w:marLeft w:val="0"/>
          <w:marRight w:val="0"/>
          <w:marTop w:val="0"/>
          <w:marBottom w:val="0"/>
          <w:divBdr>
            <w:top w:val="none" w:sz="0" w:space="0" w:color="auto"/>
            <w:left w:val="none" w:sz="0" w:space="0" w:color="auto"/>
            <w:bottom w:val="none" w:sz="0" w:space="0" w:color="auto"/>
            <w:right w:val="none" w:sz="0" w:space="0" w:color="auto"/>
          </w:divBdr>
        </w:div>
        <w:div w:id="2024703844">
          <w:marLeft w:val="0"/>
          <w:marRight w:val="0"/>
          <w:marTop w:val="0"/>
          <w:marBottom w:val="0"/>
          <w:divBdr>
            <w:top w:val="none" w:sz="0" w:space="0" w:color="auto"/>
            <w:left w:val="none" w:sz="0" w:space="0" w:color="auto"/>
            <w:bottom w:val="none" w:sz="0" w:space="0" w:color="auto"/>
            <w:right w:val="none" w:sz="0" w:space="0" w:color="auto"/>
          </w:divBdr>
        </w:div>
        <w:div w:id="2024703845">
          <w:marLeft w:val="0"/>
          <w:marRight w:val="0"/>
          <w:marTop w:val="0"/>
          <w:marBottom w:val="0"/>
          <w:divBdr>
            <w:top w:val="none" w:sz="0" w:space="0" w:color="auto"/>
            <w:left w:val="none" w:sz="0" w:space="0" w:color="auto"/>
            <w:bottom w:val="none" w:sz="0" w:space="0" w:color="auto"/>
            <w:right w:val="none" w:sz="0" w:space="0" w:color="auto"/>
          </w:divBdr>
        </w:div>
        <w:div w:id="2024703846">
          <w:marLeft w:val="0"/>
          <w:marRight w:val="0"/>
          <w:marTop w:val="0"/>
          <w:marBottom w:val="0"/>
          <w:divBdr>
            <w:top w:val="none" w:sz="0" w:space="0" w:color="auto"/>
            <w:left w:val="none" w:sz="0" w:space="0" w:color="auto"/>
            <w:bottom w:val="none" w:sz="0" w:space="0" w:color="auto"/>
            <w:right w:val="none" w:sz="0" w:space="0" w:color="auto"/>
          </w:divBdr>
        </w:div>
        <w:div w:id="2024703847">
          <w:marLeft w:val="0"/>
          <w:marRight w:val="0"/>
          <w:marTop w:val="0"/>
          <w:marBottom w:val="0"/>
          <w:divBdr>
            <w:top w:val="none" w:sz="0" w:space="0" w:color="auto"/>
            <w:left w:val="none" w:sz="0" w:space="0" w:color="auto"/>
            <w:bottom w:val="none" w:sz="0" w:space="0" w:color="auto"/>
            <w:right w:val="none" w:sz="0" w:space="0" w:color="auto"/>
          </w:divBdr>
        </w:div>
        <w:div w:id="2024703848">
          <w:marLeft w:val="0"/>
          <w:marRight w:val="0"/>
          <w:marTop w:val="0"/>
          <w:marBottom w:val="0"/>
          <w:divBdr>
            <w:top w:val="none" w:sz="0" w:space="0" w:color="auto"/>
            <w:left w:val="none" w:sz="0" w:space="0" w:color="auto"/>
            <w:bottom w:val="none" w:sz="0" w:space="0" w:color="auto"/>
            <w:right w:val="none" w:sz="0" w:space="0" w:color="auto"/>
          </w:divBdr>
        </w:div>
        <w:div w:id="2024703849">
          <w:marLeft w:val="0"/>
          <w:marRight w:val="0"/>
          <w:marTop w:val="0"/>
          <w:marBottom w:val="0"/>
          <w:divBdr>
            <w:top w:val="none" w:sz="0" w:space="0" w:color="auto"/>
            <w:left w:val="none" w:sz="0" w:space="0" w:color="auto"/>
            <w:bottom w:val="none" w:sz="0" w:space="0" w:color="auto"/>
            <w:right w:val="none" w:sz="0" w:space="0" w:color="auto"/>
          </w:divBdr>
        </w:div>
        <w:div w:id="2024703850">
          <w:marLeft w:val="0"/>
          <w:marRight w:val="0"/>
          <w:marTop w:val="0"/>
          <w:marBottom w:val="0"/>
          <w:divBdr>
            <w:top w:val="none" w:sz="0" w:space="0" w:color="auto"/>
            <w:left w:val="none" w:sz="0" w:space="0" w:color="auto"/>
            <w:bottom w:val="none" w:sz="0" w:space="0" w:color="auto"/>
            <w:right w:val="none" w:sz="0" w:space="0" w:color="auto"/>
          </w:divBdr>
        </w:div>
        <w:div w:id="2024703851">
          <w:marLeft w:val="0"/>
          <w:marRight w:val="0"/>
          <w:marTop w:val="0"/>
          <w:marBottom w:val="0"/>
          <w:divBdr>
            <w:top w:val="none" w:sz="0" w:space="0" w:color="auto"/>
            <w:left w:val="none" w:sz="0" w:space="0" w:color="auto"/>
            <w:bottom w:val="none" w:sz="0" w:space="0" w:color="auto"/>
            <w:right w:val="none" w:sz="0" w:space="0" w:color="auto"/>
          </w:divBdr>
        </w:div>
        <w:div w:id="2024703852">
          <w:marLeft w:val="0"/>
          <w:marRight w:val="0"/>
          <w:marTop w:val="0"/>
          <w:marBottom w:val="0"/>
          <w:divBdr>
            <w:top w:val="none" w:sz="0" w:space="0" w:color="auto"/>
            <w:left w:val="none" w:sz="0" w:space="0" w:color="auto"/>
            <w:bottom w:val="none" w:sz="0" w:space="0" w:color="auto"/>
            <w:right w:val="none" w:sz="0" w:space="0" w:color="auto"/>
          </w:divBdr>
        </w:div>
        <w:div w:id="2024703853">
          <w:marLeft w:val="0"/>
          <w:marRight w:val="0"/>
          <w:marTop w:val="0"/>
          <w:marBottom w:val="0"/>
          <w:divBdr>
            <w:top w:val="none" w:sz="0" w:space="0" w:color="auto"/>
            <w:left w:val="none" w:sz="0" w:space="0" w:color="auto"/>
            <w:bottom w:val="none" w:sz="0" w:space="0" w:color="auto"/>
            <w:right w:val="none" w:sz="0" w:space="0" w:color="auto"/>
          </w:divBdr>
        </w:div>
        <w:div w:id="2024703854">
          <w:marLeft w:val="0"/>
          <w:marRight w:val="0"/>
          <w:marTop w:val="0"/>
          <w:marBottom w:val="0"/>
          <w:divBdr>
            <w:top w:val="none" w:sz="0" w:space="0" w:color="auto"/>
            <w:left w:val="none" w:sz="0" w:space="0" w:color="auto"/>
            <w:bottom w:val="none" w:sz="0" w:space="0" w:color="auto"/>
            <w:right w:val="none" w:sz="0" w:space="0" w:color="auto"/>
          </w:divBdr>
        </w:div>
        <w:div w:id="2024703855">
          <w:marLeft w:val="0"/>
          <w:marRight w:val="0"/>
          <w:marTop w:val="0"/>
          <w:marBottom w:val="0"/>
          <w:divBdr>
            <w:top w:val="none" w:sz="0" w:space="0" w:color="auto"/>
            <w:left w:val="none" w:sz="0" w:space="0" w:color="auto"/>
            <w:bottom w:val="none" w:sz="0" w:space="0" w:color="auto"/>
            <w:right w:val="none" w:sz="0" w:space="0" w:color="auto"/>
          </w:divBdr>
        </w:div>
        <w:div w:id="2024703856">
          <w:marLeft w:val="0"/>
          <w:marRight w:val="0"/>
          <w:marTop w:val="0"/>
          <w:marBottom w:val="0"/>
          <w:divBdr>
            <w:top w:val="none" w:sz="0" w:space="0" w:color="auto"/>
            <w:left w:val="none" w:sz="0" w:space="0" w:color="auto"/>
            <w:bottom w:val="none" w:sz="0" w:space="0" w:color="auto"/>
            <w:right w:val="none" w:sz="0" w:space="0" w:color="auto"/>
          </w:divBdr>
        </w:div>
        <w:div w:id="2024703857">
          <w:marLeft w:val="0"/>
          <w:marRight w:val="0"/>
          <w:marTop w:val="0"/>
          <w:marBottom w:val="0"/>
          <w:divBdr>
            <w:top w:val="none" w:sz="0" w:space="0" w:color="auto"/>
            <w:left w:val="none" w:sz="0" w:space="0" w:color="auto"/>
            <w:bottom w:val="none" w:sz="0" w:space="0" w:color="auto"/>
            <w:right w:val="none" w:sz="0" w:space="0" w:color="auto"/>
          </w:divBdr>
        </w:div>
        <w:div w:id="2024703858">
          <w:marLeft w:val="0"/>
          <w:marRight w:val="0"/>
          <w:marTop w:val="0"/>
          <w:marBottom w:val="0"/>
          <w:divBdr>
            <w:top w:val="none" w:sz="0" w:space="0" w:color="auto"/>
            <w:left w:val="none" w:sz="0" w:space="0" w:color="auto"/>
            <w:bottom w:val="none" w:sz="0" w:space="0" w:color="auto"/>
            <w:right w:val="none" w:sz="0" w:space="0" w:color="auto"/>
          </w:divBdr>
        </w:div>
        <w:div w:id="2024703859">
          <w:marLeft w:val="0"/>
          <w:marRight w:val="0"/>
          <w:marTop w:val="0"/>
          <w:marBottom w:val="0"/>
          <w:divBdr>
            <w:top w:val="none" w:sz="0" w:space="0" w:color="auto"/>
            <w:left w:val="none" w:sz="0" w:space="0" w:color="auto"/>
            <w:bottom w:val="none" w:sz="0" w:space="0" w:color="auto"/>
            <w:right w:val="none" w:sz="0" w:space="0" w:color="auto"/>
          </w:divBdr>
        </w:div>
        <w:div w:id="2024703860">
          <w:marLeft w:val="0"/>
          <w:marRight w:val="0"/>
          <w:marTop w:val="0"/>
          <w:marBottom w:val="0"/>
          <w:divBdr>
            <w:top w:val="none" w:sz="0" w:space="0" w:color="auto"/>
            <w:left w:val="none" w:sz="0" w:space="0" w:color="auto"/>
            <w:bottom w:val="none" w:sz="0" w:space="0" w:color="auto"/>
            <w:right w:val="none" w:sz="0" w:space="0" w:color="auto"/>
          </w:divBdr>
        </w:div>
        <w:div w:id="2024703861">
          <w:marLeft w:val="0"/>
          <w:marRight w:val="0"/>
          <w:marTop w:val="0"/>
          <w:marBottom w:val="0"/>
          <w:divBdr>
            <w:top w:val="none" w:sz="0" w:space="0" w:color="auto"/>
            <w:left w:val="none" w:sz="0" w:space="0" w:color="auto"/>
            <w:bottom w:val="none" w:sz="0" w:space="0" w:color="auto"/>
            <w:right w:val="none" w:sz="0" w:space="0" w:color="auto"/>
          </w:divBdr>
        </w:div>
        <w:div w:id="2024703862">
          <w:marLeft w:val="0"/>
          <w:marRight w:val="0"/>
          <w:marTop w:val="0"/>
          <w:marBottom w:val="0"/>
          <w:divBdr>
            <w:top w:val="none" w:sz="0" w:space="0" w:color="auto"/>
            <w:left w:val="none" w:sz="0" w:space="0" w:color="auto"/>
            <w:bottom w:val="none" w:sz="0" w:space="0" w:color="auto"/>
            <w:right w:val="none" w:sz="0" w:space="0" w:color="auto"/>
          </w:divBdr>
        </w:div>
        <w:div w:id="2024703863">
          <w:marLeft w:val="0"/>
          <w:marRight w:val="0"/>
          <w:marTop w:val="0"/>
          <w:marBottom w:val="0"/>
          <w:divBdr>
            <w:top w:val="none" w:sz="0" w:space="0" w:color="auto"/>
            <w:left w:val="none" w:sz="0" w:space="0" w:color="auto"/>
            <w:bottom w:val="none" w:sz="0" w:space="0" w:color="auto"/>
            <w:right w:val="none" w:sz="0" w:space="0" w:color="auto"/>
          </w:divBdr>
        </w:div>
        <w:div w:id="2024703864">
          <w:marLeft w:val="0"/>
          <w:marRight w:val="0"/>
          <w:marTop w:val="0"/>
          <w:marBottom w:val="0"/>
          <w:divBdr>
            <w:top w:val="none" w:sz="0" w:space="0" w:color="auto"/>
            <w:left w:val="none" w:sz="0" w:space="0" w:color="auto"/>
            <w:bottom w:val="none" w:sz="0" w:space="0" w:color="auto"/>
            <w:right w:val="none" w:sz="0" w:space="0" w:color="auto"/>
          </w:divBdr>
        </w:div>
        <w:div w:id="2024703865">
          <w:marLeft w:val="0"/>
          <w:marRight w:val="0"/>
          <w:marTop w:val="0"/>
          <w:marBottom w:val="0"/>
          <w:divBdr>
            <w:top w:val="none" w:sz="0" w:space="0" w:color="auto"/>
            <w:left w:val="none" w:sz="0" w:space="0" w:color="auto"/>
            <w:bottom w:val="none" w:sz="0" w:space="0" w:color="auto"/>
            <w:right w:val="none" w:sz="0" w:space="0" w:color="auto"/>
          </w:divBdr>
        </w:div>
        <w:div w:id="2024703866">
          <w:marLeft w:val="0"/>
          <w:marRight w:val="0"/>
          <w:marTop w:val="0"/>
          <w:marBottom w:val="0"/>
          <w:divBdr>
            <w:top w:val="none" w:sz="0" w:space="0" w:color="auto"/>
            <w:left w:val="none" w:sz="0" w:space="0" w:color="auto"/>
            <w:bottom w:val="none" w:sz="0" w:space="0" w:color="auto"/>
            <w:right w:val="none" w:sz="0" w:space="0" w:color="auto"/>
          </w:divBdr>
        </w:div>
        <w:div w:id="2024703867">
          <w:marLeft w:val="0"/>
          <w:marRight w:val="0"/>
          <w:marTop w:val="0"/>
          <w:marBottom w:val="0"/>
          <w:divBdr>
            <w:top w:val="none" w:sz="0" w:space="0" w:color="auto"/>
            <w:left w:val="none" w:sz="0" w:space="0" w:color="auto"/>
            <w:bottom w:val="none" w:sz="0" w:space="0" w:color="auto"/>
            <w:right w:val="none" w:sz="0" w:space="0" w:color="auto"/>
          </w:divBdr>
        </w:div>
        <w:div w:id="2024703868">
          <w:marLeft w:val="0"/>
          <w:marRight w:val="0"/>
          <w:marTop w:val="0"/>
          <w:marBottom w:val="0"/>
          <w:divBdr>
            <w:top w:val="none" w:sz="0" w:space="0" w:color="auto"/>
            <w:left w:val="none" w:sz="0" w:space="0" w:color="auto"/>
            <w:bottom w:val="none" w:sz="0" w:space="0" w:color="auto"/>
            <w:right w:val="none" w:sz="0" w:space="0" w:color="auto"/>
          </w:divBdr>
        </w:div>
        <w:div w:id="2024703869">
          <w:marLeft w:val="0"/>
          <w:marRight w:val="0"/>
          <w:marTop w:val="0"/>
          <w:marBottom w:val="0"/>
          <w:divBdr>
            <w:top w:val="none" w:sz="0" w:space="0" w:color="auto"/>
            <w:left w:val="none" w:sz="0" w:space="0" w:color="auto"/>
            <w:bottom w:val="none" w:sz="0" w:space="0" w:color="auto"/>
            <w:right w:val="none" w:sz="0" w:space="0" w:color="auto"/>
          </w:divBdr>
        </w:div>
        <w:div w:id="2024703870">
          <w:marLeft w:val="0"/>
          <w:marRight w:val="0"/>
          <w:marTop w:val="0"/>
          <w:marBottom w:val="0"/>
          <w:divBdr>
            <w:top w:val="none" w:sz="0" w:space="0" w:color="auto"/>
            <w:left w:val="none" w:sz="0" w:space="0" w:color="auto"/>
            <w:bottom w:val="none" w:sz="0" w:space="0" w:color="auto"/>
            <w:right w:val="none" w:sz="0" w:space="0" w:color="auto"/>
          </w:divBdr>
        </w:div>
        <w:div w:id="2024703871">
          <w:marLeft w:val="0"/>
          <w:marRight w:val="0"/>
          <w:marTop w:val="0"/>
          <w:marBottom w:val="0"/>
          <w:divBdr>
            <w:top w:val="none" w:sz="0" w:space="0" w:color="auto"/>
            <w:left w:val="none" w:sz="0" w:space="0" w:color="auto"/>
            <w:bottom w:val="none" w:sz="0" w:space="0" w:color="auto"/>
            <w:right w:val="none" w:sz="0" w:space="0" w:color="auto"/>
          </w:divBdr>
        </w:div>
        <w:div w:id="2024703872">
          <w:marLeft w:val="0"/>
          <w:marRight w:val="0"/>
          <w:marTop w:val="0"/>
          <w:marBottom w:val="0"/>
          <w:divBdr>
            <w:top w:val="none" w:sz="0" w:space="0" w:color="auto"/>
            <w:left w:val="none" w:sz="0" w:space="0" w:color="auto"/>
            <w:bottom w:val="none" w:sz="0" w:space="0" w:color="auto"/>
            <w:right w:val="none" w:sz="0" w:space="0" w:color="auto"/>
          </w:divBdr>
        </w:div>
        <w:div w:id="2024703873">
          <w:marLeft w:val="0"/>
          <w:marRight w:val="0"/>
          <w:marTop w:val="0"/>
          <w:marBottom w:val="0"/>
          <w:divBdr>
            <w:top w:val="none" w:sz="0" w:space="0" w:color="auto"/>
            <w:left w:val="none" w:sz="0" w:space="0" w:color="auto"/>
            <w:bottom w:val="none" w:sz="0" w:space="0" w:color="auto"/>
            <w:right w:val="none" w:sz="0" w:space="0" w:color="auto"/>
          </w:divBdr>
        </w:div>
        <w:div w:id="2024703874">
          <w:marLeft w:val="0"/>
          <w:marRight w:val="0"/>
          <w:marTop w:val="0"/>
          <w:marBottom w:val="0"/>
          <w:divBdr>
            <w:top w:val="none" w:sz="0" w:space="0" w:color="auto"/>
            <w:left w:val="none" w:sz="0" w:space="0" w:color="auto"/>
            <w:bottom w:val="none" w:sz="0" w:space="0" w:color="auto"/>
            <w:right w:val="none" w:sz="0" w:space="0" w:color="auto"/>
          </w:divBdr>
        </w:div>
        <w:div w:id="2024703875">
          <w:marLeft w:val="0"/>
          <w:marRight w:val="0"/>
          <w:marTop w:val="0"/>
          <w:marBottom w:val="0"/>
          <w:divBdr>
            <w:top w:val="none" w:sz="0" w:space="0" w:color="auto"/>
            <w:left w:val="none" w:sz="0" w:space="0" w:color="auto"/>
            <w:bottom w:val="none" w:sz="0" w:space="0" w:color="auto"/>
            <w:right w:val="none" w:sz="0" w:space="0" w:color="auto"/>
          </w:divBdr>
        </w:div>
        <w:div w:id="2024703876">
          <w:marLeft w:val="0"/>
          <w:marRight w:val="0"/>
          <w:marTop w:val="0"/>
          <w:marBottom w:val="0"/>
          <w:divBdr>
            <w:top w:val="none" w:sz="0" w:space="0" w:color="auto"/>
            <w:left w:val="none" w:sz="0" w:space="0" w:color="auto"/>
            <w:bottom w:val="none" w:sz="0" w:space="0" w:color="auto"/>
            <w:right w:val="none" w:sz="0" w:space="0" w:color="auto"/>
          </w:divBdr>
        </w:div>
        <w:div w:id="2024703877">
          <w:marLeft w:val="0"/>
          <w:marRight w:val="0"/>
          <w:marTop w:val="0"/>
          <w:marBottom w:val="0"/>
          <w:divBdr>
            <w:top w:val="none" w:sz="0" w:space="0" w:color="auto"/>
            <w:left w:val="none" w:sz="0" w:space="0" w:color="auto"/>
            <w:bottom w:val="none" w:sz="0" w:space="0" w:color="auto"/>
            <w:right w:val="none" w:sz="0" w:space="0" w:color="auto"/>
          </w:divBdr>
        </w:div>
        <w:div w:id="2024703878">
          <w:marLeft w:val="0"/>
          <w:marRight w:val="0"/>
          <w:marTop w:val="0"/>
          <w:marBottom w:val="0"/>
          <w:divBdr>
            <w:top w:val="none" w:sz="0" w:space="0" w:color="auto"/>
            <w:left w:val="none" w:sz="0" w:space="0" w:color="auto"/>
            <w:bottom w:val="none" w:sz="0" w:space="0" w:color="auto"/>
            <w:right w:val="none" w:sz="0" w:space="0" w:color="auto"/>
          </w:divBdr>
        </w:div>
        <w:div w:id="2024703879">
          <w:marLeft w:val="0"/>
          <w:marRight w:val="0"/>
          <w:marTop w:val="0"/>
          <w:marBottom w:val="0"/>
          <w:divBdr>
            <w:top w:val="none" w:sz="0" w:space="0" w:color="auto"/>
            <w:left w:val="none" w:sz="0" w:space="0" w:color="auto"/>
            <w:bottom w:val="none" w:sz="0" w:space="0" w:color="auto"/>
            <w:right w:val="none" w:sz="0" w:space="0" w:color="auto"/>
          </w:divBdr>
        </w:div>
        <w:div w:id="2024703880">
          <w:marLeft w:val="0"/>
          <w:marRight w:val="0"/>
          <w:marTop w:val="0"/>
          <w:marBottom w:val="0"/>
          <w:divBdr>
            <w:top w:val="none" w:sz="0" w:space="0" w:color="auto"/>
            <w:left w:val="none" w:sz="0" w:space="0" w:color="auto"/>
            <w:bottom w:val="none" w:sz="0" w:space="0" w:color="auto"/>
            <w:right w:val="none" w:sz="0" w:space="0" w:color="auto"/>
          </w:divBdr>
        </w:div>
        <w:div w:id="2024703881">
          <w:marLeft w:val="0"/>
          <w:marRight w:val="0"/>
          <w:marTop w:val="0"/>
          <w:marBottom w:val="0"/>
          <w:divBdr>
            <w:top w:val="none" w:sz="0" w:space="0" w:color="auto"/>
            <w:left w:val="none" w:sz="0" w:space="0" w:color="auto"/>
            <w:bottom w:val="none" w:sz="0" w:space="0" w:color="auto"/>
            <w:right w:val="none" w:sz="0" w:space="0" w:color="auto"/>
          </w:divBdr>
        </w:div>
        <w:div w:id="2024703882">
          <w:marLeft w:val="0"/>
          <w:marRight w:val="0"/>
          <w:marTop w:val="0"/>
          <w:marBottom w:val="0"/>
          <w:divBdr>
            <w:top w:val="none" w:sz="0" w:space="0" w:color="auto"/>
            <w:left w:val="none" w:sz="0" w:space="0" w:color="auto"/>
            <w:bottom w:val="none" w:sz="0" w:space="0" w:color="auto"/>
            <w:right w:val="none" w:sz="0" w:space="0" w:color="auto"/>
          </w:divBdr>
        </w:div>
        <w:div w:id="2024703883">
          <w:marLeft w:val="0"/>
          <w:marRight w:val="0"/>
          <w:marTop w:val="0"/>
          <w:marBottom w:val="0"/>
          <w:divBdr>
            <w:top w:val="none" w:sz="0" w:space="0" w:color="auto"/>
            <w:left w:val="none" w:sz="0" w:space="0" w:color="auto"/>
            <w:bottom w:val="none" w:sz="0" w:space="0" w:color="auto"/>
            <w:right w:val="none" w:sz="0" w:space="0" w:color="auto"/>
          </w:divBdr>
        </w:div>
        <w:div w:id="2024703884">
          <w:marLeft w:val="0"/>
          <w:marRight w:val="0"/>
          <w:marTop w:val="0"/>
          <w:marBottom w:val="0"/>
          <w:divBdr>
            <w:top w:val="none" w:sz="0" w:space="0" w:color="auto"/>
            <w:left w:val="none" w:sz="0" w:space="0" w:color="auto"/>
            <w:bottom w:val="none" w:sz="0" w:space="0" w:color="auto"/>
            <w:right w:val="none" w:sz="0" w:space="0" w:color="auto"/>
          </w:divBdr>
        </w:div>
        <w:div w:id="2024703885">
          <w:marLeft w:val="0"/>
          <w:marRight w:val="0"/>
          <w:marTop w:val="0"/>
          <w:marBottom w:val="0"/>
          <w:divBdr>
            <w:top w:val="none" w:sz="0" w:space="0" w:color="auto"/>
            <w:left w:val="none" w:sz="0" w:space="0" w:color="auto"/>
            <w:bottom w:val="none" w:sz="0" w:space="0" w:color="auto"/>
            <w:right w:val="none" w:sz="0" w:space="0" w:color="auto"/>
          </w:divBdr>
        </w:div>
        <w:div w:id="2024703886">
          <w:marLeft w:val="0"/>
          <w:marRight w:val="0"/>
          <w:marTop w:val="0"/>
          <w:marBottom w:val="0"/>
          <w:divBdr>
            <w:top w:val="none" w:sz="0" w:space="0" w:color="auto"/>
            <w:left w:val="none" w:sz="0" w:space="0" w:color="auto"/>
            <w:bottom w:val="none" w:sz="0" w:space="0" w:color="auto"/>
            <w:right w:val="none" w:sz="0" w:space="0" w:color="auto"/>
          </w:divBdr>
        </w:div>
        <w:div w:id="2024703887">
          <w:marLeft w:val="0"/>
          <w:marRight w:val="0"/>
          <w:marTop w:val="0"/>
          <w:marBottom w:val="0"/>
          <w:divBdr>
            <w:top w:val="none" w:sz="0" w:space="0" w:color="auto"/>
            <w:left w:val="none" w:sz="0" w:space="0" w:color="auto"/>
            <w:bottom w:val="none" w:sz="0" w:space="0" w:color="auto"/>
            <w:right w:val="none" w:sz="0" w:space="0" w:color="auto"/>
          </w:divBdr>
        </w:div>
        <w:div w:id="2024703888">
          <w:marLeft w:val="0"/>
          <w:marRight w:val="0"/>
          <w:marTop w:val="0"/>
          <w:marBottom w:val="0"/>
          <w:divBdr>
            <w:top w:val="none" w:sz="0" w:space="0" w:color="auto"/>
            <w:left w:val="none" w:sz="0" w:space="0" w:color="auto"/>
            <w:bottom w:val="none" w:sz="0" w:space="0" w:color="auto"/>
            <w:right w:val="none" w:sz="0" w:space="0" w:color="auto"/>
          </w:divBdr>
        </w:div>
        <w:div w:id="2024703890">
          <w:marLeft w:val="0"/>
          <w:marRight w:val="0"/>
          <w:marTop w:val="0"/>
          <w:marBottom w:val="0"/>
          <w:divBdr>
            <w:top w:val="none" w:sz="0" w:space="0" w:color="auto"/>
            <w:left w:val="none" w:sz="0" w:space="0" w:color="auto"/>
            <w:bottom w:val="none" w:sz="0" w:space="0" w:color="auto"/>
            <w:right w:val="none" w:sz="0" w:space="0" w:color="auto"/>
          </w:divBdr>
        </w:div>
        <w:div w:id="2024703891">
          <w:marLeft w:val="0"/>
          <w:marRight w:val="0"/>
          <w:marTop w:val="0"/>
          <w:marBottom w:val="0"/>
          <w:divBdr>
            <w:top w:val="none" w:sz="0" w:space="0" w:color="auto"/>
            <w:left w:val="none" w:sz="0" w:space="0" w:color="auto"/>
            <w:bottom w:val="none" w:sz="0" w:space="0" w:color="auto"/>
            <w:right w:val="none" w:sz="0" w:space="0" w:color="auto"/>
          </w:divBdr>
        </w:div>
        <w:div w:id="2024703892">
          <w:marLeft w:val="0"/>
          <w:marRight w:val="0"/>
          <w:marTop w:val="0"/>
          <w:marBottom w:val="0"/>
          <w:divBdr>
            <w:top w:val="none" w:sz="0" w:space="0" w:color="auto"/>
            <w:left w:val="none" w:sz="0" w:space="0" w:color="auto"/>
            <w:bottom w:val="none" w:sz="0" w:space="0" w:color="auto"/>
            <w:right w:val="none" w:sz="0" w:space="0" w:color="auto"/>
          </w:divBdr>
        </w:div>
        <w:div w:id="2024703893">
          <w:marLeft w:val="0"/>
          <w:marRight w:val="0"/>
          <w:marTop w:val="0"/>
          <w:marBottom w:val="0"/>
          <w:divBdr>
            <w:top w:val="none" w:sz="0" w:space="0" w:color="auto"/>
            <w:left w:val="none" w:sz="0" w:space="0" w:color="auto"/>
            <w:bottom w:val="none" w:sz="0" w:space="0" w:color="auto"/>
            <w:right w:val="none" w:sz="0" w:space="0" w:color="auto"/>
          </w:divBdr>
        </w:div>
        <w:div w:id="2024703894">
          <w:marLeft w:val="0"/>
          <w:marRight w:val="0"/>
          <w:marTop w:val="0"/>
          <w:marBottom w:val="0"/>
          <w:divBdr>
            <w:top w:val="none" w:sz="0" w:space="0" w:color="auto"/>
            <w:left w:val="none" w:sz="0" w:space="0" w:color="auto"/>
            <w:bottom w:val="none" w:sz="0" w:space="0" w:color="auto"/>
            <w:right w:val="none" w:sz="0" w:space="0" w:color="auto"/>
          </w:divBdr>
        </w:div>
        <w:div w:id="2024703895">
          <w:marLeft w:val="0"/>
          <w:marRight w:val="0"/>
          <w:marTop w:val="0"/>
          <w:marBottom w:val="0"/>
          <w:divBdr>
            <w:top w:val="none" w:sz="0" w:space="0" w:color="auto"/>
            <w:left w:val="none" w:sz="0" w:space="0" w:color="auto"/>
            <w:bottom w:val="none" w:sz="0" w:space="0" w:color="auto"/>
            <w:right w:val="none" w:sz="0" w:space="0" w:color="auto"/>
          </w:divBdr>
        </w:div>
        <w:div w:id="2024703896">
          <w:marLeft w:val="0"/>
          <w:marRight w:val="0"/>
          <w:marTop w:val="0"/>
          <w:marBottom w:val="0"/>
          <w:divBdr>
            <w:top w:val="none" w:sz="0" w:space="0" w:color="auto"/>
            <w:left w:val="none" w:sz="0" w:space="0" w:color="auto"/>
            <w:bottom w:val="none" w:sz="0" w:space="0" w:color="auto"/>
            <w:right w:val="none" w:sz="0" w:space="0" w:color="auto"/>
          </w:divBdr>
        </w:div>
        <w:div w:id="2024703897">
          <w:marLeft w:val="0"/>
          <w:marRight w:val="0"/>
          <w:marTop w:val="0"/>
          <w:marBottom w:val="0"/>
          <w:divBdr>
            <w:top w:val="none" w:sz="0" w:space="0" w:color="auto"/>
            <w:left w:val="none" w:sz="0" w:space="0" w:color="auto"/>
            <w:bottom w:val="none" w:sz="0" w:space="0" w:color="auto"/>
            <w:right w:val="none" w:sz="0" w:space="0" w:color="auto"/>
          </w:divBdr>
        </w:div>
        <w:div w:id="2024703898">
          <w:marLeft w:val="0"/>
          <w:marRight w:val="0"/>
          <w:marTop w:val="0"/>
          <w:marBottom w:val="0"/>
          <w:divBdr>
            <w:top w:val="none" w:sz="0" w:space="0" w:color="auto"/>
            <w:left w:val="none" w:sz="0" w:space="0" w:color="auto"/>
            <w:bottom w:val="none" w:sz="0" w:space="0" w:color="auto"/>
            <w:right w:val="none" w:sz="0" w:space="0" w:color="auto"/>
          </w:divBdr>
        </w:div>
        <w:div w:id="2024703899">
          <w:marLeft w:val="0"/>
          <w:marRight w:val="0"/>
          <w:marTop w:val="0"/>
          <w:marBottom w:val="0"/>
          <w:divBdr>
            <w:top w:val="none" w:sz="0" w:space="0" w:color="auto"/>
            <w:left w:val="none" w:sz="0" w:space="0" w:color="auto"/>
            <w:bottom w:val="none" w:sz="0" w:space="0" w:color="auto"/>
            <w:right w:val="none" w:sz="0" w:space="0" w:color="auto"/>
          </w:divBdr>
        </w:div>
        <w:div w:id="2024703900">
          <w:marLeft w:val="0"/>
          <w:marRight w:val="0"/>
          <w:marTop w:val="0"/>
          <w:marBottom w:val="0"/>
          <w:divBdr>
            <w:top w:val="none" w:sz="0" w:space="0" w:color="auto"/>
            <w:left w:val="none" w:sz="0" w:space="0" w:color="auto"/>
            <w:bottom w:val="none" w:sz="0" w:space="0" w:color="auto"/>
            <w:right w:val="none" w:sz="0" w:space="0" w:color="auto"/>
          </w:divBdr>
        </w:div>
        <w:div w:id="2024703901">
          <w:marLeft w:val="0"/>
          <w:marRight w:val="0"/>
          <w:marTop w:val="0"/>
          <w:marBottom w:val="0"/>
          <w:divBdr>
            <w:top w:val="none" w:sz="0" w:space="0" w:color="auto"/>
            <w:left w:val="none" w:sz="0" w:space="0" w:color="auto"/>
            <w:bottom w:val="none" w:sz="0" w:space="0" w:color="auto"/>
            <w:right w:val="none" w:sz="0" w:space="0" w:color="auto"/>
          </w:divBdr>
        </w:div>
        <w:div w:id="2024703902">
          <w:marLeft w:val="0"/>
          <w:marRight w:val="0"/>
          <w:marTop w:val="0"/>
          <w:marBottom w:val="0"/>
          <w:divBdr>
            <w:top w:val="none" w:sz="0" w:space="0" w:color="auto"/>
            <w:left w:val="none" w:sz="0" w:space="0" w:color="auto"/>
            <w:bottom w:val="none" w:sz="0" w:space="0" w:color="auto"/>
            <w:right w:val="none" w:sz="0" w:space="0" w:color="auto"/>
          </w:divBdr>
        </w:div>
        <w:div w:id="2024703903">
          <w:marLeft w:val="0"/>
          <w:marRight w:val="0"/>
          <w:marTop w:val="0"/>
          <w:marBottom w:val="0"/>
          <w:divBdr>
            <w:top w:val="none" w:sz="0" w:space="0" w:color="auto"/>
            <w:left w:val="none" w:sz="0" w:space="0" w:color="auto"/>
            <w:bottom w:val="none" w:sz="0" w:space="0" w:color="auto"/>
            <w:right w:val="none" w:sz="0" w:space="0" w:color="auto"/>
          </w:divBdr>
        </w:div>
        <w:div w:id="2024703904">
          <w:marLeft w:val="0"/>
          <w:marRight w:val="0"/>
          <w:marTop w:val="0"/>
          <w:marBottom w:val="0"/>
          <w:divBdr>
            <w:top w:val="none" w:sz="0" w:space="0" w:color="auto"/>
            <w:left w:val="none" w:sz="0" w:space="0" w:color="auto"/>
            <w:bottom w:val="none" w:sz="0" w:space="0" w:color="auto"/>
            <w:right w:val="none" w:sz="0" w:space="0" w:color="auto"/>
          </w:divBdr>
        </w:div>
        <w:div w:id="2024703905">
          <w:marLeft w:val="0"/>
          <w:marRight w:val="0"/>
          <w:marTop w:val="0"/>
          <w:marBottom w:val="0"/>
          <w:divBdr>
            <w:top w:val="none" w:sz="0" w:space="0" w:color="auto"/>
            <w:left w:val="none" w:sz="0" w:space="0" w:color="auto"/>
            <w:bottom w:val="none" w:sz="0" w:space="0" w:color="auto"/>
            <w:right w:val="none" w:sz="0" w:space="0" w:color="auto"/>
          </w:divBdr>
        </w:div>
        <w:div w:id="2024703906">
          <w:marLeft w:val="0"/>
          <w:marRight w:val="0"/>
          <w:marTop w:val="0"/>
          <w:marBottom w:val="0"/>
          <w:divBdr>
            <w:top w:val="none" w:sz="0" w:space="0" w:color="auto"/>
            <w:left w:val="none" w:sz="0" w:space="0" w:color="auto"/>
            <w:bottom w:val="none" w:sz="0" w:space="0" w:color="auto"/>
            <w:right w:val="none" w:sz="0" w:space="0" w:color="auto"/>
          </w:divBdr>
        </w:div>
        <w:div w:id="2024703907">
          <w:marLeft w:val="0"/>
          <w:marRight w:val="0"/>
          <w:marTop w:val="0"/>
          <w:marBottom w:val="0"/>
          <w:divBdr>
            <w:top w:val="none" w:sz="0" w:space="0" w:color="auto"/>
            <w:left w:val="none" w:sz="0" w:space="0" w:color="auto"/>
            <w:bottom w:val="none" w:sz="0" w:space="0" w:color="auto"/>
            <w:right w:val="none" w:sz="0" w:space="0" w:color="auto"/>
          </w:divBdr>
        </w:div>
        <w:div w:id="2024703908">
          <w:marLeft w:val="0"/>
          <w:marRight w:val="0"/>
          <w:marTop w:val="0"/>
          <w:marBottom w:val="0"/>
          <w:divBdr>
            <w:top w:val="none" w:sz="0" w:space="0" w:color="auto"/>
            <w:left w:val="none" w:sz="0" w:space="0" w:color="auto"/>
            <w:bottom w:val="none" w:sz="0" w:space="0" w:color="auto"/>
            <w:right w:val="none" w:sz="0" w:space="0" w:color="auto"/>
          </w:divBdr>
        </w:div>
        <w:div w:id="2024703910">
          <w:marLeft w:val="0"/>
          <w:marRight w:val="0"/>
          <w:marTop w:val="0"/>
          <w:marBottom w:val="0"/>
          <w:divBdr>
            <w:top w:val="none" w:sz="0" w:space="0" w:color="auto"/>
            <w:left w:val="none" w:sz="0" w:space="0" w:color="auto"/>
            <w:bottom w:val="none" w:sz="0" w:space="0" w:color="auto"/>
            <w:right w:val="none" w:sz="0" w:space="0" w:color="auto"/>
          </w:divBdr>
        </w:div>
        <w:div w:id="2024703911">
          <w:marLeft w:val="0"/>
          <w:marRight w:val="0"/>
          <w:marTop w:val="0"/>
          <w:marBottom w:val="0"/>
          <w:divBdr>
            <w:top w:val="none" w:sz="0" w:space="0" w:color="auto"/>
            <w:left w:val="none" w:sz="0" w:space="0" w:color="auto"/>
            <w:bottom w:val="none" w:sz="0" w:space="0" w:color="auto"/>
            <w:right w:val="none" w:sz="0" w:space="0" w:color="auto"/>
          </w:divBdr>
        </w:div>
        <w:div w:id="2024703912">
          <w:marLeft w:val="0"/>
          <w:marRight w:val="0"/>
          <w:marTop w:val="0"/>
          <w:marBottom w:val="0"/>
          <w:divBdr>
            <w:top w:val="none" w:sz="0" w:space="0" w:color="auto"/>
            <w:left w:val="none" w:sz="0" w:space="0" w:color="auto"/>
            <w:bottom w:val="none" w:sz="0" w:space="0" w:color="auto"/>
            <w:right w:val="none" w:sz="0" w:space="0" w:color="auto"/>
          </w:divBdr>
        </w:div>
        <w:div w:id="2024703913">
          <w:marLeft w:val="0"/>
          <w:marRight w:val="0"/>
          <w:marTop w:val="0"/>
          <w:marBottom w:val="0"/>
          <w:divBdr>
            <w:top w:val="none" w:sz="0" w:space="0" w:color="auto"/>
            <w:left w:val="none" w:sz="0" w:space="0" w:color="auto"/>
            <w:bottom w:val="none" w:sz="0" w:space="0" w:color="auto"/>
            <w:right w:val="none" w:sz="0" w:space="0" w:color="auto"/>
          </w:divBdr>
        </w:div>
        <w:div w:id="2024703914">
          <w:marLeft w:val="0"/>
          <w:marRight w:val="0"/>
          <w:marTop w:val="0"/>
          <w:marBottom w:val="0"/>
          <w:divBdr>
            <w:top w:val="none" w:sz="0" w:space="0" w:color="auto"/>
            <w:left w:val="none" w:sz="0" w:space="0" w:color="auto"/>
            <w:bottom w:val="none" w:sz="0" w:space="0" w:color="auto"/>
            <w:right w:val="none" w:sz="0" w:space="0" w:color="auto"/>
          </w:divBdr>
        </w:div>
        <w:div w:id="2024703915">
          <w:marLeft w:val="0"/>
          <w:marRight w:val="0"/>
          <w:marTop w:val="0"/>
          <w:marBottom w:val="0"/>
          <w:divBdr>
            <w:top w:val="none" w:sz="0" w:space="0" w:color="auto"/>
            <w:left w:val="none" w:sz="0" w:space="0" w:color="auto"/>
            <w:bottom w:val="none" w:sz="0" w:space="0" w:color="auto"/>
            <w:right w:val="none" w:sz="0" w:space="0" w:color="auto"/>
          </w:divBdr>
        </w:div>
        <w:div w:id="2024703916">
          <w:marLeft w:val="0"/>
          <w:marRight w:val="0"/>
          <w:marTop w:val="0"/>
          <w:marBottom w:val="0"/>
          <w:divBdr>
            <w:top w:val="none" w:sz="0" w:space="0" w:color="auto"/>
            <w:left w:val="none" w:sz="0" w:space="0" w:color="auto"/>
            <w:bottom w:val="none" w:sz="0" w:space="0" w:color="auto"/>
            <w:right w:val="none" w:sz="0" w:space="0" w:color="auto"/>
          </w:divBdr>
        </w:div>
        <w:div w:id="2024703917">
          <w:marLeft w:val="0"/>
          <w:marRight w:val="0"/>
          <w:marTop w:val="0"/>
          <w:marBottom w:val="0"/>
          <w:divBdr>
            <w:top w:val="none" w:sz="0" w:space="0" w:color="auto"/>
            <w:left w:val="none" w:sz="0" w:space="0" w:color="auto"/>
            <w:bottom w:val="none" w:sz="0" w:space="0" w:color="auto"/>
            <w:right w:val="none" w:sz="0" w:space="0" w:color="auto"/>
          </w:divBdr>
        </w:div>
        <w:div w:id="2024703918">
          <w:marLeft w:val="0"/>
          <w:marRight w:val="0"/>
          <w:marTop w:val="0"/>
          <w:marBottom w:val="0"/>
          <w:divBdr>
            <w:top w:val="none" w:sz="0" w:space="0" w:color="auto"/>
            <w:left w:val="none" w:sz="0" w:space="0" w:color="auto"/>
            <w:bottom w:val="none" w:sz="0" w:space="0" w:color="auto"/>
            <w:right w:val="none" w:sz="0" w:space="0" w:color="auto"/>
          </w:divBdr>
        </w:div>
        <w:div w:id="2024703919">
          <w:marLeft w:val="0"/>
          <w:marRight w:val="0"/>
          <w:marTop w:val="0"/>
          <w:marBottom w:val="0"/>
          <w:divBdr>
            <w:top w:val="none" w:sz="0" w:space="0" w:color="auto"/>
            <w:left w:val="none" w:sz="0" w:space="0" w:color="auto"/>
            <w:bottom w:val="none" w:sz="0" w:space="0" w:color="auto"/>
            <w:right w:val="none" w:sz="0" w:space="0" w:color="auto"/>
          </w:divBdr>
        </w:div>
        <w:div w:id="2024703921">
          <w:marLeft w:val="0"/>
          <w:marRight w:val="0"/>
          <w:marTop w:val="0"/>
          <w:marBottom w:val="0"/>
          <w:divBdr>
            <w:top w:val="none" w:sz="0" w:space="0" w:color="auto"/>
            <w:left w:val="none" w:sz="0" w:space="0" w:color="auto"/>
            <w:bottom w:val="none" w:sz="0" w:space="0" w:color="auto"/>
            <w:right w:val="none" w:sz="0" w:space="0" w:color="auto"/>
          </w:divBdr>
        </w:div>
        <w:div w:id="2024703922">
          <w:marLeft w:val="0"/>
          <w:marRight w:val="0"/>
          <w:marTop w:val="0"/>
          <w:marBottom w:val="0"/>
          <w:divBdr>
            <w:top w:val="none" w:sz="0" w:space="0" w:color="auto"/>
            <w:left w:val="none" w:sz="0" w:space="0" w:color="auto"/>
            <w:bottom w:val="none" w:sz="0" w:space="0" w:color="auto"/>
            <w:right w:val="none" w:sz="0" w:space="0" w:color="auto"/>
          </w:divBdr>
        </w:div>
        <w:div w:id="2024703923">
          <w:marLeft w:val="0"/>
          <w:marRight w:val="0"/>
          <w:marTop w:val="0"/>
          <w:marBottom w:val="0"/>
          <w:divBdr>
            <w:top w:val="none" w:sz="0" w:space="0" w:color="auto"/>
            <w:left w:val="none" w:sz="0" w:space="0" w:color="auto"/>
            <w:bottom w:val="none" w:sz="0" w:space="0" w:color="auto"/>
            <w:right w:val="none" w:sz="0" w:space="0" w:color="auto"/>
          </w:divBdr>
        </w:div>
        <w:div w:id="2024703924">
          <w:marLeft w:val="0"/>
          <w:marRight w:val="0"/>
          <w:marTop w:val="0"/>
          <w:marBottom w:val="0"/>
          <w:divBdr>
            <w:top w:val="none" w:sz="0" w:space="0" w:color="auto"/>
            <w:left w:val="none" w:sz="0" w:space="0" w:color="auto"/>
            <w:bottom w:val="none" w:sz="0" w:space="0" w:color="auto"/>
            <w:right w:val="none" w:sz="0" w:space="0" w:color="auto"/>
          </w:divBdr>
        </w:div>
        <w:div w:id="2024703925">
          <w:marLeft w:val="0"/>
          <w:marRight w:val="0"/>
          <w:marTop w:val="0"/>
          <w:marBottom w:val="0"/>
          <w:divBdr>
            <w:top w:val="none" w:sz="0" w:space="0" w:color="auto"/>
            <w:left w:val="none" w:sz="0" w:space="0" w:color="auto"/>
            <w:bottom w:val="none" w:sz="0" w:space="0" w:color="auto"/>
            <w:right w:val="none" w:sz="0" w:space="0" w:color="auto"/>
          </w:divBdr>
        </w:div>
        <w:div w:id="2024703926">
          <w:marLeft w:val="0"/>
          <w:marRight w:val="0"/>
          <w:marTop w:val="0"/>
          <w:marBottom w:val="0"/>
          <w:divBdr>
            <w:top w:val="none" w:sz="0" w:space="0" w:color="auto"/>
            <w:left w:val="none" w:sz="0" w:space="0" w:color="auto"/>
            <w:bottom w:val="none" w:sz="0" w:space="0" w:color="auto"/>
            <w:right w:val="none" w:sz="0" w:space="0" w:color="auto"/>
          </w:divBdr>
        </w:div>
        <w:div w:id="2024703927">
          <w:marLeft w:val="0"/>
          <w:marRight w:val="0"/>
          <w:marTop w:val="0"/>
          <w:marBottom w:val="0"/>
          <w:divBdr>
            <w:top w:val="none" w:sz="0" w:space="0" w:color="auto"/>
            <w:left w:val="none" w:sz="0" w:space="0" w:color="auto"/>
            <w:bottom w:val="none" w:sz="0" w:space="0" w:color="auto"/>
            <w:right w:val="none" w:sz="0" w:space="0" w:color="auto"/>
          </w:divBdr>
        </w:div>
        <w:div w:id="2024703928">
          <w:marLeft w:val="0"/>
          <w:marRight w:val="0"/>
          <w:marTop w:val="0"/>
          <w:marBottom w:val="0"/>
          <w:divBdr>
            <w:top w:val="none" w:sz="0" w:space="0" w:color="auto"/>
            <w:left w:val="none" w:sz="0" w:space="0" w:color="auto"/>
            <w:bottom w:val="none" w:sz="0" w:space="0" w:color="auto"/>
            <w:right w:val="none" w:sz="0" w:space="0" w:color="auto"/>
          </w:divBdr>
        </w:div>
        <w:div w:id="2024703929">
          <w:marLeft w:val="0"/>
          <w:marRight w:val="0"/>
          <w:marTop w:val="0"/>
          <w:marBottom w:val="0"/>
          <w:divBdr>
            <w:top w:val="none" w:sz="0" w:space="0" w:color="auto"/>
            <w:left w:val="none" w:sz="0" w:space="0" w:color="auto"/>
            <w:bottom w:val="none" w:sz="0" w:space="0" w:color="auto"/>
            <w:right w:val="none" w:sz="0" w:space="0" w:color="auto"/>
          </w:divBdr>
        </w:div>
        <w:div w:id="2024703931">
          <w:marLeft w:val="0"/>
          <w:marRight w:val="0"/>
          <w:marTop w:val="0"/>
          <w:marBottom w:val="0"/>
          <w:divBdr>
            <w:top w:val="none" w:sz="0" w:space="0" w:color="auto"/>
            <w:left w:val="none" w:sz="0" w:space="0" w:color="auto"/>
            <w:bottom w:val="none" w:sz="0" w:space="0" w:color="auto"/>
            <w:right w:val="none" w:sz="0" w:space="0" w:color="auto"/>
          </w:divBdr>
        </w:div>
        <w:div w:id="2024703932">
          <w:marLeft w:val="0"/>
          <w:marRight w:val="0"/>
          <w:marTop w:val="0"/>
          <w:marBottom w:val="0"/>
          <w:divBdr>
            <w:top w:val="none" w:sz="0" w:space="0" w:color="auto"/>
            <w:left w:val="none" w:sz="0" w:space="0" w:color="auto"/>
            <w:bottom w:val="none" w:sz="0" w:space="0" w:color="auto"/>
            <w:right w:val="none" w:sz="0" w:space="0" w:color="auto"/>
          </w:divBdr>
        </w:div>
        <w:div w:id="2024703933">
          <w:marLeft w:val="0"/>
          <w:marRight w:val="0"/>
          <w:marTop w:val="0"/>
          <w:marBottom w:val="0"/>
          <w:divBdr>
            <w:top w:val="none" w:sz="0" w:space="0" w:color="auto"/>
            <w:left w:val="none" w:sz="0" w:space="0" w:color="auto"/>
            <w:bottom w:val="none" w:sz="0" w:space="0" w:color="auto"/>
            <w:right w:val="none" w:sz="0" w:space="0" w:color="auto"/>
          </w:divBdr>
        </w:div>
        <w:div w:id="2024703934">
          <w:marLeft w:val="0"/>
          <w:marRight w:val="0"/>
          <w:marTop w:val="0"/>
          <w:marBottom w:val="0"/>
          <w:divBdr>
            <w:top w:val="none" w:sz="0" w:space="0" w:color="auto"/>
            <w:left w:val="none" w:sz="0" w:space="0" w:color="auto"/>
            <w:bottom w:val="none" w:sz="0" w:space="0" w:color="auto"/>
            <w:right w:val="none" w:sz="0" w:space="0" w:color="auto"/>
          </w:divBdr>
        </w:div>
        <w:div w:id="2024703935">
          <w:marLeft w:val="0"/>
          <w:marRight w:val="0"/>
          <w:marTop w:val="0"/>
          <w:marBottom w:val="0"/>
          <w:divBdr>
            <w:top w:val="none" w:sz="0" w:space="0" w:color="auto"/>
            <w:left w:val="none" w:sz="0" w:space="0" w:color="auto"/>
            <w:bottom w:val="none" w:sz="0" w:space="0" w:color="auto"/>
            <w:right w:val="none" w:sz="0" w:space="0" w:color="auto"/>
          </w:divBdr>
        </w:div>
        <w:div w:id="2024703936">
          <w:marLeft w:val="0"/>
          <w:marRight w:val="0"/>
          <w:marTop w:val="0"/>
          <w:marBottom w:val="0"/>
          <w:divBdr>
            <w:top w:val="none" w:sz="0" w:space="0" w:color="auto"/>
            <w:left w:val="none" w:sz="0" w:space="0" w:color="auto"/>
            <w:bottom w:val="none" w:sz="0" w:space="0" w:color="auto"/>
            <w:right w:val="none" w:sz="0" w:space="0" w:color="auto"/>
          </w:divBdr>
        </w:div>
        <w:div w:id="2024703937">
          <w:marLeft w:val="0"/>
          <w:marRight w:val="0"/>
          <w:marTop w:val="0"/>
          <w:marBottom w:val="0"/>
          <w:divBdr>
            <w:top w:val="none" w:sz="0" w:space="0" w:color="auto"/>
            <w:left w:val="none" w:sz="0" w:space="0" w:color="auto"/>
            <w:bottom w:val="none" w:sz="0" w:space="0" w:color="auto"/>
            <w:right w:val="none" w:sz="0" w:space="0" w:color="auto"/>
          </w:divBdr>
        </w:div>
        <w:div w:id="2024703938">
          <w:marLeft w:val="0"/>
          <w:marRight w:val="0"/>
          <w:marTop w:val="0"/>
          <w:marBottom w:val="0"/>
          <w:divBdr>
            <w:top w:val="none" w:sz="0" w:space="0" w:color="auto"/>
            <w:left w:val="none" w:sz="0" w:space="0" w:color="auto"/>
            <w:bottom w:val="none" w:sz="0" w:space="0" w:color="auto"/>
            <w:right w:val="none" w:sz="0" w:space="0" w:color="auto"/>
          </w:divBdr>
        </w:div>
        <w:div w:id="2024703939">
          <w:marLeft w:val="0"/>
          <w:marRight w:val="0"/>
          <w:marTop w:val="0"/>
          <w:marBottom w:val="0"/>
          <w:divBdr>
            <w:top w:val="none" w:sz="0" w:space="0" w:color="auto"/>
            <w:left w:val="none" w:sz="0" w:space="0" w:color="auto"/>
            <w:bottom w:val="none" w:sz="0" w:space="0" w:color="auto"/>
            <w:right w:val="none" w:sz="0" w:space="0" w:color="auto"/>
          </w:divBdr>
        </w:div>
        <w:div w:id="2024703940">
          <w:marLeft w:val="0"/>
          <w:marRight w:val="0"/>
          <w:marTop w:val="0"/>
          <w:marBottom w:val="0"/>
          <w:divBdr>
            <w:top w:val="none" w:sz="0" w:space="0" w:color="auto"/>
            <w:left w:val="none" w:sz="0" w:space="0" w:color="auto"/>
            <w:bottom w:val="none" w:sz="0" w:space="0" w:color="auto"/>
            <w:right w:val="none" w:sz="0" w:space="0" w:color="auto"/>
          </w:divBdr>
        </w:div>
        <w:div w:id="2024703941">
          <w:marLeft w:val="0"/>
          <w:marRight w:val="0"/>
          <w:marTop w:val="0"/>
          <w:marBottom w:val="0"/>
          <w:divBdr>
            <w:top w:val="none" w:sz="0" w:space="0" w:color="auto"/>
            <w:left w:val="none" w:sz="0" w:space="0" w:color="auto"/>
            <w:bottom w:val="none" w:sz="0" w:space="0" w:color="auto"/>
            <w:right w:val="none" w:sz="0" w:space="0" w:color="auto"/>
          </w:divBdr>
        </w:div>
        <w:div w:id="2024703942">
          <w:marLeft w:val="0"/>
          <w:marRight w:val="0"/>
          <w:marTop w:val="0"/>
          <w:marBottom w:val="0"/>
          <w:divBdr>
            <w:top w:val="none" w:sz="0" w:space="0" w:color="auto"/>
            <w:left w:val="none" w:sz="0" w:space="0" w:color="auto"/>
            <w:bottom w:val="none" w:sz="0" w:space="0" w:color="auto"/>
            <w:right w:val="none" w:sz="0" w:space="0" w:color="auto"/>
          </w:divBdr>
        </w:div>
        <w:div w:id="2024703943">
          <w:marLeft w:val="0"/>
          <w:marRight w:val="0"/>
          <w:marTop w:val="0"/>
          <w:marBottom w:val="0"/>
          <w:divBdr>
            <w:top w:val="none" w:sz="0" w:space="0" w:color="auto"/>
            <w:left w:val="none" w:sz="0" w:space="0" w:color="auto"/>
            <w:bottom w:val="none" w:sz="0" w:space="0" w:color="auto"/>
            <w:right w:val="none" w:sz="0" w:space="0" w:color="auto"/>
          </w:divBdr>
        </w:div>
        <w:div w:id="2024703944">
          <w:marLeft w:val="0"/>
          <w:marRight w:val="0"/>
          <w:marTop w:val="0"/>
          <w:marBottom w:val="0"/>
          <w:divBdr>
            <w:top w:val="none" w:sz="0" w:space="0" w:color="auto"/>
            <w:left w:val="none" w:sz="0" w:space="0" w:color="auto"/>
            <w:bottom w:val="none" w:sz="0" w:space="0" w:color="auto"/>
            <w:right w:val="none" w:sz="0" w:space="0" w:color="auto"/>
          </w:divBdr>
        </w:div>
        <w:div w:id="2024703945">
          <w:marLeft w:val="0"/>
          <w:marRight w:val="0"/>
          <w:marTop w:val="0"/>
          <w:marBottom w:val="0"/>
          <w:divBdr>
            <w:top w:val="none" w:sz="0" w:space="0" w:color="auto"/>
            <w:left w:val="none" w:sz="0" w:space="0" w:color="auto"/>
            <w:bottom w:val="none" w:sz="0" w:space="0" w:color="auto"/>
            <w:right w:val="none" w:sz="0" w:space="0" w:color="auto"/>
          </w:divBdr>
        </w:div>
        <w:div w:id="2024703946">
          <w:marLeft w:val="0"/>
          <w:marRight w:val="0"/>
          <w:marTop w:val="0"/>
          <w:marBottom w:val="0"/>
          <w:divBdr>
            <w:top w:val="none" w:sz="0" w:space="0" w:color="auto"/>
            <w:left w:val="none" w:sz="0" w:space="0" w:color="auto"/>
            <w:bottom w:val="none" w:sz="0" w:space="0" w:color="auto"/>
            <w:right w:val="none" w:sz="0" w:space="0" w:color="auto"/>
          </w:divBdr>
        </w:div>
        <w:div w:id="2024703947">
          <w:marLeft w:val="0"/>
          <w:marRight w:val="0"/>
          <w:marTop w:val="0"/>
          <w:marBottom w:val="0"/>
          <w:divBdr>
            <w:top w:val="none" w:sz="0" w:space="0" w:color="auto"/>
            <w:left w:val="none" w:sz="0" w:space="0" w:color="auto"/>
            <w:bottom w:val="none" w:sz="0" w:space="0" w:color="auto"/>
            <w:right w:val="none" w:sz="0" w:space="0" w:color="auto"/>
          </w:divBdr>
        </w:div>
        <w:div w:id="2024703948">
          <w:marLeft w:val="0"/>
          <w:marRight w:val="0"/>
          <w:marTop w:val="0"/>
          <w:marBottom w:val="0"/>
          <w:divBdr>
            <w:top w:val="none" w:sz="0" w:space="0" w:color="auto"/>
            <w:left w:val="none" w:sz="0" w:space="0" w:color="auto"/>
            <w:bottom w:val="none" w:sz="0" w:space="0" w:color="auto"/>
            <w:right w:val="none" w:sz="0" w:space="0" w:color="auto"/>
          </w:divBdr>
        </w:div>
        <w:div w:id="2024703949">
          <w:marLeft w:val="0"/>
          <w:marRight w:val="0"/>
          <w:marTop w:val="0"/>
          <w:marBottom w:val="0"/>
          <w:divBdr>
            <w:top w:val="none" w:sz="0" w:space="0" w:color="auto"/>
            <w:left w:val="none" w:sz="0" w:space="0" w:color="auto"/>
            <w:bottom w:val="none" w:sz="0" w:space="0" w:color="auto"/>
            <w:right w:val="none" w:sz="0" w:space="0" w:color="auto"/>
          </w:divBdr>
        </w:div>
        <w:div w:id="2024703950">
          <w:marLeft w:val="0"/>
          <w:marRight w:val="0"/>
          <w:marTop w:val="0"/>
          <w:marBottom w:val="0"/>
          <w:divBdr>
            <w:top w:val="none" w:sz="0" w:space="0" w:color="auto"/>
            <w:left w:val="none" w:sz="0" w:space="0" w:color="auto"/>
            <w:bottom w:val="none" w:sz="0" w:space="0" w:color="auto"/>
            <w:right w:val="none" w:sz="0" w:space="0" w:color="auto"/>
          </w:divBdr>
        </w:div>
        <w:div w:id="2024703951">
          <w:marLeft w:val="0"/>
          <w:marRight w:val="0"/>
          <w:marTop w:val="0"/>
          <w:marBottom w:val="0"/>
          <w:divBdr>
            <w:top w:val="none" w:sz="0" w:space="0" w:color="auto"/>
            <w:left w:val="none" w:sz="0" w:space="0" w:color="auto"/>
            <w:bottom w:val="none" w:sz="0" w:space="0" w:color="auto"/>
            <w:right w:val="none" w:sz="0" w:space="0" w:color="auto"/>
          </w:divBdr>
        </w:div>
        <w:div w:id="2024703952">
          <w:marLeft w:val="0"/>
          <w:marRight w:val="0"/>
          <w:marTop w:val="0"/>
          <w:marBottom w:val="0"/>
          <w:divBdr>
            <w:top w:val="none" w:sz="0" w:space="0" w:color="auto"/>
            <w:left w:val="none" w:sz="0" w:space="0" w:color="auto"/>
            <w:bottom w:val="none" w:sz="0" w:space="0" w:color="auto"/>
            <w:right w:val="none" w:sz="0" w:space="0" w:color="auto"/>
          </w:divBdr>
        </w:div>
        <w:div w:id="2024703953">
          <w:marLeft w:val="0"/>
          <w:marRight w:val="0"/>
          <w:marTop w:val="0"/>
          <w:marBottom w:val="0"/>
          <w:divBdr>
            <w:top w:val="none" w:sz="0" w:space="0" w:color="auto"/>
            <w:left w:val="none" w:sz="0" w:space="0" w:color="auto"/>
            <w:bottom w:val="none" w:sz="0" w:space="0" w:color="auto"/>
            <w:right w:val="none" w:sz="0" w:space="0" w:color="auto"/>
          </w:divBdr>
        </w:div>
        <w:div w:id="2024703954">
          <w:marLeft w:val="0"/>
          <w:marRight w:val="0"/>
          <w:marTop w:val="0"/>
          <w:marBottom w:val="0"/>
          <w:divBdr>
            <w:top w:val="none" w:sz="0" w:space="0" w:color="auto"/>
            <w:left w:val="none" w:sz="0" w:space="0" w:color="auto"/>
            <w:bottom w:val="none" w:sz="0" w:space="0" w:color="auto"/>
            <w:right w:val="none" w:sz="0" w:space="0" w:color="auto"/>
          </w:divBdr>
        </w:div>
        <w:div w:id="2024703955">
          <w:marLeft w:val="0"/>
          <w:marRight w:val="0"/>
          <w:marTop w:val="0"/>
          <w:marBottom w:val="0"/>
          <w:divBdr>
            <w:top w:val="none" w:sz="0" w:space="0" w:color="auto"/>
            <w:left w:val="none" w:sz="0" w:space="0" w:color="auto"/>
            <w:bottom w:val="none" w:sz="0" w:space="0" w:color="auto"/>
            <w:right w:val="none" w:sz="0" w:space="0" w:color="auto"/>
          </w:divBdr>
        </w:div>
        <w:div w:id="2024703956">
          <w:marLeft w:val="0"/>
          <w:marRight w:val="0"/>
          <w:marTop w:val="0"/>
          <w:marBottom w:val="0"/>
          <w:divBdr>
            <w:top w:val="none" w:sz="0" w:space="0" w:color="auto"/>
            <w:left w:val="none" w:sz="0" w:space="0" w:color="auto"/>
            <w:bottom w:val="none" w:sz="0" w:space="0" w:color="auto"/>
            <w:right w:val="none" w:sz="0" w:space="0" w:color="auto"/>
          </w:divBdr>
        </w:div>
        <w:div w:id="2024703957">
          <w:marLeft w:val="0"/>
          <w:marRight w:val="0"/>
          <w:marTop w:val="0"/>
          <w:marBottom w:val="0"/>
          <w:divBdr>
            <w:top w:val="none" w:sz="0" w:space="0" w:color="auto"/>
            <w:left w:val="none" w:sz="0" w:space="0" w:color="auto"/>
            <w:bottom w:val="none" w:sz="0" w:space="0" w:color="auto"/>
            <w:right w:val="none" w:sz="0" w:space="0" w:color="auto"/>
          </w:divBdr>
        </w:div>
        <w:div w:id="2024703959">
          <w:marLeft w:val="0"/>
          <w:marRight w:val="0"/>
          <w:marTop w:val="0"/>
          <w:marBottom w:val="0"/>
          <w:divBdr>
            <w:top w:val="none" w:sz="0" w:space="0" w:color="auto"/>
            <w:left w:val="none" w:sz="0" w:space="0" w:color="auto"/>
            <w:bottom w:val="none" w:sz="0" w:space="0" w:color="auto"/>
            <w:right w:val="none" w:sz="0" w:space="0" w:color="auto"/>
          </w:divBdr>
        </w:div>
        <w:div w:id="2024703960">
          <w:marLeft w:val="0"/>
          <w:marRight w:val="0"/>
          <w:marTop w:val="0"/>
          <w:marBottom w:val="0"/>
          <w:divBdr>
            <w:top w:val="none" w:sz="0" w:space="0" w:color="auto"/>
            <w:left w:val="none" w:sz="0" w:space="0" w:color="auto"/>
            <w:bottom w:val="none" w:sz="0" w:space="0" w:color="auto"/>
            <w:right w:val="none" w:sz="0" w:space="0" w:color="auto"/>
          </w:divBdr>
        </w:div>
        <w:div w:id="2024703961">
          <w:marLeft w:val="0"/>
          <w:marRight w:val="0"/>
          <w:marTop w:val="0"/>
          <w:marBottom w:val="0"/>
          <w:divBdr>
            <w:top w:val="none" w:sz="0" w:space="0" w:color="auto"/>
            <w:left w:val="none" w:sz="0" w:space="0" w:color="auto"/>
            <w:bottom w:val="none" w:sz="0" w:space="0" w:color="auto"/>
            <w:right w:val="none" w:sz="0" w:space="0" w:color="auto"/>
          </w:divBdr>
        </w:div>
        <w:div w:id="2024703962">
          <w:marLeft w:val="0"/>
          <w:marRight w:val="0"/>
          <w:marTop w:val="0"/>
          <w:marBottom w:val="0"/>
          <w:divBdr>
            <w:top w:val="none" w:sz="0" w:space="0" w:color="auto"/>
            <w:left w:val="none" w:sz="0" w:space="0" w:color="auto"/>
            <w:bottom w:val="none" w:sz="0" w:space="0" w:color="auto"/>
            <w:right w:val="none" w:sz="0" w:space="0" w:color="auto"/>
          </w:divBdr>
        </w:div>
        <w:div w:id="2024703963">
          <w:marLeft w:val="0"/>
          <w:marRight w:val="0"/>
          <w:marTop w:val="0"/>
          <w:marBottom w:val="0"/>
          <w:divBdr>
            <w:top w:val="none" w:sz="0" w:space="0" w:color="auto"/>
            <w:left w:val="none" w:sz="0" w:space="0" w:color="auto"/>
            <w:bottom w:val="none" w:sz="0" w:space="0" w:color="auto"/>
            <w:right w:val="none" w:sz="0" w:space="0" w:color="auto"/>
          </w:divBdr>
        </w:div>
        <w:div w:id="2024703964">
          <w:marLeft w:val="0"/>
          <w:marRight w:val="0"/>
          <w:marTop w:val="0"/>
          <w:marBottom w:val="0"/>
          <w:divBdr>
            <w:top w:val="none" w:sz="0" w:space="0" w:color="auto"/>
            <w:left w:val="none" w:sz="0" w:space="0" w:color="auto"/>
            <w:bottom w:val="none" w:sz="0" w:space="0" w:color="auto"/>
            <w:right w:val="none" w:sz="0" w:space="0" w:color="auto"/>
          </w:divBdr>
        </w:div>
        <w:div w:id="2024703965">
          <w:marLeft w:val="0"/>
          <w:marRight w:val="0"/>
          <w:marTop w:val="0"/>
          <w:marBottom w:val="0"/>
          <w:divBdr>
            <w:top w:val="none" w:sz="0" w:space="0" w:color="auto"/>
            <w:left w:val="none" w:sz="0" w:space="0" w:color="auto"/>
            <w:bottom w:val="none" w:sz="0" w:space="0" w:color="auto"/>
            <w:right w:val="none" w:sz="0" w:space="0" w:color="auto"/>
          </w:divBdr>
        </w:div>
        <w:div w:id="2024703966">
          <w:marLeft w:val="0"/>
          <w:marRight w:val="0"/>
          <w:marTop w:val="0"/>
          <w:marBottom w:val="0"/>
          <w:divBdr>
            <w:top w:val="none" w:sz="0" w:space="0" w:color="auto"/>
            <w:left w:val="none" w:sz="0" w:space="0" w:color="auto"/>
            <w:bottom w:val="none" w:sz="0" w:space="0" w:color="auto"/>
            <w:right w:val="none" w:sz="0" w:space="0" w:color="auto"/>
          </w:divBdr>
        </w:div>
        <w:div w:id="2024703967">
          <w:marLeft w:val="0"/>
          <w:marRight w:val="0"/>
          <w:marTop w:val="0"/>
          <w:marBottom w:val="0"/>
          <w:divBdr>
            <w:top w:val="none" w:sz="0" w:space="0" w:color="auto"/>
            <w:left w:val="none" w:sz="0" w:space="0" w:color="auto"/>
            <w:bottom w:val="none" w:sz="0" w:space="0" w:color="auto"/>
            <w:right w:val="none" w:sz="0" w:space="0" w:color="auto"/>
          </w:divBdr>
        </w:div>
        <w:div w:id="2024703968">
          <w:marLeft w:val="0"/>
          <w:marRight w:val="0"/>
          <w:marTop w:val="0"/>
          <w:marBottom w:val="0"/>
          <w:divBdr>
            <w:top w:val="none" w:sz="0" w:space="0" w:color="auto"/>
            <w:left w:val="none" w:sz="0" w:space="0" w:color="auto"/>
            <w:bottom w:val="none" w:sz="0" w:space="0" w:color="auto"/>
            <w:right w:val="none" w:sz="0" w:space="0" w:color="auto"/>
          </w:divBdr>
        </w:div>
        <w:div w:id="2024703969">
          <w:marLeft w:val="0"/>
          <w:marRight w:val="0"/>
          <w:marTop w:val="0"/>
          <w:marBottom w:val="0"/>
          <w:divBdr>
            <w:top w:val="none" w:sz="0" w:space="0" w:color="auto"/>
            <w:left w:val="none" w:sz="0" w:space="0" w:color="auto"/>
            <w:bottom w:val="none" w:sz="0" w:space="0" w:color="auto"/>
            <w:right w:val="none" w:sz="0" w:space="0" w:color="auto"/>
          </w:divBdr>
        </w:div>
        <w:div w:id="2024703971">
          <w:marLeft w:val="0"/>
          <w:marRight w:val="0"/>
          <w:marTop w:val="0"/>
          <w:marBottom w:val="0"/>
          <w:divBdr>
            <w:top w:val="none" w:sz="0" w:space="0" w:color="auto"/>
            <w:left w:val="none" w:sz="0" w:space="0" w:color="auto"/>
            <w:bottom w:val="none" w:sz="0" w:space="0" w:color="auto"/>
            <w:right w:val="none" w:sz="0" w:space="0" w:color="auto"/>
          </w:divBdr>
        </w:div>
        <w:div w:id="2024703972">
          <w:marLeft w:val="0"/>
          <w:marRight w:val="0"/>
          <w:marTop w:val="0"/>
          <w:marBottom w:val="0"/>
          <w:divBdr>
            <w:top w:val="none" w:sz="0" w:space="0" w:color="auto"/>
            <w:left w:val="none" w:sz="0" w:space="0" w:color="auto"/>
            <w:bottom w:val="none" w:sz="0" w:space="0" w:color="auto"/>
            <w:right w:val="none" w:sz="0" w:space="0" w:color="auto"/>
          </w:divBdr>
        </w:div>
        <w:div w:id="2024703973">
          <w:marLeft w:val="0"/>
          <w:marRight w:val="0"/>
          <w:marTop w:val="0"/>
          <w:marBottom w:val="0"/>
          <w:divBdr>
            <w:top w:val="none" w:sz="0" w:space="0" w:color="auto"/>
            <w:left w:val="none" w:sz="0" w:space="0" w:color="auto"/>
            <w:bottom w:val="none" w:sz="0" w:space="0" w:color="auto"/>
            <w:right w:val="none" w:sz="0" w:space="0" w:color="auto"/>
          </w:divBdr>
        </w:div>
        <w:div w:id="2024703974">
          <w:marLeft w:val="0"/>
          <w:marRight w:val="0"/>
          <w:marTop w:val="0"/>
          <w:marBottom w:val="0"/>
          <w:divBdr>
            <w:top w:val="none" w:sz="0" w:space="0" w:color="auto"/>
            <w:left w:val="none" w:sz="0" w:space="0" w:color="auto"/>
            <w:bottom w:val="none" w:sz="0" w:space="0" w:color="auto"/>
            <w:right w:val="none" w:sz="0" w:space="0" w:color="auto"/>
          </w:divBdr>
        </w:div>
        <w:div w:id="2024703975">
          <w:marLeft w:val="0"/>
          <w:marRight w:val="0"/>
          <w:marTop w:val="0"/>
          <w:marBottom w:val="0"/>
          <w:divBdr>
            <w:top w:val="none" w:sz="0" w:space="0" w:color="auto"/>
            <w:left w:val="none" w:sz="0" w:space="0" w:color="auto"/>
            <w:bottom w:val="none" w:sz="0" w:space="0" w:color="auto"/>
            <w:right w:val="none" w:sz="0" w:space="0" w:color="auto"/>
          </w:divBdr>
        </w:div>
        <w:div w:id="2024703976">
          <w:marLeft w:val="0"/>
          <w:marRight w:val="0"/>
          <w:marTop w:val="0"/>
          <w:marBottom w:val="0"/>
          <w:divBdr>
            <w:top w:val="none" w:sz="0" w:space="0" w:color="auto"/>
            <w:left w:val="none" w:sz="0" w:space="0" w:color="auto"/>
            <w:bottom w:val="none" w:sz="0" w:space="0" w:color="auto"/>
            <w:right w:val="none" w:sz="0" w:space="0" w:color="auto"/>
          </w:divBdr>
        </w:div>
        <w:div w:id="2024703977">
          <w:marLeft w:val="0"/>
          <w:marRight w:val="0"/>
          <w:marTop w:val="0"/>
          <w:marBottom w:val="0"/>
          <w:divBdr>
            <w:top w:val="none" w:sz="0" w:space="0" w:color="auto"/>
            <w:left w:val="none" w:sz="0" w:space="0" w:color="auto"/>
            <w:bottom w:val="none" w:sz="0" w:space="0" w:color="auto"/>
            <w:right w:val="none" w:sz="0" w:space="0" w:color="auto"/>
          </w:divBdr>
        </w:div>
        <w:div w:id="2024703978">
          <w:marLeft w:val="0"/>
          <w:marRight w:val="0"/>
          <w:marTop w:val="0"/>
          <w:marBottom w:val="0"/>
          <w:divBdr>
            <w:top w:val="none" w:sz="0" w:space="0" w:color="auto"/>
            <w:left w:val="none" w:sz="0" w:space="0" w:color="auto"/>
            <w:bottom w:val="none" w:sz="0" w:space="0" w:color="auto"/>
            <w:right w:val="none" w:sz="0" w:space="0" w:color="auto"/>
          </w:divBdr>
        </w:div>
        <w:div w:id="2024703979">
          <w:marLeft w:val="0"/>
          <w:marRight w:val="0"/>
          <w:marTop w:val="0"/>
          <w:marBottom w:val="0"/>
          <w:divBdr>
            <w:top w:val="none" w:sz="0" w:space="0" w:color="auto"/>
            <w:left w:val="none" w:sz="0" w:space="0" w:color="auto"/>
            <w:bottom w:val="none" w:sz="0" w:space="0" w:color="auto"/>
            <w:right w:val="none" w:sz="0" w:space="0" w:color="auto"/>
          </w:divBdr>
        </w:div>
        <w:div w:id="2024703980">
          <w:marLeft w:val="0"/>
          <w:marRight w:val="0"/>
          <w:marTop w:val="0"/>
          <w:marBottom w:val="0"/>
          <w:divBdr>
            <w:top w:val="none" w:sz="0" w:space="0" w:color="auto"/>
            <w:left w:val="none" w:sz="0" w:space="0" w:color="auto"/>
            <w:bottom w:val="none" w:sz="0" w:space="0" w:color="auto"/>
            <w:right w:val="none" w:sz="0" w:space="0" w:color="auto"/>
          </w:divBdr>
        </w:div>
        <w:div w:id="2024703981">
          <w:marLeft w:val="0"/>
          <w:marRight w:val="0"/>
          <w:marTop w:val="0"/>
          <w:marBottom w:val="0"/>
          <w:divBdr>
            <w:top w:val="none" w:sz="0" w:space="0" w:color="auto"/>
            <w:left w:val="none" w:sz="0" w:space="0" w:color="auto"/>
            <w:bottom w:val="none" w:sz="0" w:space="0" w:color="auto"/>
            <w:right w:val="none" w:sz="0" w:space="0" w:color="auto"/>
          </w:divBdr>
        </w:div>
        <w:div w:id="2024703982">
          <w:marLeft w:val="0"/>
          <w:marRight w:val="0"/>
          <w:marTop w:val="0"/>
          <w:marBottom w:val="0"/>
          <w:divBdr>
            <w:top w:val="none" w:sz="0" w:space="0" w:color="auto"/>
            <w:left w:val="none" w:sz="0" w:space="0" w:color="auto"/>
            <w:bottom w:val="none" w:sz="0" w:space="0" w:color="auto"/>
            <w:right w:val="none" w:sz="0" w:space="0" w:color="auto"/>
          </w:divBdr>
        </w:div>
        <w:div w:id="2024703983">
          <w:marLeft w:val="0"/>
          <w:marRight w:val="0"/>
          <w:marTop w:val="0"/>
          <w:marBottom w:val="0"/>
          <w:divBdr>
            <w:top w:val="none" w:sz="0" w:space="0" w:color="auto"/>
            <w:left w:val="none" w:sz="0" w:space="0" w:color="auto"/>
            <w:bottom w:val="none" w:sz="0" w:space="0" w:color="auto"/>
            <w:right w:val="none" w:sz="0" w:space="0" w:color="auto"/>
          </w:divBdr>
        </w:div>
        <w:div w:id="2024703984">
          <w:marLeft w:val="0"/>
          <w:marRight w:val="0"/>
          <w:marTop w:val="0"/>
          <w:marBottom w:val="0"/>
          <w:divBdr>
            <w:top w:val="none" w:sz="0" w:space="0" w:color="auto"/>
            <w:left w:val="none" w:sz="0" w:space="0" w:color="auto"/>
            <w:bottom w:val="none" w:sz="0" w:space="0" w:color="auto"/>
            <w:right w:val="none" w:sz="0" w:space="0" w:color="auto"/>
          </w:divBdr>
        </w:div>
        <w:div w:id="2024703985">
          <w:marLeft w:val="0"/>
          <w:marRight w:val="0"/>
          <w:marTop w:val="0"/>
          <w:marBottom w:val="0"/>
          <w:divBdr>
            <w:top w:val="none" w:sz="0" w:space="0" w:color="auto"/>
            <w:left w:val="none" w:sz="0" w:space="0" w:color="auto"/>
            <w:bottom w:val="none" w:sz="0" w:space="0" w:color="auto"/>
            <w:right w:val="none" w:sz="0" w:space="0" w:color="auto"/>
          </w:divBdr>
        </w:div>
        <w:div w:id="2024703986">
          <w:marLeft w:val="0"/>
          <w:marRight w:val="0"/>
          <w:marTop w:val="0"/>
          <w:marBottom w:val="0"/>
          <w:divBdr>
            <w:top w:val="none" w:sz="0" w:space="0" w:color="auto"/>
            <w:left w:val="none" w:sz="0" w:space="0" w:color="auto"/>
            <w:bottom w:val="none" w:sz="0" w:space="0" w:color="auto"/>
            <w:right w:val="none" w:sz="0" w:space="0" w:color="auto"/>
          </w:divBdr>
        </w:div>
        <w:div w:id="2024703987">
          <w:marLeft w:val="0"/>
          <w:marRight w:val="0"/>
          <w:marTop w:val="0"/>
          <w:marBottom w:val="0"/>
          <w:divBdr>
            <w:top w:val="none" w:sz="0" w:space="0" w:color="auto"/>
            <w:left w:val="none" w:sz="0" w:space="0" w:color="auto"/>
            <w:bottom w:val="none" w:sz="0" w:space="0" w:color="auto"/>
            <w:right w:val="none" w:sz="0" w:space="0" w:color="auto"/>
          </w:divBdr>
        </w:div>
        <w:div w:id="2024703988">
          <w:marLeft w:val="0"/>
          <w:marRight w:val="0"/>
          <w:marTop w:val="0"/>
          <w:marBottom w:val="0"/>
          <w:divBdr>
            <w:top w:val="none" w:sz="0" w:space="0" w:color="auto"/>
            <w:left w:val="none" w:sz="0" w:space="0" w:color="auto"/>
            <w:bottom w:val="none" w:sz="0" w:space="0" w:color="auto"/>
            <w:right w:val="none" w:sz="0" w:space="0" w:color="auto"/>
          </w:divBdr>
        </w:div>
        <w:div w:id="2024703989">
          <w:marLeft w:val="0"/>
          <w:marRight w:val="0"/>
          <w:marTop w:val="0"/>
          <w:marBottom w:val="0"/>
          <w:divBdr>
            <w:top w:val="none" w:sz="0" w:space="0" w:color="auto"/>
            <w:left w:val="none" w:sz="0" w:space="0" w:color="auto"/>
            <w:bottom w:val="none" w:sz="0" w:space="0" w:color="auto"/>
            <w:right w:val="none" w:sz="0" w:space="0" w:color="auto"/>
          </w:divBdr>
        </w:div>
        <w:div w:id="2024703990">
          <w:marLeft w:val="0"/>
          <w:marRight w:val="0"/>
          <w:marTop w:val="0"/>
          <w:marBottom w:val="0"/>
          <w:divBdr>
            <w:top w:val="none" w:sz="0" w:space="0" w:color="auto"/>
            <w:left w:val="none" w:sz="0" w:space="0" w:color="auto"/>
            <w:bottom w:val="none" w:sz="0" w:space="0" w:color="auto"/>
            <w:right w:val="none" w:sz="0" w:space="0" w:color="auto"/>
          </w:divBdr>
        </w:div>
        <w:div w:id="2024703991">
          <w:marLeft w:val="0"/>
          <w:marRight w:val="0"/>
          <w:marTop w:val="0"/>
          <w:marBottom w:val="0"/>
          <w:divBdr>
            <w:top w:val="none" w:sz="0" w:space="0" w:color="auto"/>
            <w:left w:val="none" w:sz="0" w:space="0" w:color="auto"/>
            <w:bottom w:val="none" w:sz="0" w:space="0" w:color="auto"/>
            <w:right w:val="none" w:sz="0" w:space="0" w:color="auto"/>
          </w:divBdr>
        </w:div>
        <w:div w:id="2024703992">
          <w:marLeft w:val="0"/>
          <w:marRight w:val="0"/>
          <w:marTop w:val="0"/>
          <w:marBottom w:val="0"/>
          <w:divBdr>
            <w:top w:val="none" w:sz="0" w:space="0" w:color="auto"/>
            <w:left w:val="none" w:sz="0" w:space="0" w:color="auto"/>
            <w:bottom w:val="none" w:sz="0" w:space="0" w:color="auto"/>
            <w:right w:val="none" w:sz="0" w:space="0" w:color="auto"/>
          </w:divBdr>
        </w:div>
        <w:div w:id="2024703993">
          <w:marLeft w:val="0"/>
          <w:marRight w:val="0"/>
          <w:marTop w:val="0"/>
          <w:marBottom w:val="0"/>
          <w:divBdr>
            <w:top w:val="none" w:sz="0" w:space="0" w:color="auto"/>
            <w:left w:val="none" w:sz="0" w:space="0" w:color="auto"/>
            <w:bottom w:val="none" w:sz="0" w:space="0" w:color="auto"/>
            <w:right w:val="none" w:sz="0" w:space="0" w:color="auto"/>
          </w:divBdr>
        </w:div>
        <w:div w:id="2024703994">
          <w:marLeft w:val="0"/>
          <w:marRight w:val="0"/>
          <w:marTop w:val="0"/>
          <w:marBottom w:val="0"/>
          <w:divBdr>
            <w:top w:val="none" w:sz="0" w:space="0" w:color="auto"/>
            <w:left w:val="none" w:sz="0" w:space="0" w:color="auto"/>
            <w:bottom w:val="none" w:sz="0" w:space="0" w:color="auto"/>
            <w:right w:val="none" w:sz="0" w:space="0" w:color="auto"/>
          </w:divBdr>
        </w:div>
        <w:div w:id="2024703996">
          <w:marLeft w:val="0"/>
          <w:marRight w:val="0"/>
          <w:marTop w:val="0"/>
          <w:marBottom w:val="0"/>
          <w:divBdr>
            <w:top w:val="none" w:sz="0" w:space="0" w:color="auto"/>
            <w:left w:val="none" w:sz="0" w:space="0" w:color="auto"/>
            <w:bottom w:val="none" w:sz="0" w:space="0" w:color="auto"/>
            <w:right w:val="none" w:sz="0" w:space="0" w:color="auto"/>
          </w:divBdr>
        </w:div>
        <w:div w:id="2024703997">
          <w:marLeft w:val="0"/>
          <w:marRight w:val="0"/>
          <w:marTop w:val="0"/>
          <w:marBottom w:val="0"/>
          <w:divBdr>
            <w:top w:val="none" w:sz="0" w:space="0" w:color="auto"/>
            <w:left w:val="none" w:sz="0" w:space="0" w:color="auto"/>
            <w:bottom w:val="none" w:sz="0" w:space="0" w:color="auto"/>
            <w:right w:val="none" w:sz="0" w:space="0" w:color="auto"/>
          </w:divBdr>
        </w:div>
        <w:div w:id="2024703998">
          <w:marLeft w:val="0"/>
          <w:marRight w:val="0"/>
          <w:marTop w:val="0"/>
          <w:marBottom w:val="0"/>
          <w:divBdr>
            <w:top w:val="none" w:sz="0" w:space="0" w:color="auto"/>
            <w:left w:val="none" w:sz="0" w:space="0" w:color="auto"/>
            <w:bottom w:val="none" w:sz="0" w:space="0" w:color="auto"/>
            <w:right w:val="none" w:sz="0" w:space="0" w:color="auto"/>
          </w:divBdr>
        </w:div>
        <w:div w:id="2024703999">
          <w:marLeft w:val="0"/>
          <w:marRight w:val="0"/>
          <w:marTop w:val="0"/>
          <w:marBottom w:val="0"/>
          <w:divBdr>
            <w:top w:val="none" w:sz="0" w:space="0" w:color="auto"/>
            <w:left w:val="none" w:sz="0" w:space="0" w:color="auto"/>
            <w:bottom w:val="none" w:sz="0" w:space="0" w:color="auto"/>
            <w:right w:val="none" w:sz="0" w:space="0" w:color="auto"/>
          </w:divBdr>
        </w:div>
        <w:div w:id="2024704000">
          <w:marLeft w:val="0"/>
          <w:marRight w:val="0"/>
          <w:marTop w:val="0"/>
          <w:marBottom w:val="0"/>
          <w:divBdr>
            <w:top w:val="none" w:sz="0" w:space="0" w:color="auto"/>
            <w:left w:val="none" w:sz="0" w:space="0" w:color="auto"/>
            <w:bottom w:val="none" w:sz="0" w:space="0" w:color="auto"/>
            <w:right w:val="none" w:sz="0" w:space="0" w:color="auto"/>
          </w:divBdr>
        </w:div>
        <w:div w:id="2024704001">
          <w:marLeft w:val="0"/>
          <w:marRight w:val="0"/>
          <w:marTop w:val="0"/>
          <w:marBottom w:val="0"/>
          <w:divBdr>
            <w:top w:val="none" w:sz="0" w:space="0" w:color="auto"/>
            <w:left w:val="none" w:sz="0" w:space="0" w:color="auto"/>
            <w:bottom w:val="none" w:sz="0" w:space="0" w:color="auto"/>
            <w:right w:val="none" w:sz="0" w:space="0" w:color="auto"/>
          </w:divBdr>
        </w:div>
        <w:div w:id="2024704002">
          <w:marLeft w:val="0"/>
          <w:marRight w:val="0"/>
          <w:marTop w:val="0"/>
          <w:marBottom w:val="0"/>
          <w:divBdr>
            <w:top w:val="none" w:sz="0" w:space="0" w:color="auto"/>
            <w:left w:val="none" w:sz="0" w:space="0" w:color="auto"/>
            <w:bottom w:val="none" w:sz="0" w:space="0" w:color="auto"/>
            <w:right w:val="none" w:sz="0" w:space="0" w:color="auto"/>
          </w:divBdr>
        </w:div>
        <w:div w:id="2024704003">
          <w:marLeft w:val="0"/>
          <w:marRight w:val="0"/>
          <w:marTop w:val="0"/>
          <w:marBottom w:val="0"/>
          <w:divBdr>
            <w:top w:val="none" w:sz="0" w:space="0" w:color="auto"/>
            <w:left w:val="none" w:sz="0" w:space="0" w:color="auto"/>
            <w:bottom w:val="none" w:sz="0" w:space="0" w:color="auto"/>
            <w:right w:val="none" w:sz="0" w:space="0" w:color="auto"/>
          </w:divBdr>
        </w:div>
        <w:div w:id="2024704004">
          <w:marLeft w:val="0"/>
          <w:marRight w:val="0"/>
          <w:marTop w:val="0"/>
          <w:marBottom w:val="0"/>
          <w:divBdr>
            <w:top w:val="none" w:sz="0" w:space="0" w:color="auto"/>
            <w:left w:val="none" w:sz="0" w:space="0" w:color="auto"/>
            <w:bottom w:val="none" w:sz="0" w:space="0" w:color="auto"/>
            <w:right w:val="none" w:sz="0" w:space="0" w:color="auto"/>
          </w:divBdr>
        </w:div>
        <w:div w:id="2024704006">
          <w:marLeft w:val="0"/>
          <w:marRight w:val="0"/>
          <w:marTop w:val="0"/>
          <w:marBottom w:val="0"/>
          <w:divBdr>
            <w:top w:val="none" w:sz="0" w:space="0" w:color="auto"/>
            <w:left w:val="none" w:sz="0" w:space="0" w:color="auto"/>
            <w:bottom w:val="none" w:sz="0" w:space="0" w:color="auto"/>
            <w:right w:val="none" w:sz="0" w:space="0" w:color="auto"/>
          </w:divBdr>
        </w:div>
        <w:div w:id="2024704007">
          <w:marLeft w:val="0"/>
          <w:marRight w:val="0"/>
          <w:marTop w:val="0"/>
          <w:marBottom w:val="0"/>
          <w:divBdr>
            <w:top w:val="none" w:sz="0" w:space="0" w:color="auto"/>
            <w:left w:val="none" w:sz="0" w:space="0" w:color="auto"/>
            <w:bottom w:val="none" w:sz="0" w:space="0" w:color="auto"/>
            <w:right w:val="none" w:sz="0" w:space="0" w:color="auto"/>
          </w:divBdr>
        </w:div>
        <w:div w:id="2024704008">
          <w:marLeft w:val="0"/>
          <w:marRight w:val="0"/>
          <w:marTop w:val="0"/>
          <w:marBottom w:val="0"/>
          <w:divBdr>
            <w:top w:val="none" w:sz="0" w:space="0" w:color="auto"/>
            <w:left w:val="none" w:sz="0" w:space="0" w:color="auto"/>
            <w:bottom w:val="none" w:sz="0" w:space="0" w:color="auto"/>
            <w:right w:val="none" w:sz="0" w:space="0" w:color="auto"/>
          </w:divBdr>
        </w:div>
        <w:div w:id="2024704009">
          <w:marLeft w:val="0"/>
          <w:marRight w:val="0"/>
          <w:marTop w:val="0"/>
          <w:marBottom w:val="0"/>
          <w:divBdr>
            <w:top w:val="none" w:sz="0" w:space="0" w:color="auto"/>
            <w:left w:val="none" w:sz="0" w:space="0" w:color="auto"/>
            <w:bottom w:val="none" w:sz="0" w:space="0" w:color="auto"/>
            <w:right w:val="none" w:sz="0" w:space="0" w:color="auto"/>
          </w:divBdr>
        </w:div>
        <w:div w:id="2024704010">
          <w:marLeft w:val="0"/>
          <w:marRight w:val="0"/>
          <w:marTop w:val="0"/>
          <w:marBottom w:val="0"/>
          <w:divBdr>
            <w:top w:val="none" w:sz="0" w:space="0" w:color="auto"/>
            <w:left w:val="none" w:sz="0" w:space="0" w:color="auto"/>
            <w:bottom w:val="none" w:sz="0" w:space="0" w:color="auto"/>
            <w:right w:val="none" w:sz="0" w:space="0" w:color="auto"/>
          </w:divBdr>
        </w:div>
        <w:div w:id="2024704011">
          <w:marLeft w:val="0"/>
          <w:marRight w:val="0"/>
          <w:marTop w:val="0"/>
          <w:marBottom w:val="0"/>
          <w:divBdr>
            <w:top w:val="none" w:sz="0" w:space="0" w:color="auto"/>
            <w:left w:val="none" w:sz="0" w:space="0" w:color="auto"/>
            <w:bottom w:val="none" w:sz="0" w:space="0" w:color="auto"/>
            <w:right w:val="none" w:sz="0" w:space="0" w:color="auto"/>
          </w:divBdr>
        </w:div>
        <w:div w:id="2024704012">
          <w:marLeft w:val="0"/>
          <w:marRight w:val="0"/>
          <w:marTop w:val="0"/>
          <w:marBottom w:val="0"/>
          <w:divBdr>
            <w:top w:val="none" w:sz="0" w:space="0" w:color="auto"/>
            <w:left w:val="none" w:sz="0" w:space="0" w:color="auto"/>
            <w:bottom w:val="none" w:sz="0" w:space="0" w:color="auto"/>
            <w:right w:val="none" w:sz="0" w:space="0" w:color="auto"/>
          </w:divBdr>
        </w:div>
        <w:div w:id="2024704013">
          <w:marLeft w:val="0"/>
          <w:marRight w:val="0"/>
          <w:marTop w:val="0"/>
          <w:marBottom w:val="0"/>
          <w:divBdr>
            <w:top w:val="none" w:sz="0" w:space="0" w:color="auto"/>
            <w:left w:val="none" w:sz="0" w:space="0" w:color="auto"/>
            <w:bottom w:val="none" w:sz="0" w:space="0" w:color="auto"/>
            <w:right w:val="none" w:sz="0" w:space="0" w:color="auto"/>
          </w:divBdr>
        </w:div>
        <w:div w:id="2024704014">
          <w:marLeft w:val="0"/>
          <w:marRight w:val="0"/>
          <w:marTop w:val="0"/>
          <w:marBottom w:val="0"/>
          <w:divBdr>
            <w:top w:val="none" w:sz="0" w:space="0" w:color="auto"/>
            <w:left w:val="none" w:sz="0" w:space="0" w:color="auto"/>
            <w:bottom w:val="none" w:sz="0" w:space="0" w:color="auto"/>
            <w:right w:val="none" w:sz="0" w:space="0" w:color="auto"/>
          </w:divBdr>
        </w:div>
        <w:div w:id="2024704015">
          <w:marLeft w:val="0"/>
          <w:marRight w:val="0"/>
          <w:marTop w:val="0"/>
          <w:marBottom w:val="0"/>
          <w:divBdr>
            <w:top w:val="none" w:sz="0" w:space="0" w:color="auto"/>
            <w:left w:val="none" w:sz="0" w:space="0" w:color="auto"/>
            <w:bottom w:val="none" w:sz="0" w:space="0" w:color="auto"/>
            <w:right w:val="none" w:sz="0" w:space="0" w:color="auto"/>
          </w:divBdr>
        </w:div>
        <w:div w:id="2024704016">
          <w:marLeft w:val="0"/>
          <w:marRight w:val="0"/>
          <w:marTop w:val="0"/>
          <w:marBottom w:val="0"/>
          <w:divBdr>
            <w:top w:val="none" w:sz="0" w:space="0" w:color="auto"/>
            <w:left w:val="none" w:sz="0" w:space="0" w:color="auto"/>
            <w:bottom w:val="none" w:sz="0" w:space="0" w:color="auto"/>
            <w:right w:val="none" w:sz="0" w:space="0" w:color="auto"/>
          </w:divBdr>
        </w:div>
        <w:div w:id="2024704017">
          <w:marLeft w:val="0"/>
          <w:marRight w:val="0"/>
          <w:marTop w:val="0"/>
          <w:marBottom w:val="0"/>
          <w:divBdr>
            <w:top w:val="none" w:sz="0" w:space="0" w:color="auto"/>
            <w:left w:val="none" w:sz="0" w:space="0" w:color="auto"/>
            <w:bottom w:val="none" w:sz="0" w:space="0" w:color="auto"/>
            <w:right w:val="none" w:sz="0" w:space="0" w:color="auto"/>
          </w:divBdr>
        </w:div>
        <w:div w:id="2024704018">
          <w:marLeft w:val="0"/>
          <w:marRight w:val="0"/>
          <w:marTop w:val="0"/>
          <w:marBottom w:val="0"/>
          <w:divBdr>
            <w:top w:val="none" w:sz="0" w:space="0" w:color="auto"/>
            <w:left w:val="none" w:sz="0" w:space="0" w:color="auto"/>
            <w:bottom w:val="none" w:sz="0" w:space="0" w:color="auto"/>
            <w:right w:val="none" w:sz="0" w:space="0" w:color="auto"/>
          </w:divBdr>
        </w:div>
        <w:div w:id="2024704019">
          <w:marLeft w:val="0"/>
          <w:marRight w:val="0"/>
          <w:marTop w:val="0"/>
          <w:marBottom w:val="0"/>
          <w:divBdr>
            <w:top w:val="none" w:sz="0" w:space="0" w:color="auto"/>
            <w:left w:val="none" w:sz="0" w:space="0" w:color="auto"/>
            <w:bottom w:val="none" w:sz="0" w:space="0" w:color="auto"/>
            <w:right w:val="none" w:sz="0" w:space="0" w:color="auto"/>
          </w:divBdr>
        </w:div>
        <w:div w:id="2024704020">
          <w:marLeft w:val="0"/>
          <w:marRight w:val="0"/>
          <w:marTop w:val="0"/>
          <w:marBottom w:val="0"/>
          <w:divBdr>
            <w:top w:val="none" w:sz="0" w:space="0" w:color="auto"/>
            <w:left w:val="none" w:sz="0" w:space="0" w:color="auto"/>
            <w:bottom w:val="none" w:sz="0" w:space="0" w:color="auto"/>
            <w:right w:val="none" w:sz="0" w:space="0" w:color="auto"/>
          </w:divBdr>
        </w:div>
        <w:div w:id="2024704021">
          <w:marLeft w:val="0"/>
          <w:marRight w:val="0"/>
          <w:marTop w:val="0"/>
          <w:marBottom w:val="0"/>
          <w:divBdr>
            <w:top w:val="none" w:sz="0" w:space="0" w:color="auto"/>
            <w:left w:val="none" w:sz="0" w:space="0" w:color="auto"/>
            <w:bottom w:val="none" w:sz="0" w:space="0" w:color="auto"/>
            <w:right w:val="none" w:sz="0" w:space="0" w:color="auto"/>
          </w:divBdr>
        </w:div>
        <w:div w:id="2024704022">
          <w:marLeft w:val="0"/>
          <w:marRight w:val="0"/>
          <w:marTop w:val="0"/>
          <w:marBottom w:val="0"/>
          <w:divBdr>
            <w:top w:val="none" w:sz="0" w:space="0" w:color="auto"/>
            <w:left w:val="none" w:sz="0" w:space="0" w:color="auto"/>
            <w:bottom w:val="none" w:sz="0" w:space="0" w:color="auto"/>
            <w:right w:val="none" w:sz="0" w:space="0" w:color="auto"/>
          </w:divBdr>
        </w:div>
        <w:div w:id="2024704023">
          <w:marLeft w:val="0"/>
          <w:marRight w:val="0"/>
          <w:marTop w:val="0"/>
          <w:marBottom w:val="0"/>
          <w:divBdr>
            <w:top w:val="none" w:sz="0" w:space="0" w:color="auto"/>
            <w:left w:val="none" w:sz="0" w:space="0" w:color="auto"/>
            <w:bottom w:val="none" w:sz="0" w:space="0" w:color="auto"/>
            <w:right w:val="none" w:sz="0" w:space="0" w:color="auto"/>
          </w:divBdr>
        </w:div>
        <w:div w:id="2024704024">
          <w:marLeft w:val="0"/>
          <w:marRight w:val="0"/>
          <w:marTop w:val="0"/>
          <w:marBottom w:val="0"/>
          <w:divBdr>
            <w:top w:val="none" w:sz="0" w:space="0" w:color="auto"/>
            <w:left w:val="none" w:sz="0" w:space="0" w:color="auto"/>
            <w:bottom w:val="none" w:sz="0" w:space="0" w:color="auto"/>
            <w:right w:val="none" w:sz="0" w:space="0" w:color="auto"/>
          </w:divBdr>
        </w:div>
        <w:div w:id="2024704025">
          <w:marLeft w:val="0"/>
          <w:marRight w:val="0"/>
          <w:marTop w:val="0"/>
          <w:marBottom w:val="0"/>
          <w:divBdr>
            <w:top w:val="none" w:sz="0" w:space="0" w:color="auto"/>
            <w:left w:val="none" w:sz="0" w:space="0" w:color="auto"/>
            <w:bottom w:val="none" w:sz="0" w:space="0" w:color="auto"/>
            <w:right w:val="none" w:sz="0" w:space="0" w:color="auto"/>
          </w:divBdr>
        </w:div>
        <w:div w:id="2024704026">
          <w:marLeft w:val="0"/>
          <w:marRight w:val="0"/>
          <w:marTop w:val="0"/>
          <w:marBottom w:val="0"/>
          <w:divBdr>
            <w:top w:val="none" w:sz="0" w:space="0" w:color="auto"/>
            <w:left w:val="none" w:sz="0" w:space="0" w:color="auto"/>
            <w:bottom w:val="none" w:sz="0" w:space="0" w:color="auto"/>
            <w:right w:val="none" w:sz="0" w:space="0" w:color="auto"/>
          </w:divBdr>
        </w:div>
        <w:div w:id="2024704027">
          <w:marLeft w:val="0"/>
          <w:marRight w:val="0"/>
          <w:marTop w:val="0"/>
          <w:marBottom w:val="0"/>
          <w:divBdr>
            <w:top w:val="none" w:sz="0" w:space="0" w:color="auto"/>
            <w:left w:val="none" w:sz="0" w:space="0" w:color="auto"/>
            <w:bottom w:val="none" w:sz="0" w:space="0" w:color="auto"/>
            <w:right w:val="none" w:sz="0" w:space="0" w:color="auto"/>
          </w:divBdr>
        </w:div>
        <w:div w:id="2024704028">
          <w:marLeft w:val="0"/>
          <w:marRight w:val="0"/>
          <w:marTop w:val="0"/>
          <w:marBottom w:val="0"/>
          <w:divBdr>
            <w:top w:val="none" w:sz="0" w:space="0" w:color="auto"/>
            <w:left w:val="none" w:sz="0" w:space="0" w:color="auto"/>
            <w:bottom w:val="none" w:sz="0" w:space="0" w:color="auto"/>
            <w:right w:val="none" w:sz="0" w:space="0" w:color="auto"/>
          </w:divBdr>
        </w:div>
        <w:div w:id="2024704029">
          <w:marLeft w:val="0"/>
          <w:marRight w:val="0"/>
          <w:marTop w:val="0"/>
          <w:marBottom w:val="0"/>
          <w:divBdr>
            <w:top w:val="none" w:sz="0" w:space="0" w:color="auto"/>
            <w:left w:val="none" w:sz="0" w:space="0" w:color="auto"/>
            <w:bottom w:val="none" w:sz="0" w:space="0" w:color="auto"/>
            <w:right w:val="none" w:sz="0" w:space="0" w:color="auto"/>
          </w:divBdr>
        </w:div>
        <w:div w:id="2024704030">
          <w:marLeft w:val="0"/>
          <w:marRight w:val="0"/>
          <w:marTop w:val="0"/>
          <w:marBottom w:val="0"/>
          <w:divBdr>
            <w:top w:val="none" w:sz="0" w:space="0" w:color="auto"/>
            <w:left w:val="none" w:sz="0" w:space="0" w:color="auto"/>
            <w:bottom w:val="none" w:sz="0" w:space="0" w:color="auto"/>
            <w:right w:val="none" w:sz="0" w:space="0" w:color="auto"/>
          </w:divBdr>
        </w:div>
        <w:div w:id="2024704031">
          <w:marLeft w:val="0"/>
          <w:marRight w:val="0"/>
          <w:marTop w:val="0"/>
          <w:marBottom w:val="0"/>
          <w:divBdr>
            <w:top w:val="none" w:sz="0" w:space="0" w:color="auto"/>
            <w:left w:val="none" w:sz="0" w:space="0" w:color="auto"/>
            <w:bottom w:val="none" w:sz="0" w:space="0" w:color="auto"/>
            <w:right w:val="none" w:sz="0" w:space="0" w:color="auto"/>
          </w:divBdr>
        </w:div>
        <w:div w:id="2024704032">
          <w:marLeft w:val="0"/>
          <w:marRight w:val="0"/>
          <w:marTop w:val="0"/>
          <w:marBottom w:val="0"/>
          <w:divBdr>
            <w:top w:val="none" w:sz="0" w:space="0" w:color="auto"/>
            <w:left w:val="none" w:sz="0" w:space="0" w:color="auto"/>
            <w:bottom w:val="none" w:sz="0" w:space="0" w:color="auto"/>
            <w:right w:val="none" w:sz="0" w:space="0" w:color="auto"/>
          </w:divBdr>
        </w:div>
        <w:div w:id="2024704033">
          <w:marLeft w:val="0"/>
          <w:marRight w:val="0"/>
          <w:marTop w:val="0"/>
          <w:marBottom w:val="0"/>
          <w:divBdr>
            <w:top w:val="none" w:sz="0" w:space="0" w:color="auto"/>
            <w:left w:val="none" w:sz="0" w:space="0" w:color="auto"/>
            <w:bottom w:val="none" w:sz="0" w:space="0" w:color="auto"/>
            <w:right w:val="none" w:sz="0" w:space="0" w:color="auto"/>
          </w:divBdr>
        </w:div>
        <w:div w:id="2024704034">
          <w:marLeft w:val="0"/>
          <w:marRight w:val="0"/>
          <w:marTop w:val="0"/>
          <w:marBottom w:val="0"/>
          <w:divBdr>
            <w:top w:val="none" w:sz="0" w:space="0" w:color="auto"/>
            <w:left w:val="none" w:sz="0" w:space="0" w:color="auto"/>
            <w:bottom w:val="none" w:sz="0" w:space="0" w:color="auto"/>
            <w:right w:val="none" w:sz="0" w:space="0" w:color="auto"/>
          </w:divBdr>
        </w:div>
        <w:div w:id="2024704035">
          <w:marLeft w:val="0"/>
          <w:marRight w:val="0"/>
          <w:marTop w:val="0"/>
          <w:marBottom w:val="0"/>
          <w:divBdr>
            <w:top w:val="none" w:sz="0" w:space="0" w:color="auto"/>
            <w:left w:val="none" w:sz="0" w:space="0" w:color="auto"/>
            <w:bottom w:val="none" w:sz="0" w:space="0" w:color="auto"/>
            <w:right w:val="none" w:sz="0" w:space="0" w:color="auto"/>
          </w:divBdr>
        </w:div>
        <w:div w:id="2024704036">
          <w:marLeft w:val="0"/>
          <w:marRight w:val="0"/>
          <w:marTop w:val="0"/>
          <w:marBottom w:val="0"/>
          <w:divBdr>
            <w:top w:val="none" w:sz="0" w:space="0" w:color="auto"/>
            <w:left w:val="none" w:sz="0" w:space="0" w:color="auto"/>
            <w:bottom w:val="none" w:sz="0" w:space="0" w:color="auto"/>
            <w:right w:val="none" w:sz="0" w:space="0" w:color="auto"/>
          </w:divBdr>
        </w:div>
        <w:div w:id="2024704037">
          <w:marLeft w:val="0"/>
          <w:marRight w:val="0"/>
          <w:marTop w:val="0"/>
          <w:marBottom w:val="0"/>
          <w:divBdr>
            <w:top w:val="none" w:sz="0" w:space="0" w:color="auto"/>
            <w:left w:val="none" w:sz="0" w:space="0" w:color="auto"/>
            <w:bottom w:val="none" w:sz="0" w:space="0" w:color="auto"/>
            <w:right w:val="none" w:sz="0" w:space="0" w:color="auto"/>
          </w:divBdr>
        </w:div>
        <w:div w:id="2024704039">
          <w:marLeft w:val="0"/>
          <w:marRight w:val="0"/>
          <w:marTop w:val="0"/>
          <w:marBottom w:val="0"/>
          <w:divBdr>
            <w:top w:val="none" w:sz="0" w:space="0" w:color="auto"/>
            <w:left w:val="none" w:sz="0" w:space="0" w:color="auto"/>
            <w:bottom w:val="none" w:sz="0" w:space="0" w:color="auto"/>
            <w:right w:val="none" w:sz="0" w:space="0" w:color="auto"/>
          </w:divBdr>
        </w:div>
        <w:div w:id="2024704040">
          <w:marLeft w:val="0"/>
          <w:marRight w:val="0"/>
          <w:marTop w:val="0"/>
          <w:marBottom w:val="0"/>
          <w:divBdr>
            <w:top w:val="none" w:sz="0" w:space="0" w:color="auto"/>
            <w:left w:val="none" w:sz="0" w:space="0" w:color="auto"/>
            <w:bottom w:val="none" w:sz="0" w:space="0" w:color="auto"/>
            <w:right w:val="none" w:sz="0" w:space="0" w:color="auto"/>
          </w:divBdr>
        </w:div>
        <w:div w:id="2024704041">
          <w:marLeft w:val="0"/>
          <w:marRight w:val="0"/>
          <w:marTop w:val="0"/>
          <w:marBottom w:val="0"/>
          <w:divBdr>
            <w:top w:val="none" w:sz="0" w:space="0" w:color="auto"/>
            <w:left w:val="none" w:sz="0" w:space="0" w:color="auto"/>
            <w:bottom w:val="none" w:sz="0" w:space="0" w:color="auto"/>
            <w:right w:val="none" w:sz="0" w:space="0" w:color="auto"/>
          </w:divBdr>
        </w:div>
        <w:div w:id="2024704042">
          <w:marLeft w:val="0"/>
          <w:marRight w:val="0"/>
          <w:marTop w:val="0"/>
          <w:marBottom w:val="0"/>
          <w:divBdr>
            <w:top w:val="none" w:sz="0" w:space="0" w:color="auto"/>
            <w:left w:val="none" w:sz="0" w:space="0" w:color="auto"/>
            <w:bottom w:val="none" w:sz="0" w:space="0" w:color="auto"/>
            <w:right w:val="none" w:sz="0" w:space="0" w:color="auto"/>
          </w:divBdr>
        </w:div>
        <w:div w:id="2024704043">
          <w:marLeft w:val="0"/>
          <w:marRight w:val="0"/>
          <w:marTop w:val="0"/>
          <w:marBottom w:val="0"/>
          <w:divBdr>
            <w:top w:val="none" w:sz="0" w:space="0" w:color="auto"/>
            <w:left w:val="none" w:sz="0" w:space="0" w:color="auto"/>
            <w:bottom w:val="none" w:sz="0" w:space="0" w:color="auto"/>
            <w:right w:val="none" w:sz="0" w:space="0" w:color="auto"/>
          </w:divBdr>
        </w:div>
        <w:div w:id="2024704044">
          <w:marLeft w:val="0"/>
          <w:marRight w:val="0"/>
          <w:marTop w:val="0"/>
          <w:marBottom w:val="0"/>
          <w:divBdr>
            <w:top w:val="none" w:sz="0" w:space="0" w:color="auto"/>
            <w:left w:val="none" w:sz="0" w:space="0" w:color="auto"/>
            <w:bottom w:val="none" w:sz="0" w:space="0" w:color="auto"/>
            <w:right w:val="none" w:sz="0" w:space="0" w:color="auto"/>
          </w:divBdr>
        </w:div>
        <w:div w:id="2024704045">
          <w:marLeft w:val="0"/>
          <w:marRight w:val="0"/>
          <w:marTop w:val="0"/>
          <w:marBottom w:val="0"/>
          <w:divBdr>
            <w:top w:val="none" w:sz="0" w:space="0" w:color="auto"/>
            <w:left w:val="none" w:sz="0" w:space="0" w:color="auto"/>
            <w:bottom w:val="none" w:sz="0" w:space="0" w:color="auto"/>
            <w:right w:val="none" w:sz="0" w:space="0" w:color="auto"/>
          </w:divBdr>
        </w:div>
        <w:div w:id="2024704046">
          <w:marLeft w:val="0"/>
          <w:marRight w:val="0"/>
          <w:marTop w:val="0"/>
          <w:marBottom w:val="0"/>
          <w:divBdr>
            <w:top w:val="none" w:sz="0" w:space="0" w:color="auto"/>
            <w:left w:val="none" w:sz="0" w:space="0" w:color="auto"/>
            <w:bottom w:val="none" w:sz="0" w:space="0" w:color="auto"/>
            <w:right w:val="none" w:sz="0" w:space="0" w:color="auto"/>
          </w:divBdr>
        </w:div>
        <w:div w:id="2024704048">
          <w:marLeft w:val="0"/>
          <w:marRight w:val="0"/>
          <w:marTop w:val="0"/>
          <w:marBottom w:val="0"/>
          <w:divBdr>
            <w:top w:val="none" w:sz="0" w:space="0" w:color="auto"/>
            <w:left w:val="none" w:sz="0" w:space="0" w:color="auto"/>
            <w:bottom w:val="none" w:sz="0" w:space="0" w:color="auto"/>
            <w:right w:val="none" w:sz="0" w:space="0" w:color="auto"/>
          </w:divBdr>
        </w:div>
        <w:div w:id="2024704049">
          <w:marLeft w:val="0"/>
          <w:marRight w:val="0"/>
          <w:marTop w:val="0"/>
          <w:marBottom w:val="0"/>
          <w:divBdr>
            <w:top w:val="none" w:sz="0" w:space="0" w:color="auto"/>
            <w:left w:val="none" w:sz="0" w:space="0" w:color="auto"/>
            <w:bottom w:val="none" w:sz="0" w:space="0" w:color="auto"/>
            <w:right w:val="none" w:sz="0" w:space="0" w:color="auto"/>
          </w:divBdr>
        </w:div>
        <w:div w:id="2024704050">
          <w:marLeft w:val="0"/>
          <w:marRight w:val="0"/>
          <w:marTop w:val="0"/>
          <w:marBottom w:val="0"/>
          <w:divBdr>
            <w:top w:val="none" w:sz="0" w:space="0" w:color="auto"/>
            <w:left w:val="none" w:sz="0" w:space="0" w:color="auto"/>
            <w:bottom w:val="none" w:sz="0" w:space="0" w:color="auto"/>
            <w:right w:val="none" w:sz="0" w:space="0" w:color="auto"/>
          </w:divBdr>
        </w:div>
        <w:div w:id="2024704051">
          <w:marLeft w:val="0"/>
          <w:marRight w:val="0"/>
          <w:marTop w:val="0"/>
          <w:marBottom w:val="0"/>
          <w:divBdr>
            <w:top w:val="none" w:sz="0" w:space="0" w:color="auto"/>
            <w:left w:val="none" w:sz="0" w:space="0" w:color="auto"/>
            <w:bottom w:val="none" w:sz="0" w:space="0" w:color="auto"/>
            <w:right w:val="none" w:sz="0" w:space="0" w:color="auto"/>
          </w:divBdr>
        </w:div>
        <w:div w:id="2024704052">
          <w:marLeft w:val="0"/>
          <w:marRight w:val="0"/>
          <w:marTop w:val="0"/>
          <w:marBottom w:val="0"/>
          <w:divBdr>
            <w:top w:val="none" w:sz="0" w:space="0" w:color="auto"/>
            <w:left w:val="none" w:sz="0" w:space="0" w:color="auto"/>
            <w:bottom w:val="none" w:sz="0" w:space="0" w:color="auto"/>
            <w:right w:val="none" w:sz="0" w:space="0" w:color="auto"/>
          </w:divBdr>
        </w:div>
        <w:div w:id="2024704053">
          <w:marLeft w:val="0"/>
          <w:marRight w:val="0"/>
          <w:marTop w:val="0"/>
          <w:marBottom w:val="0"/>
          <w:divBdr>
            <w:top w:val="none" w:sz="0" w:space="0" w:color="auto"/>
            <w:left w:val="none" w:sz="0" w:space="0" w:color="auto"/>
            <w:bottom w:val="none" w:sz="0" w:space="0" w:color="auto"/>
            <w:right w:val="none" w:sz="0" w:space="0" w:color="auto"/>
          </w:divBdr>
        </w:div>
        <w:div w:id="2024704054">
          <w:marLeft w:val="0"/>
          <w:marRight w:val="0"/>
          <w:marTop w:val="0"/>
          <w:marBottom w:val="0"/>
          <w:divBdr>
            <w:top w:val="none" w:sz="0" w:space="0" w:color="auto"/>
            <w:left w:val="none" w:sz="0" w:space="0" w:color="auto"/>
            <w:bottom w:val="none" w:sz="0" w:space="0" w:color="auto"/>
            <w:right w:val="none" w:sz="0" w:space="0" w:color="auto"/>
          </w:divBdr>
        </w:div>
        <w:div w:id="2024704055">
          <w:marLeft w:val="0"/>
          <w:marRight w:val="0"/>
          <w:marTop w:val="0"/>
          <w:marBottom w:val="0"/>
          <w:divBdr>
            <w:top w:val="none" w:sz="0" w:space="0" w:color="auto"/>
            <w:left w:val="none" w:sz="0" w:space="0" w:color="auto"/>
            <w:bottom w:val="none" w:sz="0" w:space="0" w:color="auto"/>
            <w:right w:val="none" w:sz="0" w:space="0" w:color="auto"/>
          </w:divBdr>
        </w:div>
        <w:div w:id="2024704056">
          <w:marLeft w:val="0"/>
          <w:marRight w:val="0"/>
          <w:marTop w:val="0"/>
          <w:marBottom w:val="0"/>
          <w:divBdr>
            <w:top w:val="none" w:sz="0" w:space="0" w:color="auto"/>
            <w:left w:val="none" w:sz="0" w:space="0" w:color="auto"/>
            <w:bottom w:val="none" w:sz="0" w:space="0" w:color="auto"/>
            <w:right w:val="none" w:sz="0" w:space="0" w:color="auto"/>
          </w:divBdr>
        </w:div>
        <w:div w:id="2024704057">
          <w:marLeft w:val="0"/>
          <w:marRight w:val="0"/>
          <w:marTop w:val="0"/>
          <w:marBottom w:val="0"/>
          <w:divBdr>
            <w:top w:val="none" w:sz="0" w:space="0" w:color="auto"/>
            <w:left w:val="none" w:sz="0" w:space="0" w:color="auto"/>
            <w:bottom w:val="none" w:sz="0" w:space="0" w:color="auto"/>
            <w:right w:val="none" w:sz="0" w:space="0" w:color="auto"/>
          </w:divBdr>
        </w:div>
        <w:div w:id="2024704058">
          <w:marLeft w:val="0"/>
          <w:marRight w:val="0"/>
          <w:marTop w:val="0"/>
          <w:marBottom w:val="0"/>
          <w:divBdr>
            <w:top w:val="none" w:sz="0" w:space="0" w:color="auto"/>
            <w:left w:val="none" w:sz="0" w:space="0" w:color="auto"/>
            <w:bottom w:val="none" w:sz="0" w:space="0" w:color="auto"/>
            <w:right w:val="none" w:sz="0" w:space="0" w:color="auto"/>
          </w:divBdr>
        </w:div>
        <w:div w:id="2024704059">
          <w:marLeft w:val="0"/>
          <w:marRight w:val="0"/>
          <w:marTop w:val="0"/>
          <w:marBottom w:val="0"/>
          <w:divBdr>
            <w:top w:val="none" w:sz="0" w:space="0" w:color="auto"/>
            <w:left w:val="none" w:sz="0" w:space="0" w:color="auto"/>
            <w:bottom w:val="none" w:sz="0" w:space="0" w:color="auto"/>
            <w:right w:val="none" w:sz="0" w:space="0" w:color="auto"/>
          </w:divBdr>
        </w:div>
        <w:div w:id="2024704060">
          <w:marLeft w:val="0"/>
          <w:marRight w:val="0"/>
          <w:marTop w:val="0"/>
          <w:marBottom w:val="0"/>
          <w:divBdr>
            <w:top w:val="none" w:sz="0" w:space="0" w:color="auto"/>
            <w:left w:val="none" w:sz="0" w:space="0" w:color="auto"/>
            <w:bottom w:val="none" w:sz="0" w:space="0" w:color="auto"/>
            <w:right w:val="none" w:sz="0" w:space="0" w:color="auto"/>
          </w:divBdr>
        </w:div>
        <w:div w:id="2024704061">
          <w:marLeft w:val="0"/>
          <w:marRight w:val="0"/>
          <w:marTop w:val="0"/>
          <w:marBottom w:val="0"/>
          <w:divBdr>
            <w:top w:val="none" w:sz="0" w:space="0" w:color="auto"/>
            <w:left w:val="none" w:sz="0" w:space="0" w:color="auto"/>
            <w:bottom w:val="none" w:sz="0" w:space="0" w:color="auto"/>
            <w:right w:val="none" w:sz="0" w:space="0" w:color="auto"/>
          </w:divBdr>
        </w:div>
        <w:div w:id="2024704062">
          <w:marLeft w:val="0"/>
          <w:marRight w:val="0"/>
          <w:marTop w:val="0"/>
          <w:marBottom w:val="0"/>
          <w:divBdr>
            <w:top w:val="none" w:sz="0" w:space="0" w:color="auto"/>
            <w:left w:val="none" w:sz="0" w:space="0" w:color="auto"/>
            <w:bottom w:val="none" w:sz="0" w:space="0" w:color="auto"/>
            <w:right w:val="none" w:sz="0" w:space="0" w:color="auto"/>
          </w:divBdr>
        </w:div>
        <w:div w:id="2024704063">
          <w:marLeft w:val="0"/>
          <w:marRight w:val="0"/>
          <w:marTop w:val="0"/>
          <w:marBottom w:val="0"/>
          <w:divBdr>
            <w:top w:val="none" w:sz="0" w:space="0" w:color="auto"/>
            <w:left w:val="none" w:sz="0" w:space="0" w:color="auto"/>
            <w:bottom w:val="none" w:sz="0" w:space="0" w:color="auto"/>
            <w:right w:val="none" w:sz="0" w:space="0" w:color="auto"/>
          </w:divBdr>
        </w:div>
        <w:div w:id="2024704064">
          <w:marLeft w:val="0"/>
          <w:marRight w:val="0"/>
          <w:marTop w:val="0"/>
          <w:marBottom w:val="0"/>
          <w:divBdr>
            <w:top w:val="none" w:sz="0" w:space="0" w:color="auto"/>
            <w:left w:val="none" w:sz="0" w:space="0" w:color="auto"/>
            <w:bottom w:val="none" w:sz="0" w:space="0" w:color="auto"/>
            <w:right w:val="none" w:sz="0" w:space="0" w:color="auto"/>
          </w:divBdr>
        </w:div>
        <w:div w:id="2024704065">
          <w:marLeft w:val="0"/>
          <w:marRight w:val="0"/>
          <w:marTop w:val="0"/>
          <w:marBottom w:val="0"/>
          <w:divBdr>
            <w:top w:val="none" w:sz="0" w:space="0" w:color="auto"/>
            <w:left w:val="none" w:sz="0" w:space="0" w:color="auto"/>
            <w:bottom w:val="none" w:sz="0" w:space="0" w:color="auto"/>
            <w:right w:val="none" w:sz="0" w:space="0" w:color="auto"/>
          </w:divBdr>
        </w:div>
        <w:div w:id="2024704066">
          <w:marLeft w:val="0"/>
          <w:marRight w:val="0"/>
          <w:marTop w:val="0"/>
          <w:marBottom w:val="0"/>
          <w:divBdr>
            <w:top w:val="none" w:sz="0" w:space="0" w:color="auto"/>
            <w:left w:val="none" w:sz="0" w:space="0" w:color="auto"/>
            <w:bottom w:val="none" w:sz="0" w:space="0" w:color="auto"/>
            <w:right w:val="none" w:sz="0" w:space="0" w:color="auto"/>
          </w:divBdr>
        </w:div>
        <w:div w:id="2024704067">
          <w:marLeft w:val="0"/>
          <w:marRight w:val="0"/>
          <w:marTop w:val="0"/>
          <w:marBottom w:val="0"/>
          <w:divBdr>
            <w:top w:val="none" w:sz="0" w:space="0" w:color="auto"/>
            <w:left w:val="none" w:sz="0" w:space="0" w:color="auto"/>
            <w:bottom w:val="none" w:sz="0" w:space="0" w:color="auto"/>
            <w:right w:val="none" w:sz="0" w:space="0" w:color="auto"/>
          </w:divBdr>
        </w:div>
        <w:div w:id="2024704068">
          <w:marLeft w:val="0"/>
          <w:marRight w:val="0"/>
          <w:marTop w:val="0"/>
          <w:marBottom w:val="0"/>
          <w:divBdr>
            <w:top w:val="none" w:sz="0" w:space="0" w:color="auto"/>
            <w:left w:val="none" w:sz="0" w:space="0" w:color="auto"/>
            <w:bottom w:val="none" w:sz="0" w:space="0" w:color="auto"/>
            <w:right w:val="none" w:sz="0" w:space="0" w:color="auto"/>
          </w:divBdr>
        </w:div>
        <w:div w:id="2024704069">
          <w:marLeft w:val="0"/>
          <w:marRight w:val="0"/>
          <w:marTop w:val="0"/>
          <w:marBottom w:val="0"/>
          <w:divBdr>
            <w:top w:val="none" w:sz="0" w:space="0" w:color="auto"/>
            <w:left w:val="none" w:sz="0" w:space="0" w:color="auto"/>
            <w:bottom w:val="none" w:sz="0" w:space="0" w:color="auto"/>
            <w:right w:val="none" w:sz="0" w:space="0" w:color="auto"/>
          </w:divBdr>
        </w:div>
        <w:div w:id="2024704070">
          <w:marLeft w:val="0"/>
          <w:marRight w:val="0"/>
          <w:marTop w:val="0"/>
          <w:marBottom w:val="0"/>
          <w:divBdr>
            <w:top w:val="none" w:sz="0" w:space="0" w:color="auto"/>
            <w:left w:val="none" w:sz="0" w:space="0" w:color="auto"/>
            <w:bottom w:val="none" w:sz="0" w:space="0" w:color="auto"/>
            <w:right w:val="none" w:sz="0" w:space="0" w:color="auto"/>
          </w:divBdr>
        </w:div>
        <w:div w:id="2024704071">
          <w:marLeft w:val="0"/>
          <w:marRight w:val="0"/>
          <w:marTop w:val="0"/>
          <w:marBottom w:val="0"/>
          <w:divBdr>
            <w:top w:val="none" w:sz="0" w:space="0" w:color="auto"/>
            <w:left w:val="none" w:sz="0" w:space="0" w:color="auto"/>
            <w:bottom w:val="none" w:sz="0" w:space="0" w:color="auto"/>
            <w:right w:val="none" w:sz="0" w:space="0" w:color="auto"/>
          </w:divBdr>
        </w:div>
        <w:div w:id="2024704072">
          <w:marLeft w:val="0"/>
          <w:marRight w:val="0"/>
          <w:marTop w:val="0"/>
          <w:marBottom w:val="0"/>
          <w:divBdr>
            <w:top w:val="none" w:sz="0" w:space="0" w:color="auto"/>
            <w:left w:val="none" w:sz="0" w:space="0" w:color="auto"/>
            <w:bottom w:val="none" w:sz="0" w:space="0" w:color="auto"/>
            <w:right w:val="none" w:sz="0" w:space="0" w:color="auto"/>
          </w:divBdr>
        </w:div>
        <w:div w:id="2024704073">
          <w:marLeft w:val="0"/>
          <w:marRight w:val="0"/>
          <w:marTop w:val="0"/>
          <w:marBottom w:val="0"/>
          <w:divBdr>
            <w:top w:val="none" w:sz="0" w:space="0" w:color="auto"/>
            <w:left w:val="none" w:sz="0" w:space="0" w:color="auto"/>
            <w:bottom w:val="none" w:sz="0" w:space="0" w:color="auto"/>
            <w:right w:val="none" w:sz="0" w:space="0" w:color="auto"/>
          </w:divBdr>
        </w:div>
        <w:div w:id="2024704074">
          <w:marLeft w:val="0"/>
          <w:marRight w:val="0"/>
          <w:marTop w:val="0"/>
          <w:marBottom w:val="0"/>
          <w:divBdr>
            <w:top w:val="none" w:sz="0" w:space="0" w:color="auto"/>
            <w:left w:val="none" w:sz="0" w:space="0" w:color="auto"/>
            <w:bottom w:val="none" w:sz="0" w:space="0" w:color="auto"/>
            <w:right w:val="none" w:sz="0" w:space="0" w:color="auto"/>
          </w:divBdr>
        </w:div>
        <w:div w:id="2024704075">
          <w:marLeft w:val="0"/>
          <w:marRight w:val="0"/>
          <w:marTop w:val="0"/>
          <w:marBottom w:val="0"/>
          <w:divBdr>
            <w:top w:val="none" w:sz="0" w:space="0" w:color="auto"/>
            <w:left w:val="none" w:sz="0" w:space="0" w:color="auto"/>
            <w:bottom w:val="none" w:sz="0" w:space="0" w:color="auto"/>
            <w:right w:val="none" w:sz="0" w:space="0" w:color="auto"/>
          </w:divBdr>
        </w:div>
        <w:div w:id="2024704076">
          <w:marLeft w:val="0"/>
          <w:marRight w:val="0"/>
          <w:marTop w:val="0"/>
          <w:marBottom w:val="0"/>
          <w:divBdr>
            <w:top w:val="none" w:sz="0" w:space="0" w:color="auto"/>
            <w:left w:val="none" w:sz="0" w:space="0" w:color="auto"/>
            <w:bottom w:val="none" w:sz="0" w:space="0" w:color="auto"/>
            <w:right w:val="none" w:sz="0" w:space="0" w:color="auto"/>
          </w:divBdr>
        </w:div>
        <w:div w:id="2024704077">
          <w:marLeft w:val="0"/>
          <w:marRight w:val="0"/>
          <w:marTop w:val="0"/>
          <w:marBottom w:val="0"/>
          <w:divBdr>
            <w:top w:val="none" w:sz="0" w:space="0" w:color="auto"/>
            <w:left w:val="none" w:sz="0" w:space="0" w:color="auto"/>
            <w:bottom w:val="none" w:sz="0" w:space="0" w:color="auto"/>
            <w:right w:val="none" w:sz="0" w:space="0" w:color="auto"/>
          </w:divBdr>
        </w:div>
        <w:div w:id="2024704078">
          <w:marLeft w:val="0"/>
          <w:marRight w:val="0"/>
          <w:marTop w:val="0"/>
          <w:marBottom w:val="0"/>
          <w:divBdr>
            <w:top w:val="none" w:sz="0" w:space="0" w:color="auto"/>
            <w:left w:val="none" w:sz="0" w:space="0" w:color="auto"/>
            <w:bottom w:val="none" w:sz="0" w:space="0" w:color="auto"/>
            <w:right w:val="none" w:sz="0" w:space="0" w:color="auto"/>
          </w:divBdr>
        </w:div>
        <w:div w:id="2024704079">
          <w:marLeft w:val="0"/>
          <w:marRight w:val="0"/>
          <w:marTop w:val="0"/>
          <w:marBottom w:val="0"/>
          <w:divBdr>
            <w:top w:val="none" w:sz="0" w:space="0" w:color="auto"/>
            <w:left w:val="none" w:sz="0" w:space="0" w:color="auto"/>
            <w:bottom w:val="none" w:sz="0" w:space="0" w:color="auto"/>
            <w:right w:val="none" w:sz="0" w:space="0" w:color="auto"/>
          </w:divBdr>
        </w:div>
        <w:div w:id="2024704080">
          <w:marLeft w:val="0"/>
          <w:marRight w:val="0"/>
          <w:marTop w:val="0"/>
          <w:marBottom w:val="0"/>
          <w:divBdr>
            <w:top w:val="none" w:sz="0" w:space="0" w:color="auto"/>
            <w:left w:val="none" w:sz="0" w:space="0" w:color="auto"/>
            <w:bottom w:val="none" w:sz="0" w:space="0" w:color="auto"/>
            <w:right w:val="none" w:sz="0" w:space="0" w:color="auto"/>
          </w:divBdr>
        </w:div>
        <w:div w:id="2024704081">
          <w:marLeft w:val="0"/>
          <w:marRight w:val="0"/>
          <w:marTop w:val="0"/>
          <w:marBottom w:val="0"/>
          <w:divBdr>
            <w:top w:val="none" w:sz="0" w:space="0" w:color="auto"/>
            <w:left w:val="none" w:sz="0" w:space="0" w:color="auto"/>
            <w:bottom w:val="none" w:sz="0" w:space="0" w:color="auto"/>
            <w:right w:val="none" w:sz="0" w:space="0" w:color="auto"/>
          </w:divBdr>
        </w:div>
        <w:div w:id="2024704082">
          <w:marLeft w:val="0"/>
          <w:marRight w:val="0"/>
          <w:marTop w:val="0"/>
          <w:marBottom w:val="0"/>
          <w:divBdr>
            <w:top w:val="none" w:sz="0" w:space="0" w:color="auto"/>
            <w:left w:val="none" w:sz="0" w:space="0" w:color="auto"/>
            <w:bottom w:val="none" w:sz="0" w:space="0" w:color="auto"/>
            <w:right w:val="none" w:sz="0" w:space="0" w:color="auto"/>
          </w:divBdr>
        </w:div>
        <w:div w:id="2024704083">
          <w:marLeft w:val="0"/>
          <w:marRight w:val="0"/>
          <w:marTop w:val="0"/>
          <w:marBottom w:val="0"/>
          <w:divBdr>
            <w:top w:val="none" w:sz="0" w:space="0" w:color="auto"/>
            <w:left w:val="none" w:sz="0" w:space="0" w:color="auto"/>
            <w:bottom w:val="none" w:sz="0" w:space="0" w:color="auto"/>
            <w:right w:val="none" w:sz="0" w:space="0" w:color="auto"/>
          </w:divBdr>
        </w:div>
        <w:div w:id="2024704084">
          <w:marLeft w:val="0"/>
          <w:marRight w:val="0"/>
          <w:marTop w:val="0"/>
          <w:marBottom w:val="0"/>
          <w:divBdr>
            <w:top w:val="none" w:sz="0" w:space="0" w:color="auto"/>
            <w:left w:val="none" w:sz="0" w:space="0" w:color="auto"/>
            <w:bottom w:val="none" w:sz="0" w:space="0" w:color="auto"/>
            <w:right w:val="none" w:sz="0" w:space="0" w:color="auto"/>
          </w:divBdr>
        </w:div>
        <w:div w:id="2024704085">
          <w:marLeft w:val="0"/>
          <w:marRight w:val="0"/>
          <w:marTop w:val="0"/>
          <w:marBottom w:val="0"/>
          <w:divBdr>
            <w:top w:val="none" w:sz="0" w:space="0" w:color="auto"/>
            <w:left w:val="none" w:sz="0" w:space="0" w:color="auto"/>
            <w:bottom w:val="none" w:sz="0" w:space="0" w:color="auto"/>
            <w:right w:val="none" w:sz="0" w:space="0" w:color="auto"/>
          </w:divBdr>
        </w:div>
        <w:div w:id="2024704086">
          <w:marLeft w:val="0"/>
          <w:marRight w:val="0"/>
          <w:marTop w:val="0"/>
          <w:marBottom w:val="0"/>
          <w:divBdr>
            <w:top w:val="none" w:sz="0" w:space="0" w:color="auto"/>
            <w:left w:val="none" w:sz="0" w:space="0" w:color="auto"/>
            <w:bottom w:val="none" w:sz="0" w:space="0" w:color="auto"/>
            <w:right w:val="none" w:sz="0" w:space="0" w:color="auto"/>
          </w:divBdr>
        </w:div>
        <w:div w:id="2024704087">
          <w:marLeft w:val="0"/>
          <w:marRight w:val="0"/>
          <w:marTop w:val="0"/>
          <w:marBottom w:val="0"/>
          <w:divBdr>
            <w:top w:val="none" w:sz="0" w:space="0" w:color="auto"/>
            <w:left w:val="none" w:sz="0" w:space="0" w:color="auto"/>
            <w:bottom w:val="none" w:sz="0" w:space="0" w:color="auto"/>
            <w:right w:val="none" w:sz="0" w:space="0" w:color="auto"/>
          </w:divBdr>
        </w:div>
        <w:div w:id="2024704088">
          <w:marLeft w:val="0"/>
          <w:marRight w:val="0"/>
          <w:marTop w:val="0"/>
          <w:marBottom w:val="0"/>
          <w:divBdr>
            <w:top w:val="none" w:sz="0" w:space="0" w:color="auto"/>
            <w:left w:val="none" w:sz="0" w:space="0" w:color="auto"/>
            <w:bottom w:val="none" w:sz="0" w:space="0" w:color="auto"/>
            <w:right w:val="none" w:sz="0" w:space="0" w:color="auto"/>
          </w:divBdr>
        </w:div>
        <w:div w:id="2024704089">
          <w:marLeft w:val="0"/>
          <w:marRight w:val="0"/>
          <w:marTop w:val="0"/>
          <w:marBottom w:val="0"/>
          <w:divBdr>
            <w:top w:val="none" w:sz="0" w:space="0" w:color="auto"/>
            <w:left w:val="none" w:sz="0" w:space="0" w:color="auto"/>
            <w:bottom w:val="none" w:sz="0" w:space="0" w:color="auto"/>
            <w:right w:val="none" w:sz="0" w:space="0" w:color="auto"/>
          </w:divBdr>
        </w:div>
        <w:div w:id="2024704090">
          <w:marLeft w:val="0"/>
          <w:marRight w:val="0"/>
          <w:marTop w:val="0"/>
          <w:marBottom w:val="0"/>
          <w:divBdr>
            <w:top w:val="none" w:sz="0" w:space="0" w:color="auto"/>
            <w:left w:val="none" w:sz="0" w:space="0" w:color="auto"/>
            <w:bottom w:val="none" w:sz="0" w:space="0" w:color="auto"/>
            <w:right w:val="none" w:sz="0" w:space="0" w:color="auto"/>
          </w:divBdr>
        </w:div>
        <w:div w:id="2024704091">
          <w:marLeft w:val="0"/>
          <w:marRight w:val="0"/>
          <w:marTop w:val="0"/>
          <w:marBottom w:val="0"/>
          <w:divBdr>
            <w:top w:val="none" w:sz="0" w:space="0" w:color="auto"/>
            <w:left w:val="none" w:sz="0" w:space="0" w:color="auto"/>
            <w:bottom w:val="none" w:sz="0" w:space="0" w:color="auto"/>
            <w:right w:val="none" w:sz="0" w:space="0" w:color="auto"/>
          </w:divBdr>
        </w:div>
        <w:div w:id="2024704092">
          <w:marLeft w:val="0"/>
          <w:marRight w:val="0"/>
          <w:marTop w:val="0"/>
          <w:marBottom w:val="0"/>
          <w:divBdr>
            <w:top w:val="none" w:sz="0" w:space="0" w:color="auto"/>
            <w:left w:val="none" w:sz="0" w:space="0" w:color="auto"/>
            <w:bottom w:val="none" w:sz="0" w:space="0" w:color="auto"/>
            <w:right w:val="none" w:sz="0" w:space="0" w:color="auto"/>
          </w:divBdr>
        </w:div>
        <w:div w:id="2024704093">
          <w:marLeft w:val="0"/>
          <w:marRight w:val="0"/>
          <w:marTop w:val="0"/>
          <w:marBottom w:val="0"/>
          <w:divBdr>
            <w:top w:val="none" w:sz="0" w:space="0" w:color="auto"/>
            <w:left w:val="none" w:sz="0" w:space="0" w:color="auto"/>
            <w:bottom w:val="none" w:sz="0" w:space="0" w:color="auto"/>
            <w:right w:val="none" w:sz="0" w:space="0" w:color="auto"/>
          </w:divBdr>
        </w:div>
        <w:div w:id="2024704094">
          <w:marLeft w:val="0"/>
          <w:marRight w:val="0"/>
          <w:marTop w:val="0"/>
          <w:marBottom w:val="0"/>
          <w:divBdr>
            <w:top w:val="none" w:sz="0" w:space="0" w:color="auto"/>
            <w:left w:val="none" w:sz="0" w:space="0" w:color="auto"/>
            <w:bottom w:val="none" w:sz="0" w:space="0" w:color="auto"/>
            <w:right w:val="none" w:sz="0" w:space="0" w:color="auto"/>
          </w:divBdr>
        </w:div>
        <w:div w:id="2024704095">
          <w:marLeft w:val="0"/>
          <w:marRight w:val="0"/>
          <w:marTop w:val="0"/>
          <w:marBottom w:val="0"/>
          <w:divBdr>
            <w:top w:val="none" w:sz="0" w:space="0" w:color="auto"/>
            <w:left w:val="none" w:sz="0" w:space="0" w:color="auto"/>
            <w:bottom w:val="none" w:sz="0" w:space="0" w:color="auto"/>
            <w:right w:val="none" w:sz="0" w:space="0" w:color="auto"/>
          </w:divBdr>
        </w:div>
        <w:div w:id="2024704096">
          <w:marLeft w:val="0"/>
          <w:marRight w:val="0"/>
          <w:marTop w:val="0"/>
          <w:marBottom w:val="0"/>
          <w:divBdr>
            <w:top w:val="none" w:sz="0" w:space="0" w:color="auto"/>
            <w:left w:val="none" w:sz="0" w:space="0" w:color="auto"/>
            <w:bottom w:val="none" w:sz="0" w:space="0" w:color="auto"/>
            <w:right w:val="none" w:sz="0" w:space="0" w:color="auto"/>
          </w:divBdr>
        </w:div>
        <w:div w:id="2024704097">
          <w:marLeft w:val="0"/>
          <w:marRight w:val="0"/>
          <w:marTop w:val="0"/>
          <w:marBottom w:val="0"/>
          <w:divBdr>
            <w:top w:val="none" w:sz="0" w:space="0" w:color="auto"/>
            <w:left w:val="none" w:sz="0" w:space="0" w:color="auto"/>
            <w:bottom w:val="none" w:sz="0" w:space="0" w:color="auto"/>
            <w:right w:val="none" w:sz="0" w:space="0" w:color="auto"/>
          </w:divBdr>
        </w:div>
        <w:div w:id="2024704098">
          <w:marLeft w:val="0"/>
          <w:marRight w:val="0"/>
          <w:marTop w:val="0"/>
          <w:marBottom w:val="0"/>
          <w:divBdr>
            <w:top w:val="none" w:sz="0" w:space="0" w:color="auto"/>
            <w:left w:val="none" w:sz="0" w:space="0" w:color="auto"/>
            <w:bottom w:val="none" w:sz="0" w:space="0" w:color="auto"/>
            <w:right w:val="none" w:sz="0" w:space="0" w:color="auto"/>
          </w:divBdr>
        </w:div>
        <w:div w:id="2024704099">
          <w:marLeft w:val="0"/>
          <w:marRight w:val="0"/>
          <w:marTop w:val="0"/>
          <w:marBottom w:val="0"/>
          <w:divBdr>
            <w:top w:val="none" w:sz="0" w:space="0" w:color="auto"/>
            <w:left w:val="none" w:sz="0" w:space="0" w:color="auto"/>
            <w:bottom w:val="none" w:sz="0" w:space="0" w:color="auto"/>
            <w:right w:val="none" w:sz="0" w:space="0" w:color="auto"/>
          </w:divBdr>
        </w:div>
        <w:div w:id="2024704101">
          <w:marLeft w:val="0"/>
          <w:marRight w:val="0"/>
          <w:marTop w:val="0"/>
          <w:marBottom w:val="0"/>
          <w:divBdr>
            <w:top w:val="none" w:sz="0" w:space="0" w:color="auto"/>
            <w:left w:val="none" w:sz="0" w:space="0" w:color="auto"/>
            <w:bottom w:val="none" w:sz="0" w:space="0" w:color="auto"/>
            <w:right w:val="none" w:sz="0" w:space="0" w:color="auto"/>
          </w:divBdr>
        </w:div>
        <w:div w:id="2024704102">
          <w:marLeft w:val="0"/>
          <w:marRight w:val="0"/>
          <w:marTop w:val="0"/>
          <w:marBottom w:val="0"/>
          <w:divBdr>
            <w:top w:val="none" w:sz="0" w:space="0" w:color="auto"/>
            <w:left w:val="none" w:sz="0" w:space="0" w:color="auto"/>
            <w:bottom w:val="none" w:sz="0" w:space="0" w:color="auto"/>
            <w:right w:val="none" w:sz="0" w:space="0" w:color="auto"/>
          </w:divBdr>
        </w:div>
        <w:div w:id="2024704103">
          <w:marLeft w:val="0"/>
          <w:marRight w:val="0"/>
          <w:marTop w:val="0"/>
          <w:marBottom w:val="0"/>
          <w:divBdr>
            <w:top w:val="none" w:sz="0" w:space="0" w:color="auto"/>
            <w:left w:val="none" w:sz="0" w:space="0" w:color="auto"/>
            <w:bottom w:val="none" w:sz="0" w:space="0" w:color="auto"/>
            <w:right w:val="none" w:sz="0" w:space="0" w:color="auto"/>
          </w:divBdr>
        </w:div>
        <w:div w:id="2024704104">
          <w:marLeft w:val="0"/>
          <w:marRight w:val="0"/>
          <w:marTop w:val="0"/>
          <w:marBottom w:val="0"/>
          <w:divBdr>
            <w:top w:val="none" w:sz="0" w:space="0" w:color="auto"/>
            <w:left w:val="none" w:sz="0" w:space="0" w:color="auto"/>
            <w:bottom w:val="none" w:sz="0" w:space="0" w:color="auto"/>
            <w:right w:val="none" w:sz="0" w:space="0" w:color="auto"/>
          </w:divBdr>
        </w:div>
        <w:div w:id="2024704105">
          <w:marLeft w:val="0"/>
          <w:marRight w:val="0"/>
          <w:marTop w:val="0"/>
          <w:marBottom w:val="0"/>
          <w:divBdr>
            <w:top w:val="none" w:sz="0" w:space="0" w:color="auto"/>
            <w:left w:val="none" w:sz="0" w:space="0" w:color="auto"/>
            <w:bottom w:val="none" w:sz="0" w:space="0" w:color="auto"/>
            <w:right w:val="none" w:sz="0" w:space="0" w:color="auto"/>
          </w:divBdr>
        </w:div>
        <w:div w:id="2024704106">
          <w:marLeft w:val="0"/>
          <w:marRight w:val="0"/>
          <w:marTop w:val="0"/>
          <w:marBottom w:val="0"/>
          <w:divBdr>
            <w:top w:val="none" w:sz="0" w:space="0" w:color="auto"/>
            <w:left w:val="none" w:sz="0" w:space="0" w:color="auto"/>
            <w:bottom w:val="none" w:sz="0" w:space="0" w:color="auto"/>
            <w:right w:val="none" w:sz="0" w:space="0" w:color="auto"/>
          </w:divBdr>
        </w:div>
        <w:div w:id="2024704107">
          <w:marLeft w:val="0"/>
          <w:marRight w:val="0"/>
          <w:marTop w:val="0"/>
          <w:marBottom w:val="0"/>
          <w:divBdr>
            <w:top w:val="none" w:sz="0" w:space="0" w:color="auto"/>
            <w:left w:val="none" w:sz="0" w:space="0" w:color="auto"/>
            <w:bottom w:val="none" w:sz="0" w:space="0" w:color="auto"/>
            <w:right w:val="none" w:sz="0" w:space="0" w:color="auto"/>
          </w:divBdr>
        </w:div>
        <w:div w:id="2024704108">
          <w:marLeft w:val="0"/>
          <w:marRight w:val="0"/>
          <w:marTop w:val="0"/>
          <w:marBottom w:val="0"/>
          <w:divBdr>
            <w:top w:val="none" w:sz="0" w:space="0" w:color="auto"/>
            <w:left w:val="none" w:sz="0" w:space="0" w:color="auto"/>
            <w:bottom w:val="none" w:sz="0" w:space="0" w:color="auto"/>
            <w:right w:val="none" w:sz="0" w:space="0" w:color="auto"/>
          </w:divBdr>
        </w:div>
        <w:div w:id="2024704109">
          <w:marLeft w:val="0"/>
          <w:marRight w:val="0"/>
          <w:marTop w:val="0"/>
          <w:marBottom w:val="0"/>
          <w:divBdr>
            <w:top w:val="none" w:sz="0" w:space="0" w:color="auto"/>
            <w:left w:val="none" w:sz="0" w:space="0" w:color="auto"/>
            <w:bottom w:val="none" w:sz="0" w:space="0" w:color="auto"/>
            <w:right w:val="none" w:sz="0" w:space="0" w:color="auto"/>
          </w:divBdr>
        </w:div>
        <w:div w:id="2024704110">
          <w:marLeft w:val="0"/>
          <w:marRight w:val="0"/>
          <w:marTop w:val="0"/>
          <w:marBottom w:val="0"/>
          <w:divBdr>
            <w:top w:val="none" w:sz="0" w:space="0" w:color="auto"/>
            <w:left w:val="none" w:sz="0" w:space="0" w:color="auto"/>
            <w:bottom w:val="none" w:sz="0" w:space="0" w:color="auto"/>
            <w:right w:val="none" w:sz="0" w:space="0" w:color="auto"/>
          </w:divBdr>
        </w:div>
        <w:div w:id="2024704111">
          <w:marLeft w:val="0"/>
          <w:marRight w:val="0"/>
          <w:marTop w:val="0"/>
          <w:marBottom w:val="0"/>
          <w:divBdr>
            <w:top w:val="none" w:sz="0" w:space="0" w:color="auto"/>
            <w:left w:val="none" w:sz="0" w:space="0" w:color="auto"/>
            <w:bottom w:val="none" w:sz="0" w:space="0" w:color="auto"/>
            <w:right w:val="none" w:sz="0" w:space="0" w:color="auto"/>
          </w:divBdr>
        </w:div>
        <w:div w:id="2024704112">
          <w:marLeft w:val="0"/>
          <w:marRight w:val="0"/>
          <w:marTop w:val="0"/>
          <w:marBottom w:val="0"/>
          <w:divBdr>
            <w:top w:val="none" w:sz="0" w:space="0" w:color="auto"/>
            <w:left w:val="none" w:sz="0" w:space="0" w:color="auto"/>
            <w:bottom w:val="none" w:sz="0" w:space="0" w:color="auto"/>
            <w:right w:val="none" w:sz="0" w:space="0" w:color="auto"/>
          </w:divBdr>
        </w:div>
        <w:div w:id="2024704113">
          <w:marLeft w:val="0"/>
          <w:marRight w:val="0"/>
          <w:marTop w:val="0"/>
          <w:marBottom w:val="0"/>
          <w:divBdr>
            <w:top w:val="none" w:sz="0" w:space="0" w:color="auto"/>
            <w:left w:val="none" w:sz="0" w:space="0" w:color="auto"/>
            <w:bottom w:val="none" w:sz="0" w:space="0" w:color="auto"/>
            <w:right w:val="none" w:sz="0" w:space="0" w:color="auto"/>
          </w:divBdr>
        </w:div>
        <w:div w:id="2024704114">
          <w:marLeft w:val="0"/>
          <w:marRight w:val="0"/>
          <w:marTop w:val="0"/>
          <w:marBottom w:val="0"/>
          <w:divBdr>
            <w:top w:val="none" w:sz="0" w:space="0" w:color="auto"/>
            <w:left w:val="none" w:sz="0" w:space="0" w:color="auto"/>
            <w:bottom w:val="none" w:sz="0" w:space="0" w:color="auto"/>
            <w:right w:val="none" w:sz="0" w:space="0" w:color="auto"/>
          </w:divBdr>
        </w:div>
        <w:div w:id="2024704115">
          <w:marLeft w:val="0"/>
          <w:marRight w:val="0"/>
          <w:marTop w:val="0"/>
          <w:marBottom w:val="0"/>
          <w:divBdr>
            <w:top w:val="none" w:sz="0" w:space="0" w:color="auto"/>
            <w:left w:val="none" w:sz="0" w:space="0" w:color="auto"/>
            <w:bottom w:val="none" w:sz="0" w:space="0" w:color="auto"/>
            <w:right w:val="none" w:sz="0" w:space="0" w:color="auto"/>
          </w:divBdr>
        </w:div>
        <w:div w:id="2024704116">
          <w:marLeft w:val="0"/>
          <w:marRight w:val="0"/>
          <w:marTop w:val="0"/>
          <w:marBottom w:val="0"/>
          <w:divBdr>
            <w:top w:val="none" w:sz="0" w:space="0" w:color="auto"/>
            <w:left w:val="none" w:sz="0" w:space="0" w:color="auto"/>
            <w:bottom w:val="none" w:sz="0" w:space="0" w:color="auto"/>
            <w:right w:val="none" w:sz="0" w:space="0" w:color="auto"/>
          </w:divBdr>
        </w:div>
        <w:div w:id="2024704117">
          <w:marLeft w:val="0"/>
          <w:marRight w:val="0"/>
          <w:marTop w:val="0"/>
          <w:marBottom w:val="0"/>
          <w:divBdr>
            <w:top w:val="none" w:sz="0" w:space="0" w:color="auto"/>
            <w:left w:val="none" w:sz="0" w:space="0" w:color="auto"/>
            <w:bottom w:val="none" w:sz="0" w:space="0" w:color="auto"/>
            <w:right w:val="none" w:sz="0" w:space="0" w:color="auto"/>
          </w:divBdr>
        </w:div>
        <w:div w:id="2024704118">
          <w:marLeft w:val="0"/>
          <w:marRight w:val="0"/>
          <w:marTop w:val="0"/>
          <w:marBottom w:val="0"/>
          <w:divBdr>
            <w:top w:val="none" w:sz="0" w:space="0" w:color="auto"/>
            <w:left w:val="none" w:sz="0" w:space="0" w:color="auto"/>
            <w:bottom w:val="none" w:sz="0" w:space="0" w:color="auto"/>
            <w:right w:val="none" w:sz="0" w:space="0" w:color="auto"/>
          </w:divBdr>
        </w:div>
        <w:div w:id="2024704119">
          <w:marLeft w:val="0"/>
          <w:marRight w:val="0"/>
          <w:marTop w:val="0"/>
          <w:marBottom w:val="0"/>
          <w:divBdr>
            <w:top w:val="none" w:sz="0" w:space="0" w:color="auto"/>
            <w:left w:val="none" w:sz="0" w:space="0" w:color="auto"/>
            <w:bottom w:val="none" w:sz="0" w:space="0" w:color="auto"/>
            <w:right w:val="none" w:sz="0" w:space="0" w:color="auto"/>
          </w:divBdr>
        </w:div>
        <w:div w:id="2024704120">
          <w:marLeft w:val="0"/>
          <w:marRight w:val="0"/>
          <w:marTop w:val="0"/>
          <w:marBottom w:val="0"/>
          <w:divBdr>
            <w:top w:val="none" w:sz="0" w:space="0" w:color="auto"/>
            <w:left w:val="none" w:sz="0" w:space="0" w:color="auto"/>
            <w:bottom w:val="none" w:sz="0" w:space="0" w:color="auto"/>
            <w:right w:val="none" w:sz="0" w:space="0" w:color="auto"/>
          </w:divBdr>
        </w:div>
        <w:div w:id="2024704121">
          <w:marLeft w:val="0"/>
          <w:marRight w:val="0"/>
          <w:marTop w:val="0"/>
          <w:marBottom w:val="0"/>
          <w:divBdr>
            <w:top w:val="none" w:sz="0" w:space="0" w:color="auto"/>
            <w:left w:val="none" w:sz="0" w:space="0" w:color="auto"/>
            <w:bottom w:val="none" w:sz="0" w:space="0" w:color="auto"/>
            <w:right w:val="none" w:sz="0" w:space="0" w:color="auto"/>
          </w:divBdr>
        </w:div>
        <w:div w:id="2024704122">
          <w:marLeft w:val="0"/>
          <w:marRight w:val="0"/>
          <w:marTop w:val="0"/>
          <w:marBottom w:val="0"/>
          <w:divBdr>
            <w:top w:val="none" w:sz="0" w:space="0" w:color="auto"/>
            <w:left w:val="none" w:sz="0" w:space="0" w:color="auto"/>
            <w:bottom w:val="none" w:sz="0" w:space="0" w:color="auto"/>
            <w:right w:val="none" w:sz="0" w:space="0" w:color="auto"/>
          </w:divBdr>
        </w:div>
        <w:div w:id="2024704123">
          <w:marLeft w:val="0"/>
          <w:marRight w:val="0"/>
          <w:marTop w:val="0"/>
          <w:marBottom w:val="0"/>
          <w:divBdr>
            <w:top w:val="none" w:sz="0" w:space="0" w:color="auto"/>
            <w:left w:val="none" w:sz="0" w:space="0" w:color="auto"/>
            <w:bottom w:val="none" w:sz="0" w:space="0" w:color="auto"/>
            <w:right w:val="none" w:sz="0" w:space="0" w:color="auto"/>
          </w:divBdr>
        </w:div>
        <w:div w:id="2024704124">
          <w:marLeft w:val="0"/>
          <w:marRight w:val="0"/>
          <w:marTop w:val="0"/>
          <w:marBottom w:val="0"/>
          <w:divBdr>
            <w:top w:val="none" w:sz="0" w:space="0" w:color="auto"/>
            <w:left w:val="none" w:sz="0" w:space="0" w:color="auto"/>
            <w:bottom w:val="none" w:sz="0" w:space="0" w:color="auto"/>
            <w:right w:val="none" w:sz="0" w:space="0" w:color="auto"/>
          </w:divBdr>
        </w:div>
        <w:div w:id="2024704125">
          <w:marLeft w:val="0"/>
          <w:marRight w:val="0"/>
          <w:marTop w:val="0"/>
          <w:marBottom w:val="0"/>
          <w:divBdr>
            <w:top w:val="none" w:sz="0" w:space="0" w:color="auto"/>
            <w:left w:val="none" w:sz="0" w:space="0" w:color="auto"/>
            <w:bottom w:val="none" w:sz="0" w:space="0" w:color="auto"/>
            <w:right w:val="none" w:sz="0" w:space="0" w:color="auto"/>
          </w:divBdr>
        </w:div>
        <w:div w:id="2024704126">
          <w:marLeft w:val="0"/>
          <w:marRight w:val="0"/>
          <w:marTop w:val="0"/>
          <w:marBottom w:val="0"/>
          <w:divBdr>
            <w:top w:val="none" w:sz="0" w:space="0" w:color="auto"/>
            <w:left w:val="none" w:sz="0" w:space="0" w:color="auto"/>
            <w:bottom w:val="none" w:sz="0" w:space="0" w:color="auto"/>
            <w:right w:val="none" w:sz="0" w:space="0" w:color="auto"/>
          </w:divBdr>
        </w:div>
        <w:div w:id="2024704127">
          <w:marLeft w:val="0"/>
          <w:marRight w:val="0"/>
          <w:marTop w:val="0"/>
          <w:marBottom w:val="0"/>
          <w:divBdr>
            <w:top w:val="none" w:sz="0" w:space="0" w:color="auto"/>
            <w:left w:val="none" w:sz="0" w:space="0" w:color="auto"/>
            <w:bottom w:val="none" w:sz="0" w:space="0" w:color="auto"/>
            <w:right w:val="none" w:sz="0" w:space="0" w:color="auto"/>
          </w:divBdr>
        </w:div>
        <w:div w:id="2024704128">
          <w:marLeft w:val="0"/>
          <w:marRight w:val="0"/>
          <w:marTop w:val="0"/>
          <w:marBottom w:val="0"/>
          <w:divBdr>
            <w:top w:val="none" w:sz="0" w:space="0" w:color="auto"/>
            <w:left w:val="none" w:sz="0" w:space="0" w:color="auto"/>
            <w:bottom w:val="none" w:sz="0" w:space="0" w:color="auto"/>
            <w:right w:val="none" w:sz="0" w:space="0" w:color="auto"/>
          </w:divBdr>
        </w:div>
        <w:div w:id="2024704129">
          <w:marLeft w:val="0"/>
          <w:marRight w:val="0"/>
          <w:marTop w:val="0"/>
          <w:marBottom w:val="0"/>
          <w:divBdr>
            <w:top w:val="none" w:sz="0" w:space="0" w:color="auto"/>
            <w:left w:val="none" w:sz="0" w:space="0" w:color="auto"/>
            <w:bottom w:val="none" w:sz="0" w:space="0" w:color="auto"/>
            <w:right w:val="none" w:sz="0" w:space="0" w:color="auto"/>
          </w:divBdr>
        </w:div>
        <w:div w:id="2024704130">
          <w:marLeft w:val="0"/>
          <w:marRight w:val="0"/>
          <w:marTop w:val="0"/>
          <w:marBottom w:val="0"/>
          <w:divBdr>
            <w:top w:val="none" w:sz="0" w:space="0" w:color="auto"/>
            <w:left w:val="none" w:sz="0" w:space="0" w:color="auto"/>
            <w:bottom w:val="none" w:sz="0" w:space="0" w:color="auto"/>
            <w:right w:val="none" w:sz="0" w:space="0" w:color="auto"/>
          </w:divBdr>
        </w:div>
        <w:div w:id="2024704131">
          <w:marLeft w:val="0"/>
          <w:marRight w:val="0"/>
          <w:marTop w:val="0"/>
          <w:marBottom w:val="0"/>
          <w:divBdr>
            <w:top w:val="none" w:sz="0" w:space="0" w:color="auto"/>
            <w:left w:val="none" w:sz="0" w:space="0" w:color="auto"/>
            <w:bottom w:val="none" w:sz="0" w:space="0" w:color="auto"/>
            <w:right w:val="none" w:sz="0" w:space="0" w:color="auto"/>
          </w:divBdr>
        </w:div>
        <w:div w:id="2024704132">
          <w:marLeft w:val="0"/>
          <w:marRight w:val="0"/>
          <w:marTop w:val="0"/>
          <w:marBottom w:val="0"/>
          <w:divBdr>
            <w:top w:val="none" w:sz="0" w:space="0" w:color="auto"/>
            <w:left w:val="none" w:sz="0" w:space="0" w:color="auto"/>
            <w:bottom w:val="none" w:sz="0" w:space="0" w:color="auto"/>
            <w:right w:val="none" w:sz="0" w:space="0" w:color="auto"/>
          </w:divBdr>
        </w:div>
        <w:div w:id="2024704133">
          <w:marLeft w:val="0"/>
          <w:marRight w:val="0"/>
          <w:marTop w:val="0"/>
          <w:marBottom w:val="0"/>
          <w:divBdr>
            <w:top w:val="none" w:sz="0" w:space="0" w:color="auto"/>
            <w:left w:val="none" w:sz="0" w:space="0" w:color="auto"/>
            <w:bottom w:val="none" w:sz="0" w:space="0" w:color="auto"/>
            <w:right w:val="none" w:sz="0" w:space="0" w:color="auto"/>
          </w:divBdr>
        </w:div>
        <w:div w:id="2024704134">
          <w:marLeft w:val="0"/>
          <w:marRight w:val="0"/>
          <w:marTop w:val="0"/>
          <w:marBottom w:val="0"/>
          <w:divBdr>
            <w:top w:val="none" w:sz="0" w:space="0" w:color="auto"/>
            <w:left w:val="none" w:sz="0" w:space="0" w:color="auto"/>
            <w:bottom w:val="none" w:sz="0" w:space="0" w:color="auto"/>
            <w:right w:val="none" w:sz="0" w:space="0" w:color="auto"/>
          </w:divBdr>
        </w:div>
        <w:div w:id="2024704135">
          <w:marLeft w:val="0"/>
          <w:marRight w:val="0"/>
          <w:marTop w:val="0"/>
          <w:marBottom w:val="0"/>
          <w:divBdr>
            <w:top w:val="none" w:sz="0" w:space="0" w:color="auto"/>
            <w:left w:val="none" w:sz="0" w:space="0" w:color="auto"/>
            <w:bottom w:val="none" w:sz="0" w:space="0" w:color="auto"/>
            <w:right w:val="none" w:sz="0" w:space="0" w:color="auto"/>
          </w:divBdr>
        </w:div>
        <w:div w:id="2024704136">
          <w:marLeft w:val="0"/>
          <w:marRight w:val="0"/>
          <w:marTop w:val="0"/>
          <w:marBottom w:val="0"/>
          <w:divBdr>
            <w:top w:val="none" w:sz="0" w:space="0" w:color="auto"/>
            <w:left w:val="none" w:sz="0" w:space="0" w:color="auto"/>
            <w:bottom w:val="none" w:sz="0" w:space="0" w:color="auto"/>
            <w:right w:val="none" w:sz="0" w:space="0" w:color="auto"/>
          </w:divBdr>
        </w:div>
        <w:div w:id="2024704137">
          <w:marLeft w:val="0"/>
          <w:marRight w:val="0"/>
          <w:marTop w:val="0"/>
          <w:marBottom w:val="0"/>
          <w:divBdr>
            <w:top w:val="none" w:sz="0" w:space="0" w:color="auto"/>
            <w:left w:val="none" w:sz="0" w:space="0" w:color="auto"/>
            <w:bottom w:val="none" w:sz="0" w:space="0" w:color="auto"/>
            <w:right w:val="none" w:sz="0" w:space="0" w:color="auto"/>
          </w:divBdr>
        </w:div>
        <w:div w:id="2024704138">
          <w:marLeft w:val="0"/>
          <w:marRight w:val="0"/>
          <w:marTop w:val="0"/>
          <w:marBottom w:val="0"/>
          <w:divBdr>
            <w:top w:val="none" w:sz="0" w:space="0" w:color="auto"/>
            <w:left w:val="none" w:sz="0" w:space="0" w:color="auto"/>
            <w:bottom w:val="none" w:sz="0" w:space="0" w:color="auto"/>
            <w:right w:val="none" w:sz="0" w:space="0" w:color="auto"/>
          </w:divBdr>
        </w:div>
        <w:div w:id="2024704139">
          <w:marLeft w:val="0"/>
          <w:marRight w:val="0"/>
          <w:marTop w:val="0"/>
          <w:marBottom w:val="0"/>
          <w:divBdr>
            <w:top w:val="none" w:sz="0" w:space="0" w:color="auto"/>
            <w:left w:val="none" w:sz="0" w:space="0" w:color="auto"/>
            <w:bottom w:val="none" w:sz="0" w:space="0" w:color="auto"/>
            <w:right w:val="none" w:sz="0" w:space="0" w:color="auto"/>
          </w:divBdr>
        </w:div>
        <w:div w:id="2024704140">
          <w:marLeft w:val="0"/>
          <w:marRight w:val="0"/>
          <w:marTop w:val="0"/>
          <w:marBottom w:val="0"/>
          <w:divBdr>
            <w:top w:val="none" w:sz="0" w:space="0" w:color="auto"/>
            <w:left w:val="none" w:sz="0" w:space="0" w:color="auto"/>
            <w:bottom w:val="none" w:sz="0" w:space="0" w:color="auto"/>
            <w:right w:val="none" w:sz="0" w:space="0" w:color="auto"/>
          </w:divBdr>
        </w:div>
        <w:div w:id="2024704141">
          <w:marLeft w:val="0"/>
          <w:marRight w:val="0"/>
          <w:marTop w:val="0"/>
          <w:marBottom w:val="0"/>
          <w:divBdr>
            <w:top w:val="none" w:sz="0" w:space="0" w:color="auto"/>
            <w:left w:val="none" w:sz="0" w:space="0" w:color="auto"/>
            <w:bottom w:val="none" w:sz="0" w:space="0" w:color="auto"/>
            <w:right w:val="none" w:sz="0" w:space="0" w:color="auto"/>
          </w:divBdr>
        </w:div>
        <w:div w:id="2024704142">
          <w:marLeft w:val="0"/>
          <w:marRight w:val="0"/>
          <w:marTop w:val="0"/>
          <w:marBottom w:val="0"/>
          <w:divBdr>
            <w:top w:val="none" w:sz="0" w:space="0" w:color="auto"/>
            <w:left w:val="none" w:sz="0" w:space="0" w:color="auto"/>
            <w:bottom w:val="none" w:sz="0" w:space="0" w:color="auto"/>
            <w:right w:val="none" w:sz="0" w:space="0" w:color="auto"/>
          </w:divBdr>
        </w:div>
        <w:div w:id="2024704143">
          <w:marLeft w:val="0"/>
          <w:marRight w:val="0"/>
          <w:marTop w:val="0"/>
          <w:marBottom w:val="0"/>
          <w:divBdr>
            <w:top w:val="none" w:sz="0" w:space="0" w:color="auto"/>
            <w:left w:val="none" w:sz="0" w:space="0" w:color="auto"/>
            <w:bottom w:val="none" w:sz="0" w:space="0" w:color="auto"/>
            <w:right w:val="none" w:sz="0" w:space="0" w:color="auto"/>
          </w:divBdr>
        </w:div>
        <w:div w:id="2024704144">
          <w:marLeft w:val="0"/>
          <w:marRight w:val="0"/>
          <w:marTop w:val="0"/>
          <w:marBottom w:val="0"/>
          <w:divBdr>
            <w:top w:val="none" w:sz="0" w:space="0" w:color="auto"/>
            <w:left w:val="none" w:sz="0" w:space="0" w:color="auto"/>
            <w:bottom w:val="none" w:sz="0" w:space="0" w:color="auto"/>
            <w:right w:val="none" w:sz="0" w:space="0" w:color="auto"/>
          </w:divBdr>
        </w:div>
        <w:div w:id="2024704145">
          <w:marLeft w:val="0"/>
          <w:marRight w:val="0"/>
          <w:marTop w:val="0"/>
          <w:marBottom w:val="0"/>
          <w:divBdr>
            <w:top w:val="none" w:sz="0" w:space="0" w:color="auto"/>
            <w:left w:val="none" w:sz="0" w:space="0" w:color="auto"/>
            <w:bottom w:val="none" w:sz="0" w:space="0" w:color="auto"/>
            <w:right w:val="none" w:sz="0" w:space="0" w:color="auto"/>
          </w:divBdr>
        </w:div>
        <w:div w:id="2024704146">
          <w:marLeft w:val="0"/>
          <w:marRight w:val="0"/>
          <w:marTop w:val="0"/>
          <w:marBottom w:val="0"/>
          <w:divBdr>
            <w:top w:val="none" w:sz="0" w:space="0" w:color="auto"/>
            <w:left w:val="none" w:sz="0" w:space="0" w:color="auto"/>
            <w:bottom w:val="none" w:sz="0" w:space="0" w:color="auto"/>
            <w:right w:val="none" w:sz="0" w:space="0" w:color="auto"/>
          </w:divBdr>
        </w:div>
        <w:div w:id="2024704147">
          <w:marLeft w:val="0"/>
          <w:marRight w:val="0"/>
          <w:marTop w:val="0"/>
          <w:marBottom w:val="0"/>
          <w:divBdr>
            <w:top w:val="none" w:sz="0" w:space="0" w:color="auto"/>
            <w:left w:val="none" w:sz="0" w:space="0" w:color="auto"/>
            <w:bottom w:val="none" w:sz="0" w:space="0" w:color="auto"/>
            <w:right w:val="none" w:sz="0" w:space="0" w:color="auto"/>
          </w:divBdr>
        </w:div>
        <w:div w:id="2024704148">
          <w:marLeft w:val="0"/>
          <w:marRight w:val="0"/>
          <w:marTop w:val="0"/>
          <w:marBottom w:val="0"/>
          <w:divBdr>
            <w:top w:val="none" w:sz="0" w:space="0" w:color="auto"/>
            <w:left w:val="none" w:sz="0" w:space="0" w:color="auto"/>
            <w:bottom w:val="none" w:sz="0" w:space="0" w:color="auto"/>
            <w:right w:val="none" w:sz="0" w:space="0" w:color="auto"/>
          </w:divBdr>
        </w:div>
        <w:div w:id="2024704149">
          <w:marLeft w:val="0"/>
          <w:marRight w:val="0"/>
          <w:marTop w:val="0"/>
          <w:marBottom w:val="0"/>
          <w:divBdr>
            <w:top w:val="none" w:sz="0" w:space="0" w:color="auto"/>
            <w:left w:val="none" w:sz="0" w:space="0" w:color="auto"/>
            <w:bottom w:val="none" w:sz="0" w:space="0" w:color="auto"/>
            <w:right w:val="none" w:sz="0" w:space="0" w:color="auto"/>
          </w:divBdr>
        </w:div>
        <w:div w:id="2024704150">
          <w:marLeft w:val="0"/>
          <w:marRight w:val="0"/>
          <w:marTop w:val="0"/>
          <w:marBottom w:val="0"/>
          <w:divBdr>
            <w:top w:val="none" w:sz="0" w:space="0" w:color="auto"/>
            <w:left w:val="none" w:sz="0" w:space="0" w:color="auto"/>
            <w:bottom w:val="none" w:sz="0" w:space="0" w:color="auto"/>
            <w:right w:val="none" w:sz="0" w:space="0" w:color="auto"/>
          </w:divBdr>
        </w:div>
        <w:div w:id="2024704151">
          <w:marLeft w:val="0"/>
          <w:marRight w:val="0"/>
          <w:marTop w:val="0"/>
          <w:marBottom w:val="0"/>
          <w:divBdr>
            <w:top w:val="none" w:sz="0" w:space="0" w:color="auto"/>
            <w:left w:val="none" w:sz="0" w:space="0" w:color="auto"/>
            <w:bottom w:val="none" w:sz="0" w:space="0" w:color="auto"/>
            <w:right w:val="none" w:sz="0" w:space="0" w:color="auto"/>
          </w:divBdr>
        </w:div>
        <w:div w:id="2024704152">
          <w:marLeft w:val="0"/>
          <w:marRight w:val="0"/>
          <w:marTop w:val="0"/>
          <w:marBottom w:val="0"/>
          <w:divBdr>
            <w:top w:val="none" w:sz="0" w:space="0" w:color="auto"/>
            <w:left w:val="none" w:sz="0" w:space="0" w:color="auto"/>
            <w:bottom w:val="none" w:sz="0" w:space="0" w:color="auto"/>
            <w:right w:val="none" w:sz="0" w:space="0" w:color="auto"/>
          </w:divBdr>
        </w:div>
        <w:div w:id="2024704153">
          <w:marLeft w:val="0"/>
          <w:marRight w:val="0"/>
          <w:marTop w:val="0"/>
          <w:marBottom w:val="0"/>
          <w:divBdr>
            <w:top w:val="none" w:sz="0" w:space="0" w:color="auto"/>
            <w:left w:val="none" w:sz="0" w:space="0" w:color="auto"/>
            <w:bottom w:val="none" w:sz="0" w:space="0" w:color="auto"/>
            <w:right w:val="none" w:sz="0" w:space="0" w:color="auto"/>
          </w:divBdr>
        </w:div>
        <w:div w:id="2024704154">
          <w:marLeft w:val="0"/>
          <w:marRight w:val="0"/>
          <w:marTop w:val="0"/>
          <w:marBottom w:val="0"/>
          <w:divBdr>
            <w:top w:val="none" w:sz="0" w:space="0" w:color="auto"/>
            <w:left w:val="none" w:sz="0" w:space="0" w:color="auto"/>
            <w:bottom w:val="none" w:sz="0" w:space="0" w:color="auto"/>
            <w:right w:val="none" w:sz="0" w:space="0" w:color="auto"/>
          </w:divBdr>
        </w:div>
        <w:div w:id="2024704155">
          <w:marLeft w:val="0"/>
          <w:marRight w:val="0"/>
          <w:marTop w:val="0"/>
          <w:marBottom w:val="0"/>
          <w:divBdr>
            <w:top w:val="none" w:sz="0" w:space="0" w:color="auto"/>
            <w:left w:val="none" w:sz="0" w:space="0" w:color="auto"/>
            <w:bottom w:val="none" w:sz="0" w:space="0" w:color="auto"/>
            <w:right w:val="none" w:sz="0" w:space="0" w:color="auto"/>
          </w:divBdr>
        </w:div>
        <w:div w:id="2024704156">
          <w:marLeft w:val="0"/>
          <w:marRight w:val="0"/>
          <w:marTop w:val="0"/>
          <w:marBottom w:val="0"/>
          <w:divBdr>
            <w:top w:val="none" w:sz="0" w:space="0" w:color="auto"/>
            <w:left w:val="none" w:sz="0" w:space="0" w:color="auto"/>
            <w:bottom w:val="none" w:sz="0" w:space="0" w:color="auto"/>
            <w:right w:val="none" w:sz="0" w:space="0" w:color="auto"/>
          </w:divBdr>
        </w:div>
        <w:div w:id="2024704157">
          <w:marLeft w:val="0"/>
          <w:marRight w:val="0"/>
          <w:marTop w:val="0"/>
          <w:marBottom w:val="0"/>
          <w:divBdr>
            <w:top w:val="none" w:sz="0" w:space="0" w:color="auto"/>
            <w:left w:val="none" w:sz="0" w:space="0" w:color="auto"/>
            <w:bottom w:val="none" w:sz="0" w:space="0" w:color="auto"/>
            <w:right w:val="none" w:sz="0" w:space="0" w:color="auto"/>
          </w:divBdr>
        </w:div>
        <w:div w:id="2024704159">
          <w:marLeft w:val="0"/>
          <w:marRight w:val="0"/>
          <w:marTop w:val="0"/>
          <w:marBottom w:val="0"/>
          <w:divBdr>
            <w:top w:val="none" w:sz="0" w:space="0" w:color="auto"/>
            <w:left w:val="none" w:sz="0" w:space="0" w:color="auto"/>
            <w:bottom w:val="none" w:sz="0" w:space="0" w:color="auto"/>
            <w:right w:val="none" w:sz="0" w:space="0" w:color="auto"/>
          </w:divBdr>
        </w:div>
        <w:div w:id="2024704160">
          <w:marLeft w:val="0"/>
          <w:marRight w:val="0"/>
          <w:marTop w:val="0"/>
          <w:marBottom w:val="0"/>
          <w:divBdr>
            <w:top w:val="none" w:sz="0" w:space="0" w:color="auto"/>
            <w:left w:val="none" w:sz="0" w:space="0" w:color="auto"/>
            <w:bottom w:val="none" w:sz="0" w:space="0" w:color="auto"/>
            <w:right w:val="none" w:sz="0" w:space="0" w:color="auto"/>
          </w:divBdr>
        </w:div>
        <w:div w:id="2024704161">
          <w:marLeft w:val="0"/>
          <w:marRight w:val="0"/>
          <w:marTop w:val="0"/>
          <w:marBottom w:val="0"/>
          <w:divBdr>
            <w:top w:val="none" w:sz="0" w:space="0" w:color="auto"/>
            <w:left w:val="none" w:sz="0" w:space="0" w:color="auto"/>
            <w:bottom w:val="none" w:sz="0" w:space="0" w:color="auto"/>
            <w:right w:val="none" w:sz="0" w:space="0" w:color="auto"/>
          </w:divBdr>
        </w:div>
        <w:div w:id="2024704162">
          <w:marLeft w:val="0"/>
          <w:marRight w:val="0"/>
          <w:marTop w:val="0"/>
          <w:marBottom w:val="0"/>
          <w:divBdr>
            <w:top w:val="none" w:sz="0" w:space="0" w:color="auto"/>
            <w:left w:val="none" w:sz="0" w:space="0" w:color="auto"/>
            <w:bottom w:val="none" w:sz="0" w:space="0" w:color="auto"/>
            <w:right w:val="none" w:sz="0" w:space="0" w:color="auto"/>
          </w:divBdr>
        </w:div>
        <w:div w:id="2024704163">
          <w:marLeft w:val="0"/>
          <w:marRight w:val="0"/>
          <w:marTop w:val="0"/>
          <w:marBottom w:val="0"/>
          <w:divBdr>
            <w:top w:val="none" w:sz="0" w:space="0" w:color="auto"/>
            <w:left w:val="none" w:sz="0" w:space="0" w:color="auto"/>
            <w:bottom w:val="none" w:sz="0" w:space="0" w:color="auto"/>
            <w:right w:val="none" w:sz="0" w:space="0" w:color="auto"/>
          </w:divBdr>
        </w:div>
        <w:div w:id="2024704164">
          <w:marLeft w:val="0"/>
          <w:marRight w:val="0"/>
          <w:marTop w:val="0"/>
          <w:marBottom w:val="0"/>
          <w:divBdr>
            <w:top w:val="none" w:sz="0" w:space="0" w:color="auto"/>
            <w:left w:val="none" w:sz="0" w:space="0" w:color="auto"/>
            <w:bottom w:val="none" w:sz="0" w:space="0" w:color="auto"/>
            <w:right w:val="none" w:sz="0" w:space="0" w:color="auto"/>
          </w:divBdr>
        </w:div>
        <w:div w:id="2024704165">
          <w:marLeft w:val="0"/>
          <w:marRight w:val="0"/>
          <w:marTop w:val="0"/>
          <w:marBottom w:val="0"/>
          <w:divBdr>
            <w:top w:val="none" w:sz="0" w:space="0" w:color="auto"/>
            <w:left w:val="none" w:sz="0" w:space="0" w:color="auto"/>
            <w:bottom w:val="none" w:sz="0" w:space="0" w:color="auto"/>
            <w:right w:val="none" w:sz="0" w:space="0" w:color="auto"/>
          </w:divBdr>
        </w:div>
        <w:div w:id="2024704166">
          <w:marLeft w:val="0"/>
          <w:marRight w:val="0"/>
          <w:marTop w:val="0"/>
          <w:marBottom w:val="0"/>
          <w:divBdr>
            <w:top w:val="none" w:sz="0" w:space="0" w:color="auto"/>
            <w:left w:val="none" w:sz="0" w:space="0" w:color="auto"/>
            <w:bottom w:val="none" w:sz="0" w:space="0" w:color="auto"/>
            <w:right w:val="none" w:sz="0" w:space="0" w:color="auto"/>
          </w:divBdr>
        </w:div>
        <w:div w:id="2024704167">
          <w:marLeft w:val="0"/>
          <w:marRight w:val="0"/>
          <w:marTop w:val="0"/>
          <w:marBottom w:val="0"/>
          <w:divBdr>
            <w:top w:val="none" w:sz="0" w:space="0" w:color="auto"/>
            <w:left w:val="none" w:sz="0" w:space="0" w:color="auto"/>
            <w:bottom w:val="none" w:sz="0" w:space="0" w:color="auto"/>
            <w:right w:val="none" w:sz="0" w:space="0" w:color="auto"/>
          </w:divBdr>
        </w:div>
        <w:div w:id="2024704168">
          <w:marLeft w:val="0"/>
          <w:marRight w:val="0"/>
          <w:marTop w:val="0"/>
          <w:marBottom w:val="0"/>
          <w:divBdr>
            <w:top w:val="none" w:sz="0" w:space="0" w:color="auto"/>
            <w:left w:val="none" w:sz="0" w:space="0" w:color="auto"/>
            <w:bottom w:val="none" w:sz="0" w:space="0" w:color="auto"/>
            <w:right w:val="none" w:sz="0" w:space="0" w:color="auto"/>
          </w:divBdr>
        </w:div>
        <w:div w:id="2024704169">
          <w:marLeft w:val="0"/>
          <w:marRight w:val="0"/>
          <w:marTop w:val="0"/>
          <w:marBottom w:val="0"/>
          <w:divBdr>
            <w:top w:val="none" w:sz="0" w:space="0" w:color="auto"/>
            <w:left w:val="none" w:sz="0" w:space="0" w:color="auto"/>
            <w:bottom w:val="none" w:sz="0" w:space="0" w:color="auto"/>
            <w:right w:val="none" w:sz="0" w:space="0" w:color="auto"/>
          </w:divBdr>
        </w:div>
        <w:div w:id="2024704170">
          <w:marLeft w:val="0"/>
          <w:marRight w:val="0"/>
          <w:marTop w:val="0"/>
          <w:marBottom w:val="0"/>
          <w:divBdr>
            <w:top w:val="none" w:sz="0" w:space="0" w:color="auto"/>
            <w:left w:val="none" w:sz="0" w:space="0" w:color="auto"/>
            <w:bottom w:val="none" w:sz="0" w:space="0" w:color="auto"/>
            <w:right w:val="none" w:sz="0" w:space="0" w:color="auto"/>
          </w:divBdr>
        </w:div>
        <w:div w:id="2024704171">
          <w:marLeft w:val="0"/>
          <w:marRight w:val="0"/>
          <w:marTop w:val="0"/>
          <w:marBottom w:val="0"/>
          <w:divBdr>
            <w:top w:val="none" w:sz="0" w:space="0" w:color="auto"/>
            <w:left w:val="none" w:sz="0" w:space="0" w:color="auto"/>
            <w:bottom w:val="none" w:sz="0" w:space="0" w:color="auto"/>
            <w:right w:val="none" w:sz="0" w:space="0" w:color="auto"/>
          </w:divBdr>
        </w:div>
        <w:div w:id="2024704172">
          <w:marLeft w:val="0"/>
          <w:marRight w:val="0"/>
          <w:marTop w:val="0"/>
          <w:marBottom w:val="0"/>
          <w:divBdr>
            <w:top w:val="none" w:sz="0" w:space="0" w:color="auto"/>
            <w:left w:val="none" w:sz="0" w:space="0" w:color="auto"/>
            <w:bottom w:val="none" w:sz="0" w:space="0" w:color="auto"/>
            <w:right w:val="none" w:sz="0" w:space="0" w:color="auto"/>
          </w:divBdr>
        </w:div>
        <w:div w:id="2024704173">
          <w:marLeft w:val="0"/>
          <w:marRight w:val="0"/>
          <w:marTop w:val="0"/>
          <w:marBottom w:val="0"/>
          <w:divBdr>
            <w:top w:val="none" w:sz="0" w:space="0" w:color="auto"/>
            <w:left w:val="none" w:sz="0" w:space="0" w:color="auto"/>
            <w:bottom w:val="none" w:sz="0" w:space="0" w:color="auto"/>
            <w:right w:val="none" w:sz="0" w:space="0" w:color="auto"/>
          </w:divBdr>
        </w:div>
        <w:div w:id="2024704174">
          <w:marLeft w:val="0"/>
          <w:marRight w:val="0"/>
          <w:marTop w:val="0"/>
          <w:marBottom w:val="0"/>
          <w:divBdr>
            <w:top w:val="none" w:sz="0" w:space="0" w:color="auto"/>
            <w:left w:val="none" w:sz="0" w:space="0" w:color="auto"/>
            <w:bottom w:val="none" w:sz="0" w:space="0" w:color="auto"/>
            <w:right w:val="none" w:sz="0" w:space="0" w:color="auto"/>
          </w:divBdr>
        </w:div>
        <w:div w:id="2024704175">
          <w:marLeft w:val="0"/>
          <w:marRight w:val="0"/>
          <w:marTop w:val="0"/>
          <w:marBottom w:val="0"/>
          <w:divBdr>
            <w:top w:val="none" w:sz="0" w:space="0" w:color="auto"/>
            <w:left w:val="none" w:sz="0" w:space="0" w:color="auto"/>
            <w:bottom w:val="none" w:sz="0" w:space="0" w:color="auto"/>
            <w:right w:val="none" w:sz="0" w:space="0" w:color="auto"/>
          </w:divBdr>
        </w:div>
        <w:div w:id="2024704176">
          <w:marLeft w:val="0"/>
          <w:marRight w:val="0"/>
          <w:marTop w:val="0"/>
          <w:marBottom w:val="0"/>
          <w:divBdr>
            <w:top w:val="none" w:sz="0" w:space="0" w:color="auto"/>
            <w:left w:val="none" w:sz="0" w:space="0" w:color="auto"/>
            <w:bottom w:val="none" w:sz="0" w:space="0" w:color="auto"/>
            <w:right w:val="none" w:sz="0" w:space="0" w:color="auto"/>
          </w:divBdr>
        </w:div>
        <w:div w:id="2024704177">
          <w:marLeft w:val="0"/>
          <w:marRight w:val="0"/>
          <w:marTop w:val="0"/>
          <w:marBottom w:val="0"/>
          <w:divBdr>
            <w:top w:val="none" w:sz="0" w:space="0" w:color="auto"/>
            <w:left w:val="none" w:sz="0" w:space="0" w:color="auto"/>
            <w:bottom w:val="none" w:sz="0" w:space="0" w:color="auto"/>
            <w:right w:val="none" w:sz="0" w:space="0" w:color="auto"/>
          </w:divBdr>
        </w:div>
        <w:div w:id="2024704178">
          <w:marLeft w:val="0"/>
          <w:marRight w:val="0"/>
          <w:marTop w:val="0"/>
          <w:marBottom w:val="0"/>
          <w:divBdr>
            <w:top w:val="none" w:sz="0" w:space="0" w:color="auto"/>
            <w:left w:val="none" w:sz="0" w:space="0" w:color="auto"/>
            <w:bottom w:val="none" w:sz="0" w:space="0" w:color="auto"/>
            <w:right w:val="none" w:sz="0" w:space="0" w:color="auto"/>
          </w:divBdr>
        </w:div>
        <w:div w:id="2024704179">
          <w:marLeft w:val="0"/>
          <w:marRight w:val="0"/>
          <w:marTop w:val="0"/>
          <w:marBottom w:val="0"/>
          <w:divBdr>
            <w:top w:val="none" w:sz="0" w:space="0" w:color="auto"/>
            <w:left w:val="none" w:sz="0" w:space="0" w:color="auto"/>
            <w:bottom w:val="none" w:sz="0" w:space="0" w:color="auto"/>
            <w:right w:val="none" w:sz="0" w:space="0" w:color="auto"/>
          </w:divBdr>
        </w:div>
        <w:div w:id="2024704180">
          <w:marLeft w:val="0"/>
          <w:marRight w:val="0"/>
          <w:marTop w:val="0"/>
          <w:marBottom w:val="0"/>
          <w:divBdr>
            <w:top w:val="none" w:sz="0" w:space="0" w:color="auto"/>
            <w:left w:val="none" w:sz="0" w:space="0" w:color="auto"/>
            <w:bottom w:val="none" w:sz="0" w:space="0" w:color="auto"/>
            <w:right w:val="none" w:sz="0" w:space="0" w:color="auto"/>
          </w:divBdr>
        </w:div>
        <w:div w:id="2024704181">
          <w:marLeft w:val="0"/>
          <w:marRight w:val="0"/>
          <w:marTop w:val="0"/>
          <w:marBottom w:val="0"/>
          <w:divBdr>
            <w:top w:val="none" w:sz="0" w:space="0" w:color="auto"/>
            <w:left w:val="none" w:sz="0" w:space="0" w:color="auto"/>
            <w:bottom w:val="none" w:sz="0" w:space="0" w:color="auto"/>
            <w:right w:val="none" w:sz="0" w:space="0" w:color="auto"/>
          </w:divBdr>
        </w:div>
        <w:div w:id="2024704182">
          <w:marLeft w:val="0"/>
          <w:marRight w:val="0"/>
          <w:marTop w:val="0"/>
          <w:marBottom w:val="0"/>
          <w:divBdr>
            <w:top w:val="none" w:sz="0" w:space="0" w:color="auto"/>
            <w:left w:val="none" w:sz="0" w:space="0" w:color="auto"/>
            <w:bottom w:val="none" w:sz="0" w:space="0" w:color="auto"/>
            <w:right w:val="none" w:sz="0" w:space="0" w:color="auto"/>
          </w:divBdr>
        </w:div>
        <w:div w:id="2024704183">
          <w:marLeft w:val="0"/>
          <w:marRight w:val="0"/>
          <w:marTop w:val="0"/>
          <w:marBottom w:val="0"/>
          <w:divBdr>
            <w:top w:val="none" w:sz="0" w:space="0" w:color="auto"/>
            <w:left w:val="none" w:sz="0" w:space="0" w:color="auto"/>
            <w:bottom w:val="none" w:sz="0" w:space="0" w:color="auto"/>
            <w:right w:val="none" w:sz="0" w:space="0" w:color="auto"/>
          </w:divBdr>
        </w:div>
        <w:div w:id="2024704184">
          <w:marLeft w:val="0"/>
          <w:marRight w:val="0"/>
          <w:marTop w:val="0"/>
          <w:marBottom w:val="0"/>
          <w:divBdr>
            <w:top w:val="none" w:sz="0" w:space="0" w:color="auto"/>
            <w:left w:val="none" w:sz="0" w:space="0" w:color="auto"/>
            <w:bottom w:val="none" w:sz="0" w:space="0" w:color="auto"/>
            <w:right w:val="none" w:sz="0" w:space="0" w:color="auto"/>
          </w:divBdr>
        </w:div>
        <w:div w:id="2024704185">
          <w:marLeft w:val="0"/>
          <w:marRight w:val="0"/>
          <w:marTop w:val="0"/>
          <w:marBottom w:val="0"/>
          <w:divBdr>
            <w:top w:val="none" w:sz="0" w:space="0" w:color="auto"/>
            <w:left w:val="none" w:sz="0" w:space="0" w:color="auto"/>
            <w:bottom w:val="none" w:sz="0" w:space="0" w:color="auto"/>
            <w:right w:val="none" w:sz="0" w:space="0" w:color="auto"/>
          </w:divBdr>
        </w:div>
        <w:div w:id="2024704186">
          <w:marLeft w:val="0"/>
          <w:marRight w:val="0"/>
          <w:marTop w:val="0"/>
          <w:marBottom w:val="0"/>
          <w:divBdr>
            <w:top w:val="none" w:sz="0" w:space="0" w:color="auto"/>
            <w:left w:val="none" w:sz="0" w:space="0" w:color="auto"/>
            <w:bottom w:val="none" w:sz="0" w:space="0" w:color="auto"/>
            <w:right w:val="none" w:sz="0" w:space="0" w:color="auto"/>
          </w:divBdr>
        </w:div>
        <w:div w:id="2024704187">
          <w:marLeft w:val="0"/>
          <w:marRight w:val="0"/>
          <w:marTop w:val="0"/>
          <w:marBottom w:val="0"/>
          <w:divBdr>
            <w:top w:val="none" w:sz="0" w:space="0" w:color="auto"/>
            <w:left w:val="none" w:sz="0" w:space="0" w:color="auto"/>
            <w:bottom w:val="none" w:sz="0" w:space="0" w:color="auto"/>
            <w:right w:val="none" w:sz="0" w:space="0" w:color="auto"/>
          </w:divBdr>
        </w:div>
        <w:div w:id="2024704188">
          <w:marLeft w:val="0"/>
          <w:marRight w:val="0"/>
          <w:marTop w:val="0"/>
          <w:marBottom w:val="0"/>
          <w:divBdr>
            <w:top w:val="none" w:sz="0" w:space="0" w:color="auto"/>
            <w:left w:val="none" w:sz="0" w:space="0" w:color="auto"/>
            <w:bottom w:val="none" w:sz="0" w:space="0" w:color="auto"/>
            <w:right w:val="none" w:sz="0" w:space="0" w:color="auto"/>
          </w:divBdr>
        </w:div>
        <w:div w:id="2024704189">
          <w:marLeft w:val="0"/>
          <w:marRight w:val="0"/>
          <w:marTop w:val="0"/>
          <w:marBottom w:val="0"/>
          <w:divBdr>
            <w:top w:val="none" w:sz="0" w:space="0" w:color="auto"/>
            <w:left w:val="none" w:sz="0" w:space="0" w:color="auto"/>
            <w:bottom w:val="none" w:sz="0" w:space="0" w:color="auto"/>
            <w:right w:val="none" w:sz="0" w:space="0" w:color="auto"/>
          </w:divBdr>
        </w:div>
        <w:div w:id="2024704190">
          <w:marLeft w:val="0"/>
          <w:marRight w:val="0"/>
          <w:marTop w:val="0"/>
          <w:marBottom w:val="0"/>
          <w:divBdr>
            <w:top w:val="none" w:sz="0" w:space="0" w:color="auto"/>
            <w:left w:val="none" w:sz="0" w:space="0" w:color="auto"/>
            <w:bottom w:val="none" w:sz="0" w:space="0" w:color="auto"/>
            <w:right w:val="none" w:sz="0" w:space="0" w:color="auto"/>
          </w:divBdr>
        </w:div>
        <w:div w:id="2024704191">
          <w:marLeft w:val="0"/>
          <w:marRight w:val="0"/>
          <w:marTop w:val="0"/>
          <w:marBottom w:val="0"/>
          <w:divBdr>
            <w:top w:val="none" w:sz="0" w:space="0" w:color="auto"/>
            <w:left w:val="none" w:sz="0" w:space="0" w:color="auto"/>
            <w:bottom w:val="none" w:sz="0" w:space="0" w:color="auto"/>
            <w:right w:val="none" w:sz="0" w:space="0" w:color="auto"/>
          </w:divBdr>
        </w:div>
        <w:div w:id="2024704192">
          <w:marLeft w:val="0"/>
          <w:marRight w:val="0"/>
          <w:marTop w:val="0"/>
          <w:marBottom w:val="0"/>
          <w:divBdr>
            <w:top w:val="none" w:sz="0" w:space="0" w:color="auto"/>
            <w:left w:val="none" w:sz="0" w:space="0" w:color="auto"/>
            <w:bottom w:val="none" w:sz="0" w:space="0" w:color="auto"/>
            <w:right w:val="none" w:sz="0" w:space="0" w:color="auto"/>
          </w:divBdr>
        </w:div>
        <w:div w:id="2024704193">
          <w:marLeft w:val="0"/>
          <w:marRight w:val="0"/>
          <w:marTop w:val="0"/>
          <w:marBottom w:val="0"/>
          <w:divBdr>
            <w:top w:val="none" w:sz="0" w:space="0" w:color="auto"/>
            <w:left w:val="none" w:sz="0" w:space="0" w:color="auto"/>
            <w:bottom w:val="none" w:sz="0" w:space="0" w:color="auto"/>
            <w:right w:val="none" w:sz="0" w:space="0" w:color="auto"/>
          </w:divBdr>
        </w:div>
        <w:div w:id="2024704194">
          <w:marLeft w:val="0"/>
          <w:marRight w:val="0"/>
          <w:marTop w:val="0"/>
          <w:marBottom w:val="0"/>
          <w:divBdr>
            <w:top w:val="none" w:sz="0" w:space="0" w:color="auto"/>
            <w:left w:val="none" w:sz="0" w:space="0" w:color="auto"/>
            <w:bottom w:val="none" w:sz="0" w:space="0" w:color="auto"/>
            <w:right w:val="none" w:sz="0" w:space="0" w:color="auto"/>
          </w:divBdr>
        </w:div>
        <w:div w:id="2024704195">
          <w:marLeft w:val="0"/>
          <w:marRight w:val="0"/>
          <w:marTop w:val="0"/>
          <w:marBottom w:val="0"/>
          <w:divBdr>
            <w:top w:val="none" w:sz="0" w:space="0" w:color="auto"/>
            <w:left w:val="none" w:sz="0" w:space="0" w:color="auto"/>
            <w:bottom w:val="none" w:sz="0" w:space="0" w:color="auto"/>
            <w:right w:val="none" w:sz="0" w:space="0" w:color="auto"/>
          </w:divBdr>
        </w:div>
        <w:div w:id="2024704196">
          <w:marLeft w:val="0"/>
          <w:marRight w:val="0"/>
          <w:marTop w:val="0"/>
          <w:marBottom w:val="0"/>
          <w:divBdr>
            <w:top w:val="none" w:sz="0" w:space="0" w:color="auto"/>
            <w:left w:val="none" w:sz="0" w:space="0" w:color="auto"/>
            <w:bottom w:val="none" w:sz="0" w:space="0" w:color="auto"/>
            <w:right w:val="none" w:sz="0" w:space="0" w:color="auto"/>
          </w:divBdr>
        </w:div>
        <w:div w:id="2024704198">
          <w:marLeft w:val="0"/>
          <w:marRight w:val="0"/>
          <w:marTop w:val="0"/>
          <w:marBottom w:val="0"/>
          <w:divBdr>
            <w:top w:val="none" w:sz="0" w:space="0" w:color="auto"/>
            <w:left w:val="none" w:sz="0" w:space="0" w:color="auto"/>
            <w:bottom w:val="none" w:sz="0" w:space="0" w:color="auto"/>
            <w:right w:val="none" w:sz="0" w:space="0" w:color="auto"/>
          </w:divBdr>
        </w:div>
        <w:div w:id="2024704199">
          <w:marLeft w:val="0"/>
          <w:marRight w:val="0"/>
          <w:marTop w:val="0"/>
          <w:marBottom w:val="0"/>
          <w:divBdr>
            <w:top w:val="none" w:sz="0" w:space="0" w:color="auto"/>
            <w:left w:val="none" w:sz="0" w:space="0" w:color="auto"/>
            <w:bottom w:val="none" w:sz="0" w:space="0" w:color="auto"/>
            <w:right w:val="none" w:sz="0" w:space="0" w:color="auto"/>
          </w:divBdr>
        </w:div>
        <w:div w:id="2024704200">
          <w:marLeft w:val="0"/>
          <w:marRight w:val="0"/>
          <w:marTop w:val="0"/>
          <w:marBottom w:val="0"/>
          <w:divBdr>
            <w:top w:val="none" w:sz="0" w:space="0" w:color="auto"/>
            <w:left w:val="none" w:sz="0" w:space="0" w:color="auto"/>
            <w:bottom w:val="none" w:sz="0" w:space="0" w:color="auto"/>
            <w:right w:val="none" w:sz="0" w:space="0" w:color="auto"/>
          </w:divBdr>
        </w:div>
        <w:div w:id="2024704201">
          <w:marLeft w:val="0"/>
          <w:marRight w:val="0"/>
          <w:marTop w:val="0"/>
          <w:marBottom w:val="0"/>
          <w:divBdr>
            <w:top w:val="none" w:sz="0" w:space="0" w:color="auto"/>
            <w:left w:val="none" w:sz="0" w:space="0" w:color="auto"/>
            <w:bottom w:val="none" w:sz="0" w:space="0" w:color="auto"/>
            <w:right w:val="none" w:sz="0" w:space="0" w:color="auto"/>
          </w:divBdr>
        </w:div>
        <w:div w:id="2024704202">
          <w:marLeft w:val="0"/>
          <w:marRight w:val="0"/>
          <w:marTop w:val="0"/>
          <w:marBottom w:val="0"/>
          <w:divBdr>
            <w:top w:val="none" w:sz="0" w:space="0" w:color="auto"/>
            <w:left w:val="none" w:sz="0" w:space="0" w:color="auto"/>
            <w:bottom w:val="none" w:sz="0" w:space="0" w:color="auto"/>
            <w:right w:val="none" w:sz="0" w:space="0" w:color="auto"/>
          </w:divBdr>
        </w:div>
        <w:div w:id="2024704203">
          <w:marLeft w:val="0"/>
          <w:marRight w:val="0"/>
          <w:marTop w:val="0"/>
          <w:marBottom w:val="0"/>
          <w:divBdr>
            <w:top w:val="none" w:sz="0" w:space="0" w:color="auto"/>
            <w:left w:val="none" w:sz="0" w:space="0" w:color="auto"/>
            <w:bottom w:val="none" w:sz="0" w:space="0" w:color="auto"/>
            <w:right w:val="none" w:sz="0" w:space="0" w:color="auto"/>
          </w:divBdr>
        </w:div>
        <w:div w:id="2024704204">
          <w:marLeft w:val="0"/>
          <w:marRight w:val="0"/>
          <w:marTop w:val="0"/>
          <w:marBottom w:val="0"/>
          <w:divBdr>
            <w:top w:val="none" w:sz="0" w:space="0" w:color="auto"/>
            <w:left w:val="none" w:sz="0" w:space="0" w:color="auto"/>
            <w:bottom w:val="none" w:sz="0" w:space="0" w:color="auto"/>
            <w:right w:val="none" w:sz="0" w:space="0" w:color="auto"/>
          </w:divBdr>
        </w:div>
        <w:div w:id="2024704205">
          <w:marLeft w:val="0"/>
          <w:marRight w:val="0"/>
          <w:marTop w:val="0"/>
          <w:marBottom w:val="0"/>
          <w:divBdr>
            <w:top w:val="none" w:sz="0" w:space="0" w:color="auto"/>
            <w:left w:val="none" w:sz="0" w:space="0" w:color="auto"/>
            <w:bottom w:val="none" w:sz="0" w:space="0" w:color="auto"/>
            <w:right w:val="none" w:sz="0" w:space="0" w:color="auto"/>
          </w:divBdr>
        </w:div>
        <w:div w:id="2024704206">
          <w:marLeft w:val="0"/>
          <w:marRight w:val="0"/>
          <w:marTop w:val="0"/>
          <w:marBottom w:val="0"/>
          <w:divBdr>
            <w:top w:val="none" w:sz="0" w:space="0" w:color="auto"/>
            <w:left w:val="none" w:sz="0" w:space="0" w:color="auto"/>
            <w:bottom w:val="none" w:sz="0" w:space="0" w:color="auto"/>
            <w:right w:val="none" w:sz="0" w:space="0" w:color="auto"/>
          </w:divBdr>
        </w:div>
        <w:div w:id="2024704207">
          <w:marLeft w:val="0"/>
          <w:marRight w:val="0"/>
          <w:marTop w:val="0"/>
          <w:marBottom w:val="0"/>
          <w:divBdr>
            <w:top w:val="none" w:sz="0" w:space="0" w:color="auto"/>
            <w:left w:val="none" w:sz="0" w:space="0" w:color="auto"/>
            <w:bottom w:val="none" w:sz="0" w:space="0" w:color="auto"/>
            <w:right w:val="none" w:sz="0" w:space="0" w:color="auto"/>
          </w:divBdr>
        </w:div>
        <w:div w:id="2024704208">
          <w:marLeft w:val="0"/>
          <w:marRight w:val="0"/>
          <w:marTop w:val="0"/>
          <w:marBottom w:val="0"/>
          <w:divBdr>
            <w:top w:val="none" w:sz="0" w:space="0" w:color="auto"/>
            <w:left w:val="none" w:sz="0" w:space="0" w:color="auto"/>
            <w:bottom w:val="none" w:sz="0" w:space="0" w:color="auto"/>
            <w:right w:val="none" w:sz="0" w:space="0" w:color="auto"/>
          </w:divBdr>
        </w:div>
        <w:div w:id="2024704209">
          <w:marLeft w:val="0"/>
          <w:marRight w:val="0"/>
          <w:marTop w:val="0"/>
          <w:marBottom w:val="0"/>
          <w:divBdr>
            <w:top w:val="none" w:sz="0" w:space="0" w:color="auto"/>
            <w:left w:val="none" w:sz="0" w:space="0" w:color="auto"/>
            <w:bottom w:val="none" w:sz="0" w:space="0" w:color="auto"/>
            <w:right w:val="none" w:sz="0" w:space="0" w:color="auto"/>
          </w:divBdr>
        </w:div>
        <w:div w:id="2024704210">
          <w:marLeft w:val="0"/>
          <w:marRight w:val="0"/>
          <w:marTop w:val="0"/>
          <w:marBottom w:val="0"/>
          <w:divBdr>
            <w:top w:val="none" w:sz="0" w:space="0" w:color="auto"/>
            <w:left w:val="none" w:sz="0" w:space="0" w:color="auto"/>
            <w:bottom w:val="none" w:sz="0" w:space="0" w:color="auto"/>
            <w:right w:val="none" w:sz="0" w:space="0" w:color="auto"/>
          </w:divBdr>
        </w:div>
        <w:div w:id="2024704211">
          <w:marLeft w:val="0"/>
          <w:marRight w:val="0"/>
          <w:marTop w:val="0"/>
          <w:marBottom w:val="0"/>
          <w:divBdr>
            <w:top w:val="none" w:sz="0" w:space="0" w:color="auto"/>
            <w:left w:val="none" w:sz="0" w:space="0" w:color="auto"/>
            <w:bottom w:val="none" w:sz="0" w:space="0" w:color="auto"/>
            <w:right w:val="none" w:sz="0" w:space="0" w:color="auto"/>
          </w:divBdr>
        </w:div>
        <w:div w:id="2024704212">
          <w:marLeft w:val="0"/>
          <w:marRight w:val="0"/>
          <w:marTop w:val="0"/>
          <w:marBottom w:val="0"/>
          <w:divBdr>
            <w:top w:val="none" w:sz="0" w:space="0" w:color="auto"/>
            <w:left w:val="none" w:sz="0" w:space="0" w:color="auto"/>
            <w:bottom w:val="none" w:sz="0" w:space="0" w:color="auto"/>
            <w:right w:val="none" w:sz="0" w:space="0" w:color="auto"/>
          </w:divBdr>
        </w:div>
        <w:div w:id="2024704213">
          <w:marLeft w:val="0"/>
          <w:marRight w:val="0"/>
          <w:marTop w:val="0"/>
          <w:marBottom w:val="0"/>
          <w:divBdr>
            <w:top w:val="none" w:sz="0" w:space="0" w:color="auto"/>
            <w:left w:val="none" w:sz="0" w:space="0" w:color="auto"/>
            <w:bottom w:val="none" w:sz="0" w:space="0" w:color="auto"/>
            <w:right w:val="none" w:sz="0" w:space="0" w:color="auto"/>
          </w:divBdr>
        </w:div>
        <w:div w:id="2024704214">
          <w:marLeft w:val="0"/>
          <w:marRight w:val="0"/>
          <w:marTop w:val="0"/>
          <w:marBottom w:val="0"/>
          <w:divBdr>
            <w:top w:val="none" w:sz="0" w:space="0" w:color="auto"/>
            <w:left w:val="none" w:sz="0" w:space="0" w:color="auto"/>
            <w:bottom w:val="none" w:sz="0" w:space="0" w:color="auto"/>
            <w:right w:val="none" w:sz="0" w:space="0" w:color="auto"/>
          </w:divBdr>
        </w:div>
        <w:div w:id="2024704215">
          <w:marLeft w:val="0"/>
          <w:marRight w:val="0"/>
          <w:marTop w:val="0"/>
          <w:marBottom w:val="0"/>
          <w:divBdr>
            <w:top w:val="none" w:sz="0" w:space="0" w:color="auto"/>
            <w:left w:val="none" w:sz="0" w:space="0" w:color="auto"/>
            <w:bottom w:val="none" w:sz="0" w:space="0" w:color="auto"/>
            <w:right w:val="none" w:sz="0" w:space="0" w:color="auto"/>
          </w:divBdr>
        </w:div>
        <w:div w:id="2024704216">
          <w:marLeft w:val="0"/>
          <w:marRight w:val="0"/>
          <w:marTop w:val="0"/>
          <w:marBottom w:val="0"/>
          <w:divBdr>
            <w:top w:val="none" w:sz="0" w:space="0" w:color="auto"/>
            <w:left w:val="none" w:sz="0" w:space="0" w:color="auto"/>
            <w:bottom w:val="none" w:sz="0" w:space="0" w:color="auto"/>
            <w:right w:val="none" w:sz="0" w:space="0" w:color="auto"/>
          </w:divBdr>
        </w:div>
        <w:div w:id="2024704217">
          <w:marLeft w:val="0"/>
          <w:marRight w:val="0"/>
          <w:marTop w:val="0"/>
          <w:marBottom w:val="0"/>
          <w:divBdr>
            <w:top w:val="none" w:sz="0" w:space="0" w:color="auto"/>
            <w:left w:val="none" w:sz="0" w:space="0" w:color="auto"/>
            <w:bottom w:val="none" w:sz="0" w:space="0" w:color="auto"/>
            <w:right w:val="none" w:sz="0" w:space="0" w:color="auto"/>
          </w:divBdr>
        </w:div>
        <w:div w:id="2024704218">
          <w:marLeft w:val="0"/>
          <w:marRight w:val="0"/>
          <w:marTop w:val="0"/>
          <w:marBottom w:val="0"/>
          <w:divBdr>
            <w:top w:val="none" w:sz="0" w:space="0" w:color="auto"/>
            <w:left w:val="none" w:sz="0" w:space="0" w:color="auto"/>
            <w:bottom w:val="none" w:sz="0" w:space="0" w:color="auto"/>
            <w:right w:val="none" w:sz="0" w:space="0" w:color="auto"/>
          </w:divBdr>
        </w:div>
        <w:div w:id="2024704219">
          <w:marLeft w:val="0"/>
          <w:marRight w:val="0"/>
          <w:marTop w:val="0"/>
          <w:marBottom w:val="0"/>
          <w:divBdr>
            <w:top w:val="none" w:sz="0" w:space="0" w:color="auto"/>
            <w:left w:val="none" w:sz="0" w:space="0" w:color="auto"/>
            <w:bottom w:val="none" w:sz="0" w:space="0" w:color="auto"/>
            <w:right w:val="none" w:sz="0" w:space="0" w:color="auto"/>
          </w:divBdr>
        </w:div>
        <w:div w:id="2024704220">
          <w:marLeft w:val="0"/>
          <w:marRight w:val="0"/>
          <w:marTop w:val="0"/>
          <w:marBottom w:val="0"/>
          <w:divBdr>
            <w:top w:val="none" w:sz="0" w:space="0" w:color="auto"/>
            <w:left w:val="none" w:sz="0" w:space="0" w:color="auto"/>
            <w:bottom w:val="none" w:sz="0" w:space="0" w:color="auto"/>
            <w:right w:val="none" w:sz="0" w:space="0" w:color="auto"/>
          </w:divBdr>
        </w:div>
        <w:div w:id="2024704221">
          <w:marLeft w:val="0"/>
          <w:marRight w:val="0"/>
          <w:marTop w:val="0"/>
          <w:marBottom w:val="0"/>
          <w:divBdr>
            <w:top w:val="none" w:sz="0" w:space="0" w:color="auto"/>
            <w:left w:val="none" w:sz="0" w:space="0" w:color="auto"/>
            <w:bottom w:val="none" w:sz="0" w:space="0" w:color="auto"/>
            <w:right w:val="none" w:sz="0" w:space="0" w:color="auto"/>
          </w:divBdr>
        </w:div>
        <w:div w:id="2024704222">
          <w:marLeft w:val="0"/>
          <w:marRight w:val="0"/>
          <w:marTop w:val="0"/>
          <w:marBottom w:val="0"/>
          <w:divBdr>
            <w:top w:val="none" w:sz="0" w:space="0" w:color="auto"/>
            <w:left w:val="none" w:sz="0" w:space="0" w:color="auto"/>
            <w:bottom w:val="none" w:sz="0" w:space="0" w:color="auto"/>
            <w:right w:val="none" w:sz="0" w:space="0" w:color="auto"/>
          </w:divBdr>
        </w:div>
        <w:div w:id="2024704223">
          <w:marLeft w:val="0"/>
          <w:marRight w:val="0"/>
          <w:marTop w:val="0"/>
          <w:marBottom w:val="0"/>
          <w:divBdr>
            <w:top w:val="none" w:sz="0" w:space="0" w:color="auto"/>
            <w:left w:val="none" w:sz="0" w:space="0" w:color="auto"/>
            <w:bottom w:val="none" w:sz="0" w:space="0" w:color="auto"/>
            <w:right w:val="none" w:sz="0" w:space="0" w:color="auto"/>
          </w:divBdr>
        </w:div>
        <w:div w:id="2024704224">
          <w:marLeft w:val="0"/>
          <w:marRight w:val="0"/>
          <w:marTop w:val="0"/>
          <w:marBottom w:val="0"/>
          <w:divBdr>
            <w:top w:val="none" w:sz="0" w:space="0" w:color="auto"/>
            <w:left w:val="none" w:sz="0" w:space="0" w:color="auto"/>
            <w:bottom w:val="none" w:sz="0" w:space="0" w:color="auto"/>
            <w:right w:val="none" w:sz="0" w:space="0" w:color="auto"/>
          </w:divBdr>
        </w:div>
        <w:div w:id="2024704225">
          <w:marLeft w:val="0"/>
          <w:marRight w:val="0"/>
          <w:marTop w:val="0"/>
          <w:marBottom w:val="0"/>
          <w:divBdr>
            <w:top w:val="none" w:sz="0" w:space="0" w:color="auto"/>
            <w:left w:val="none" w:sz="0" w:space="0" w:color="auto"/>
            <w:bottom w:val="none" w:sz="0" w:space="0" w:color="auto"/>
            <w:right w:val="none" w:sz="0" w:space="0" w:color="auto"/>
          </w:divBdr>
        </w:div>
        <w:div w:id="2024704226">
          <w:marLeft w:val="0"/>
          <w:marRight w:val="0"/>
          <w:marTop w:val="0"/>
          <w:marBottom w:val="0"/>
          <w:divBdr>
            <w:top w:val="none" w:sz="0" w:space="0" w:color="auto"/>
            <w:left w:val="none" w:sz="0" w:space="0" w:color="auto"/>
            <w:bottom w:val="none" w:sz="0" w:space="0" w:color="auto"/>
            <w:right w:val="none" w:sz="0" w:space="0" w:color="auto"/>
          </w:divBdr>
        </w:div>
        <w:div w:id="2024704227">
          <w:marLeft w:val="0"/>
          <w:marRight w:val="0"/>
          <w:marTop w:val="0"/>
          <w:marBottom w:val="0"/>
          <w:divBdr>
            <w:top w:val="none" w:sz="0" w:space="0" w:color="auto"/>
            <w:left w:val="none" w:sz="0" w:space="0" w:color="auto"/>
            <w:bottom w:val="none" w:sz="0" w:space="0" w:color="auto"/>
            <w:right w:val="none" w:sz="0" w:space="0" w:color="auto"/>
          </w:divBdr>
        </w:div>
        <w:div w:id="2024704228">
          <w:marLeft w:val="0"/>
          <w:marRight w:val="0"/>
          <w:marTop w:val="0"/>
          <w:marBottom w:val="0"/>
          <w:divBdr>
            <w:top w:val="none" w:sz="0" w:space="0" w:color="auto"/>
            <w:left w:val="none" w:sz="0" w:space="0" w:color="auto"/>
            <w:bottom w:val="none" w:sz="0" w:space="0" w:color="auto"/>
            <w:right w:val="none" w:sz="0" w:space="0" w:color="auto"/>
          </w:divBdr>
        </w:div>
        <w:div w:id="2024704229">
          <w:marLeft w:val="0"/>
          <w:marRight w:val="0"/>
          <w:marTop w:val="0"/>
          <w:marBottom w:val="0"/>
          <w:divBdr>
            <w:top w:val="none" w:sz="0" w:space="0" w:color="auto"/>
            <w:left w:val="none" w:sz="0" w:space="0" w:color="auto"/>
            <w:bottom w:val="none" w:sz="0" w:space="0" w:color="auto"/>
            <w:right w:val="none" w:sz="0" w:space="0" w:color="auto"/>
          </w:divBdr>
        </w:div>
        <w:div w:id="2024704230">
          <w:marLeft w:val="0"/>
          <w:marRight w:val="0"/>
          <w:marTop w:val="0"/>
          <w:marBottom w:val="0"/>
          <w:divBdr>
            <w:top w:val="none" w:sz="0" w:space="0" w:color="auto"/>
            <w:left w:val="none" w:sz="0" w:space="0" w:color="auto"/>
            <w:bottom w:val="none" w:sz="0" w:space="0" w:color="auto"/>
            <w:right w:val="none" w:sz="0" w:space="0" w:color="auto"/>
          </w:divBdr>
        </w:div>
        <w:div w:id="2024704231">
          <w:marLeft w:val="0"/>
          <w:marRight w:val="0"/>
          <w:marTop w:val="0"/>
          <w:marBottom w:val="0"/>
          <w:divBdr>
            <w:top w:val="none" w:sz="0" w:space="0" w:color="auto"/>
            <w:left w:val="none" w:sz="0" w:space="0" w:color="auto"/>
            <w:bottom w:val="none" w:sz="0" w:space="0" w:color="auto"/>
            <w:right w:val="none" w:sz="0" w:space="0" w:color="auto"/>
          </w:divBdr>
        </w:div>
        <w:div w:id="2024704232">
          <w:marLeft w:val="0"/>
          <w:marRight w:val="0"/>
          <w:marTop w:val="0"/>
          <w:marBottom w:val="0"/>
          <w:divBdr>
            <w:top w:val="none" w:sz="0" w:space="0" w:color="auto"/>
            <w:left w:val="none" w:sz="0" w:space="0" w:color="auto"/>
            <w:bottom w:val="none" w:sz="0" w:space="0" w:color="auto"/>
            <w:right w:val="none" w:sz="0" w:space="0" w:color="auto"/>
          </w:divBdr>
        </w:div>
        <w:div w:id="2024704233">
          <w:marLeft w:val="0"/>
          <w:marRight w:val="0"/>
          <w:marTop w:val="0"/>
          <w:marBottom w:val="0"/>
          <w:divBdr>
            <w:top w:val="none" w:sz="0" w:space="0" w:color="auto"/>
            <w:left w:val="none" w:sz="0" w:space="0" w:color="auto"/>
            <w:bottom w:val="none" w:sz="0" w:space="0" w:color="auto"/>
            <w:right w:val="none" w:sz="0" w:space="0" w:color="auto"/>
          </w:divBdr>
        </w:div>
        <w:div w:id="2024704234">
          <w:marLeft w:val="0"/>
          <w:marRight w:val="0"/>
          <w:marTop w:val="0"/>
          <w:marBottom w:val="0"/>
          <w:divBdr>
            <w:top w:val="none" w:sz="0" w:space="0" w:color="auto"/>
            <w:left w:val="none" w:sz="0" w:space="0" w:color="auto"/>
            <w:bottom w:val="none" w:sz="0" w:space="0" w:color="auto"/>
            <w:right w:val="none" w:sz="0" w:space="0" w:color="auto"/>
          </w:divBdr>
        </w:div>
        <w:div w:id="2024704235">
          <w:marLeft w:val="0"/>
          <w:marRight w:val="0"/>
          <w:marTop w:val="0"/>
          <w:marBottom w:val="0"/>
          <w:divBdr>
            <w:top w:val="none" w:sz="0" w:space="0" w:color="auto"/>
            <w:left w:val="none" w:sz="0" w:space="0" w:color="auto"/>
            <w:bottom w:val="none" w:sz="0" w:space="0" w:color="auto"/>
            <w:right w:val="none" w:sz="0" w:space="0" w:color="auto"/>
          </w:divBdr>
        </w:div>
        <w:div w:id="2024704236">
          <w:marLeft w:val="0"/>
          <w:marRight w:val="0"/>
          <w:marTop w:val="0"/>
          <w:marBottom w:val="0"/>
          <w:divBdr>
            <w:top w:val="none" w:sz="0" w:space="0" w:color="auto"/>
            <w:left w:val="none" w:sz="0" w:space="0" w:color="auto"/>
            <w:bottom w:val="none" w:sz="0" w:space="0" w:color="auto"/>
            <w:right w:val="none" w:sz="0" w:space="0" w:color="auto"/>
          </w:divBdr>
        </w:div>
        <w:div w:id="2024704237">
          <w:marLeft w:val="0"/>
          <w:marRight w:val="0"/>
          <w:marTop w:val="0"/>
          <w:marBottom w:val="0"/>
          <w:divBdr>
            <w:top w:val="none" w:sz="0" w:space="0" w:color="auto"/>
            <w:left w:val="none" w:sz="0" w:space="0" w:color="auto"/>
            <w:bottom w:val="none" w:sz="0" w:space="0" w:color="auto"/>
            <w:right w:val="none" w:sz="0" w:space="0" w:color="auto"/>
          </w:divBdr>
        </w:div>
        <w:div w:id="2024704238">
          <w:marLeft w:val="0"/>
          <w:marRight w:val="0"/>
          <w:marTop w:val="0"/>
          <w:marBottom w:val="0"/>
          <w:divBdr>
            <w:top w:val="none" w:sz="0" w:space="0" w:color="auto"/>
            <w:left w:val="none" w:sz="0" w:space="0" w:color="auto"/>
            <w:bottom w:val="none" w:sz="0" w:space="0" w:color="auto"/>
            <w:right w:val="none" w:sz="0" w:space="0" w:color="auto"/>
          </w:divBdr>
        </w:div>
        <w:div w:id="2024704240">
          <w:marLeft w:val="0"/>
          <w:marRight w:val="0"/>
          <w:marTop w:val="0"/>
          <w:marBottom w:val="0"/>
          <w:divBdr>
            <w:top w:val="none" w:sz="0" w:space="0" w:color="auto"/>
            <w:left w:val="none" w:sz="0" w:space="0" w:color="auto"/>
            <w:bottom w:val="none" w:sz="0" w:space="0" w:color="auto"/>
            <w:right w:val="none" w:sz="0" w:space="0" w:color="auto"/>
          </w:divBdr>
        </w:div>
        <w:div w:id="2024704241">
          <w:marLeft w:val="0"/>
          <w:marRight w:val="0"/>
          <w:marTop w:val="0"/>
          <w:marBottom w:val="0"/>
          <w:divBdr>
            <w:top w:val="none" w:sz="0" w:space="0" w:color="auto"/>
            <w:left w:val="none" w:sz="0" w:space="0" w:color="auto"/>
            <w:bottom w:val="none" w:sz="0" w:space="0" w:color="auto"/>
            <w:right w:val="none" w:sz="0" w:space="0" w:color="auto"/>
          </w:divBdr>
        </w:div>
        <w:div w:id="2024704242">
          <w:marLeft w:val="0"/>
          <w:marRight w:val="0"/>
          <w:marTop w:val="0"/>
          <w:marBottom w:val="0"/>
          <w:divBdr>
            <w:top w:val="none" w:sz="0" w:space="0" w:color="auto"/>
            <w:left w:val="none" w:sz="0" w:space="0" w:color="auto"/>
            <w:bottom w:val="none" w:sz="0" w:space="0" w:color="auto"/>
            <w:right w:val="none" w:sz="0" w:space="0" w:color="auto"/>
          </w:divBdr>
        </w:div>
        <w:div w:id="2024704243">
          <w:marLeft w:val="0"/>
          <w:marRight w:val="0"/>
          <w:marTop w:val="0"/>
          <w:marBottom w:val="0"/>
          <w:divBdr>
            <w:top w:val="none" w:sz="0" w:space="0" w:color="auto"/>
            <w:left w:val="none" w:sz="0" w:space="0" w:color="auto"/>
            <w:bottom w:val="none" w:sz="0" w:space="0" w:color="auto"/>
            <w:right w:val="none" w:sz="0" w:space="0" w:color="auto"/>
          </w:divBdr>
        </w:div>
        <w:div w:id="2024704244">
          <w:marLeft w:val="0"/>
          <w:marRight w:val="0"/>
          <w:marTop w:val="0"/>
          <w:marBottom w:val="0"/>
          <w:divBdr>
            <w:top w:val="none" w:sz="0" w:space="0" w:color="auto"/>
            <w:left w:val="none" w:sz="0" w:space="0" w:color="auto"/>
            <w:bottom w:val="none" w:sz="0" w:space="0" w:color="auto"/>
            <w:right w:val="none" w:sz="0" w:space="0" w:color="auto"/>
          </w:divBdr>
        </w:div>
        <w:div w:id="2024704245">
          <w:marLeft w:val="0"/>
          <w:marRight w:val="0"/>
          <w:marTop w:val="0"/>
          <w:marBottom w:val="0"/>
          <w:divBdr>
            <w:top w:val="none" w:sz="0" w:space="0" w:color="auto"/>
            <w:left w:val="none" w:sz="0" w:space="0" w:color="auto"/>
            <w:bottom w:val="none" w:sz="0" w:space="0" w:color="auto"/>
            <w:right w:val="none" w:sz="0" w:space="0" w:color="auto"/>
          </w:divBdr>
        </w:div>
        <w:div w:id="2024704246">
          <w:marLeft w:val="0"/>
          <w:marRight w:val="0"/>
          <w:marTop w:val="0"/>
          <w:marBottom w:val="0"/>
          <w:divBdr>
            <w:top w:val="none" w:sz="0" w:space="0" w:color="auto"/>
            <w:left w:val="none" w:sz="0" w:space="0" w:color="auto"/>
            <w:bottom w:val="none" w:sz="0" w:space="0" w:color="auto"/>
            <w:right w:val="none" w:sz="0" w:space="0" w:color="auto"/>
          </w:divBdr>
        </w:div>
        <w:div w:id="2024704247">
          <w:marLeft w:val="0"/>
          <w:marRight w:val="0"/>
          <w:marTop w:val="0"/>
          <w:marBottom w:val="0"/>
          <w:divBdr>
            <w:top w:val="none" w:sz="0" w:space="0" w:color="auto"/>
            <w:left w:val="none" w:sz="0" w:space="0" w:color="auto"/>
            <w:bottom w:val="none" w:sz="0" w:space="0" w:color="auto"/>
            <w:right w:val="none" w:sz="0" w:space="0" w:color="auto"/>
          </w:divBdr>
        </w:div>
        <w:div w:id="2024704248">
          <w:marLeft w:val="0"/>
          <w:marRight w:val="0"/>
          <w:marTop w:val="0"/>
          <w:marBottom w:val="0"/>
          <w:divBdr>
            <w:top w:val="none" w:sz="0" w:space="0" w:color="auto"/>
            <w:left w:val="none" w:sz="0" w:space="0" w:color="auto"/>
            <w:bottom w:val="none" w:sz="0" w:space="0" w:color="auto"/>
            <w:right w:val="none" w:sz="0" w:space="0" w:color="auto"/>
          </w:divBdr>
        </w:div>
        <w:div w:id="2024704249">
          <w:marLeft w:val="0"/>
          <w:marRight w:val="0"/>
          <w:marTop w:val="0"/>
          <w:marBottom w:val="0"/>
          <w:divBdr>
            <w:top w:val="none" w:sz="0" w:space="0" w:color="auto"/>
            <w:left w:val="none" w:sz="0" w:space="0" w:color="auto"/>
            <w:bottom w:val="none" w:sz="0" w:space="0" w:color="auto"/>
            <w:right w:val="none" w:sz="0" w:space="0" w:color="auto"/>
          </w:divBdr>
        </w:div>
        <w:div w:id="2024704250">
          <w:marLeft w:val="0"/>
          <w:marRight w:val="0"/>
          <w:marTop w:val="0"/>
          <w:marBottom w:val="0"/>
          <w:divBdr>
            <w:top w:val="none" w:sz="0" w:space="0" w:color="auto"/>
            <w:left w:val="none" w:sz="0" w:space="0" w:color="auto"/>
            <w:bottom w:val="none" w:sz="0" w:space="0" w:color="auto"/>
            <w:right w:val="none" w:sz="0" w:space="0" w:color="auto"/>
          </w:divBdr>
        </w:div>
        <w:div w:id="2024704251">
          <w:marLeft w:val="0"/>
          <w:marRight w:val="0"/>
          <w:marTop w:val="0"/>
          <w:marBottom w:val="0"/>
          <w:divBdr>
            <w:top w:val="none" w:sz="0" w:space="0" w:color="auto"/>
            <w:left w:val="none" w:sz="0" w:space="0" w:color="auto"/>
            <w:bottom w:val="none" w:sz="0" w:space="0" w:color="auto"/>
            <w:right w:val="none" w:sz="0" w:space="0" w:color="auto"/>
          </w:divBdr>
        </w:div>
        <w:div w:id="2024704252">
          <w:marLeft w:val="0"/>
          <w:marRight w:val="0"/>
          <w:marTop w:val="0"/>
          <w:marBottom w:val="0"/>
          <w:divBdr>
            <w:top w:val="none" w:sz="0" w:space="0" w:color="auto"/>
            <w:left w:val="none" w:sz="0" w:space="0" w:color="auto"/>
            <w:bottom w:val="none" w:sz="0" w:space="0" w:color="auto"/>
            <w:right w:val="none" w:sz="0" w:space="0" w:color="auto"/>
          </w:divBdr>
        </w:div>
        <w:div w:id="2024704254">
          <w:marLeft w:val="0"/>
          <w:marRight w:val="0"/>
          <w:marTop w:val="0"/>
          <w:marBottom w:val="0"/>
          <w:divBdr>
            <w:top w:val="none" w:sz="0" w:space="0" w:color="auto"/>
            <w:left w:val="none" w:sz="0" w:space="0" w:color="auto"/>
            <w:bottom w:val="none" w:sz="0" w:space="0" w:color="auto"/>
            <w:right w:val="none" w:sz="0" w:space="0" w:color="auto"/>
          </w:divBdr>
        </w:div>
        <w:div w:id="2024704255">
          <w:marLeft w:val="0"/>
          <w:marRight w:val="0"/>
          <w:marTop w:val="0"/>
          <w:marBottom w:val="0"/>
          <w:divBdr>
            <w:top w:val="none" w:sz="0" w:space="0" w:color="auto"/>
            <w:left w:val="none" w:sz="0" w:space="0" w:color="auto"/>
            <w:bottom w:val="none" w:sz="0" w:space="0" w:color="auto"/>
            <w:right w:val="none" w:sz="0" w:space="0" w:color="auto"/>
          </w:divBdr>
        </w:div>
        <w:div w:id="2024704256">
          <w:marLeft w:val="0"/>
          <w:marRight w:val="0"/>
          <w:marTop w:val="0"/>
          <w:marBottom w:val="0"/>
          <w:divBdr>
            <w:top w:val="none" w:sz="0" w:space="0" w:color="auto"/>
            <w:left w:val="none" w:sz="0" w:space="0" w:color="auto"/>
            <w:bottom w:val="none" w:sz="0" w:space="0" w:color="auto"/>
            <w:right w:val="none" w:sz="0" w:space="0" w:color="auto"/>
          </w:divBdr>
        </w:div>
        <w:div w:id="2024704258">
          <w:marLeft w:val="0"/>
          <w:marRight w:val="0"/>
          <w:marTop w:val="0"/>
          <w:marBottom w:val="0"/>
          <w:divBdr>
            <w:top w:val="none" w:sz="0" w:space="0" w:color="auto"/>
            <w:left w:val="none" w:sz="0" w:space="0" w:color="auto"/>
            <w:bottom w:val="none" w:sz="0" w:space="0" w:color="auto"/>
            <w:right w:val="none" w:sz="0" w:space="0" w:color="auto"/>
          </w:divBdr>
        </w:div>
        <w:div w:id="2024704259">
          <w:marLeft w:val="0"/>
          <w:marRight w:val="0"/>
          <w:marTop w:val="0"/>
          <w:marBottom w:val="0"/>
          <w:divBdr>
            <w:top w:val="none" w:sz="0" w:space="0" w:color="auto"/>
            <w:left w:val="none" w:sz="0" w:space="0" w:color="auto"/>
            <w:bottom w:val="none" w:sz="0" w:space="0" w:color="auto"/>
            <w:right w:val="none" w:sz="0" w:space="0" w:color="auto"/>
          </w:divBdr>
        </w:div>
        <w:div w:id="2024704260">
          <w:marLeft w:val="0"/>
          <w:marRight w:val="0"/>
          <w:marTop w:val="0"/>
          <w:marBottom w:val="0"/>
          <w:divBdr>
            <w:top w:val="none" w:sz="0" w:space="0" w:color="auto"/>
            <w:left w:val="none" w:sz="0" w:space="0" w:color="auto"/>
            <w:bottom w:val="none" w:sz="0" w:space="0" w:color="auto"/>
            <w:right w:val="none" w:sz="0" w:space="0" w:color="auto"/>
          </w:divBdr>
        </w:div>
        <w:div w:id="2024704261">
          <w:marLeft w:val="0"/>
          <w:marRight w:val="0"/>
          <w:marTop w:val="0"/>
          <w:marBottom w:val="0"/>
          <w:divBdr>
            <w:top w:val="none" w:sz="0" w:space="0" w:color="auto"/>
            <w:left w:val="none" w:sz="0" w:space="0" w:color="auto"/>
            <w:bottom w:val="none" w:sz="0" w:space="0" w:color="auto"/>
            <w:right w:val="none" w:sz="0" w:space="0" w:color="auto"/>
          </w:divBdr>
        </w:div>
        <w:div w:id="2024704262">
          <w:marLeft w:val="0"/>
          <w:marRight w:val="0"/>
          <w:marTop w:val="0"/>
          <w:marBottom w:val="0"/>
          <w:divBdr>
            <w:top w:val="none" w:sz="0" w:space="0" w:color="auto"/>
            <w:left w:val="none" w:sz="0" w:space="0" w:color="auto"/>
            <w:bottom w:val="none" w:sz="0" w:space="0" w:color="auto"/>
            <w:right w:val="none" w:sz="0" w:space="0" w:color="auto"/>
          </w:divBdr>
        </w:div>
        <w:div w:id="2024704263">
          <w:marLeft w:val="0"/>
          <w:marRight w:val="0"/>
          <w:marTop w:val="0"/>
          <w:marBottom w:val="0"/>
          <w:divBdr>
            <w:top w:val="none" w:sz="0" w:space="0" w:color="auto"/>
            <w:left w:val="none" w:sz="0" w:space="0" w:color="auto"/>
            <w:bottom w:val="none" w:sz="0" w:space="0" w:color="auto"/>
            <w:right w:val="none" w:sz="0" w:space="0" w:color="auto"/>
          </w:divBdr>
        </w:div>
        <w:div w:id="2024704264">
          <w:marLeft w:val="0"/>
          <w:marRight w:val="0"/>
          <w:marTop w:val="0"/>
          <w:marBottom w:val="0"/>
          <w:divBdr>
            <w:top w:val="none" w:sz="0" w:space="0" w:color="auto"/>
            <w:left w:val="none" w:sz="0" w:space="0" w:color="auto"/>
            <w:bottom w:val="none" w:sz="0" w:space="0" w:color="auto"/>
            <w:right w:val="none" w:sz="0" w:space="0" w:color="auto"/>
          </w:divBdr>
        </w:div>
        <w:div w:id="2024704266">
          <w:marLeft w:val="0"/>
          <w:marRight w:val="0"/>
          <w:marTop w:val="0"/>
          <w:marBottom w:val="0"/>
          <w:divBdr>
            <w:top w:val="none" w:sz="0" w:space="0" w:color="auto"/>
            <w:left w:val="none" w:sz="0" w:space="0" w:color="auto"/>
            <w:bottom w:val="none" w:sz="0" w:space="0" w:color="auto"/>
            <w:right w:val="none" w:sz="0" w:space="0" w:color="auto"/>
          </w:divBdr>
        </w:div>
        <w:div w:id="2024704267">
          <w:marLeft w:val="0"/>
          <w:marRight w:val="0"/>
          <w:marTop w:val="0"/>
          <w:marBottom w:val="0"/>
          <w:divBdr>
            <w:top w:val="none" w:sz="0" w:space="0" w:color="auto"/>
            <w:left w:val="none" w:sz="0" w:space="0" w:color="auto"/>
            <w:bottom w:val="none" w:sz="0" w:space="0" w:color="auto"/>
            <w:right w:val="none" w:sz="0" w:space="0" w:color="auto"/>
          </w:divBdr>
        </w:div>
        <w:div w:id="2024704268">
          <w:marLeft w:val="0"/>
          <w:marRight w:val="0"/>
          <w:marTop w:val="0"/>
          <w:marBottom w:val="0"/>
          <w:divBdr>
            <w:top w:val="none" w:sz="0" w:space="0" w:color="auto"/>
            <w:left w:val="none" w:sz="0" w:space="0" w:color="auto"/>
            <w:bottom w:val="none" w:sz="0" w:space="0" w:color="auto"/>
            <w:right w:val="none" w:sz="0" w:space="0" w:color="auto"/>
          </w:divBdr>
        </w:div>
        <w:div w:id="2024704269">
          <w:marLeft w:val="0"/>
          <w:marRight w:val="0"/>
          <w:marTop w:val="0"/>
          <w:marBottom w:val="0"/>
          <w:divBdr>
            <w:top w:val="none" w:sz="0" w:space="0" w:color="auto"/>
            <w:left w:val="none" w:sz="0" w:space="0" w:color="auto"/>
            <w:bottom w:val="none" w:sz="0" w:space="0" w:color="auto"/>
            <w:right w:val="none" w:sz="0" w:space="0" w:color="auto"/>
          </w:divBdr>
        </w:div>
        <w:div w:id="2024704270">
          <w:marLeft w:val="0"/>
          <w:marRight w:val="0"/>
          <w:marTop w:val="0"/>
          <w:marBottom w:val="0"/>
          <w:divBdr>
            <w:top w:val="none" w:sz="0" w:space="0" w:color="auto"/>
            <w:left w:val="none" w:sz="0" w:space="0" w:color="auto"/>
            <w:bottom w:val="none" w:sz="0" w:space="0" w:color="auto"/>
            <w:right w:val="none" w:sz="0" w:space="0" w:color="auto"/>
          </w:divBdr>
        </w:div>
        <w:div w:id="2024704271">
          <w:marLeft w:val="0"/>
          <w:marRight w:val="0"/>
          <w:marTop w:val="0"/>
          <w:marBottom w:val="0"/>
          <w:divBdr>
            <w:top w:val="none" w:sz="0" w:space="0" w:color="auto"/>
            <w:left w:val="none" w:sz="0" w:space="0" w:color="auto"/>
            <w:bottom w:val="none" w:sz="0" w:space="0" w:color="auto"/>
            <w:right w:val="none" w:sz="0" w:space="0" w:color="auto"/>
          </w:divBdr>
        </w:div>
        <w:div w:id="2024704272">
          <w:marLeft w:val="0"/>
          <w:marRight w:val="0"/>
          <w:marTop w:val="0"/>
          <w:marBottom w:val="0"/>
          <w:divBdr>
            <w:top w:val="none" w:sz="0" w:space="0" w:color="auto"/>
            <w:left w:val="none" w:sz="0" w:space="0" w:color="auto"/>
            <w:bottom w:val="none" w:sz="0" w:space="0" w:color="auto"/>
            <w:right w:val="none" w:sz="0" w:space="0" w:color="auto"/>
          </w:divBdr>
        </w:div>
        <w:div w:id="2024704273">
          <w:marLeft w:val="0"/>
          <w:marRight w:val="0"/>
          <w:marTop w:val="0"/>
          <w:marBottom w:val="0"/>
          <w:divBdr>
            <w:top w:val="none" w:sz="0" w:space="0" w:color="auto"/>
            <w:left w:val="none" w:sz="0" w:space="0" w:color="auto"/>
            <w:bottom w:val="none" w:sz="0" w:space="0" w:color="auto"/>
            <w:right w:val="none" w:sz="0" w:space="0" w:color="auto"/>
          </w:divBdr>
        </w:div>
        <w:div w:id="2024704274">
          <w:marLeft w:val="0"/>
          <w:marRight w:val="0"/>
          <w:marTop w:val="0"/>
          <w:marBottom w:val="0"/>
          <w:divBdr>
            <w:top w:val="none" w:sz="0" w:space="0" w:color="auto"/>
            <w:left w:val="none" w:sz="0" w:space="0" w:color="auto"/>
            <w:bottom w:val="none" w:sz="0" w:space="0" w:color="auto"/>
            <w:right w:val="none" w:sz="0" w:space="0" w:color="auto"/>
          </w:divBdr>
        </w:div>
        <w:div w:id="2024704275">
          <w:marLeft w:val="0"/>
          <w:marRight w:val="0"/>
          <w:marTop w:val="0"/>
          <w:marBottom w:val="0"/>
          <w:divBdr>
            <w:top w:val="none" w:sz="0" w:space="0" w:color="auto"/>
            <w:left w:val="none" w:sz="0" w:space="0" w:color="auto"/>
            <w:bottom w:val="none" w:sz="0" w:space="0" w:color="auto"/>
            <w:right w:val="none" w:sz="0" w:space="0" w:color="auto"/>
          </w:divBdr>
        </w:div>
        <w:div w:id="2024704277">
          <w:marLeft w:val="0"/>
          <w:marRight w:val="0"/>
          <w:marTop w:val="0"/>
          <w:marBottom w:val="0"/>
          <w:divBdr>
            <w:top w:val="none" w:sz="0" w:space="0" w:color="auto"/>
            <w:left w:val="none" w:sz="0" w:space="0" w:color="auto"/>
            <w:bottom w:val="none" w:sz="0" w:space="0" w:color="auto"/>
            <w:right w:val="none" w:sz="0" w:space="0" w:color="auto"/>
          </w:divBdr>
        </w:div>
        <w:div w:id="2024704278">
          <w:marLeft w:val="0"/>
          <w:marRight w:val="0"/>
          <w:marTop w:val="0"/>
          <w:marBottom w:val="0"/>
          <w:divBdr>
            <w:top w:val="none" w:sz="0" w:space="0" w:color="auto"/>
            <w:left w:val="none" w:sz="0" w:space="0" w:color="auto"/>
            <w:bottom w:val="none" w:sz="0" w:space="0" w:color="auto"/>
            <w:right w:val="none" w:sz="0" w:space="0" w:color="auto"/>
          </w:divBdr>
        </w:div>
        <w:div w:id="2024704279">
          <w:marLeft w:val="0"/>
          <w:marRight w:val="0"/>
          <w:marTop w:val="0"/>
          <w:marBottom w:val="0"/>
          <w:divBdr>
            <w:top w:val="none" w:sz="0" w:space="0" w:color="auto"/>
            <w:left w:val="none" w:sz="0" w:space="0" w:color="auto"/>
            <w:bottom w:val="none" w:sz="0" w:space="0" w:color="auto"/>
            <w:right w:val="none" w:sz="0" w:space="0" w:color="auto"/>
          </w:divBdr>
        </w:div>
        <w:div w:id="2024704280">
          <w:marLeft w:val="0"/>
          <w:marRight w:val="0"/>
          <w:marTop w:val="0"/>
          <w:marBottom w:val="0"/>
          <w:divBdr>
            <w:top w:val="none" w:sz="0" w:space="0" w:color="auto"/>
            <w:left w:val="none" w:sz="0" w:space="0" w:color="auto"/>
            <w:bottom w:val="none" w:sz="0" w:space="0" w:color="auto"/>
            <w:right w:val="none" w:sz="0" w:space="0" w:color="auto"/>
          </w:divBdr>
        </w:div>
        <w:div w:id="2024704281">
          <w:marLeft w:val="0"/>
          <w:marRight w:val="0"/>
          <w:marTop w:val="0"/>
          <w:marBottom w:val="0"/>
          <w:divBdr>
            <w:top w:val="none" w:sz="0" w:space="0" w:color="auto"/>
            <w:left w:val="none" w:sz="0" w:space="0" w:color="auto"/>
            <w:bottom w:val="none" w:sz="0" w:space="0" w:color="auto"/>
            <w:right w:val="none" w:sz="0" w:space="0" w:color="auto"/>
          </w:divBdr>
        </w:div>
        <w:div w:id="2024704282">
          <w:marLeft w:val="0"/>
          <w:marRight w:val="0"/>
          <w:marTop w:val="0"/>
          <w:marBottom w:val="0"/>
          <w:divBdr>
            <w:top w:val="none" w:sz="0" w:space="0" w:color="auto"/>
            <w:left w:val="none" w:sz="0" w:space="0" w:color="auto"/>
            <w:bottom w:val="none" w:sz="0" w:space="0" w:color="auto"/>
            <w:right w:val="none" w:sz="0" w:space="0" w:color="auto"/>
          </w:divBdr>
        </w:div>
        <w:div w:id="2024704283">
          <w:marLeft w:val="0"/>
          <w:marRight w:val="0"/>
          <w:marTop w:val="0"/>
          <w:marBottom w:val="0"/>
          <w:divBdr>
            <w:top w:val="none" w:sz="0" w:space="0" w:color="auto"/>
            <w:left w:val="none" w:sz="0" w:space="0" w:color="auto"/>
            <w:bottom w:val="none" w:sz="0" w:space="0" w:color="auto"/>
            <w:right w:val="none" w:sz="0" w:space="0" w:color="auto"/>
          </w:divBdr>
        </w:div>
        <w:div w:id="2024704284">
          <w:marLeft w:val="0"/>
          <w:marRight w:val="0"/>
          <w:marTop w:val="0"/>
          <w:marBottom w:val="0"/>
          <w:divBdr>
            <w:top w:val="none" w:sz="0" w:space="0" w:color="auto"/>
            <w:left w:val="none" w:sz="0" w:space="0" w:color="auto"/>
            <w:bottom w:val="none" w:sz="0" w:space="0" w:color="auto"/>
            <w:right w:val="none" w:sz="0" w:space="0" w:color="auto"/>
          </w:divBdr>
        </w:div>
        <w:div w:id="2024704285">
          <w:marLeft w:val="0"/>
          <w:marRight w:val="0"/>
          <w:marTop w:val="0"/>
          <w:marBottom w:val="0"/>
          <w:divBdr>
            <w:top w:val="none" w:sz="0" w:space="0" w:color="auto"/>
            <w:left w:val="none" w:sz="0" w:space="0" w:color="auto"/>
            <w:bottom w:val="none" w:sz="0" w:space="0" w:color="auto"/>
            <w:right w:val="none" w:sz="0" w:space="0" w:color="auto"/>
          </w:divBdr>
        </w:div>
        <w:div w:id="2024704286">
          <w:marLeft w:val="0"/>
          <w:marRight w:val="0"/>
          <w:marTop w:val="0"/>
          <w:marBottom w:val="0"/>
          <w:divBdr>
            <w:top w:val="none" w:sz="0" w:space="0" w:color="auto"/>
            <w:left w:val="none" w:sz="0" w:space="0" w:color="auto"/>
            <w:bottom w:val="none" w:sz="0" w:space="0" w:color="auto"/>
            <w:right w:val="none" w:sz="0" w:space="0" w:color="auto"/>
          </w:divBdr>
        </w:div>
        <w:div w:id="2024704287">
          <w:marLeft w:val="0"/>
          <w:marRight w:val="0"/>
          <w:marTop w:val="0"/>
          <w:marBottom w:val="0"/>
          <w:divBdr>
            <w:top w:val="none" w:sz="0" w:space="0" w:color="auto"/>
            <w:left w:val="none" w:sz="0" w:space="0" w:color="auto"/>
            <w:bottom w:val="none" w:sz="0" w:space="0" w:color="auto"/>
            <w:right w:val="none" w:sz="0" w:space="0" w:color="auto"/>
          </w:divBdr>
        </w:div>
        <w:div w:id="2024704288">
          <w:marLeft w:val="0"/>
          <w:marRight w:val="0"/>
          <w:marTop w:val="0"/>
          <w:marBottom w:val="0"/>
          <w:divBdr>
            <w:top w:val="none" w:sz="0" w:space="0" w:color="auto"/>
            <w:left w:val="none" w:sz="0" w:space="0" w:color="auto"/>
            <w:bottom w:val="none" w:sz="0" w:space="0" w:color="auto"/>
            <w:right w:val="none" w:sz="0" w:space="0" w:color="auto"/>
          </w:divBdr>
        </w:div>
        <w:div w:id="2024704289">
          <w:marLeft w:val="0"/>
          <w:marRight w:val="0"/>
          <w:marTop w:val="0"/>
          <w:marBottom w:val="0"/>
          <w:divBdr>
            <w:top w:val="none" w:sz="0" w:space="0" w:color="auto"/>
            <w:left w:val="none" w:sz="0" w:space="0" w:color="auto"/>
            <w:bottom w:val="none" w:sz="0" w:space="0" w:color="auto"/>
            <w:right w:val="none" w:sz="0" w:space="0" w:color="auto"/>
          </w:divBdr>
        </w:div>
        <w:div w:id="2024704290">
          <w:marLeft w:val="0"/>
          <w:marRight w:val="0"/>
          <w:marTop w:val="0"/>
          <w:marBottom w:val="0"/>
          <w:divBdr>
            <w:top w:val="none" w:sz="0" w:space="0" w:color="auto"/>
            <w:left w:val="none" w:sz="0" w:space="0" w:color="auto"/>
            <w:bottom w:val="none" w:sz="0" w:space="0" w:color="auto"/>
            <w:right w:val="none" w:sz="0" w:space="0" w:color="auto"/>
          </w:divBdr>
        </w:div>
        <w:div w:id="2024704291">
          <w:marLeft w:val="0"/>
          <w:marRight w:val="0"/>
          <w:marTop w:val="0"/>
          <w:marBottom w:val="0"/>
          <w:divBdr>
            <w:top w:val="none" w:sz="0" w:space="0" w:color="auto"/>
            <w:left w:val="none" w:sz="0" w:space="0" w:color="auto"/>
            <w:bottom w:val="none" w:sz="0" w:space="0" w:color="auto"/>
            <w:right w:val="none" w:sz="0" w:space="0" w:color="auto"/>
          </w:divBdr>
        </w:div>
        <w:div w:id="2024704292">
          <w:marLeft w:val="0"/>
          <w:marRight w:val="0"/>
          <w:marTop w:val="0"/>
          <w:marBottom w:val="0"/>
          <w:divBdr>
            <w:top w:val="none" w:sz="0" w:space="0" w:color="auto"/>
            <w:left w:val="none" w:sz="0" w:space="0" w:color="auto"/>
            <w:bottom w:val="none" w:sz="0" w:space="0" w:color="auto"/>
            <w:right w:val="none" w:sz="0" w:space="0" w:color="auto"/>
          </w:divBdr>
        </w:div>
        <w:div w:id="2024704293">
          <w:marLeft w:val="0"/>
          <w:marRight w:val="0"/>
          <w:marTop w:val="0"/>
          <w:marBottom w:val="0"/>
          <w:divBdr>
            <w:top w:val="none" w:sz="0" w:space="0" w:color="auto"/>
            <w:left w:val="none" w:sz="0" w:space="0" w:color="auto"/>
            <w:bottom w:val="none" w:sz="0" w:space="0" w:color="auto"/>
            <w:right w:val="none" w:sz="0" w:space="0" w:color="auto"/>
          </w:divBdr>
        </w:div>
        <w:div w:id="2024704294">
          <w:marLeft w:val="0"/>
          <w:marRight w:val="0"/>
          <w:marTop w:val="0"/>
          <w:marBottom w:val="0"/>
          <w:divBdr>
            <w:top w:val="none" w:sz="0" w:space="0" w:color="auto"/>
            <w:left w:val="none" w:sz="0" w:space="0" w:color="auto"/>
            <w:bottom w:val="none" w:sz="0" w:space="0" w:color="auto"/>
            <w:right w:val="none" w:sz="0" w:space="0" w:color="auto"/>
          </w:divBdr>
        </w:div>
        <w:div w:id="2024704295">
          <w:marLeft w:val="0"/>
          <w:marRight w:val="0"/>
          <w:marTop w:val="0"/>
          <w:marBottom w:val="0"/>
          <w:divBdr>
            <w:top w:val="none" w:sz="0" w:space="0" w:color="auto"/>
            <w:left w:val="none" w:sz="0" w:space="0" w:color="auto"/>
            <w:bottom w:val="none" w:sz="0" w:space="0" w:color="auto"/>
            <w:right w:val="none" w:sz="0" w:space="0" w:color="auto"/>
          </w:divBdr>
        </w:div>
        <w:div w:id="2024704296">
          <w:marLeft w:val="0"/>
          <w:marRight w:val="0"/>
          <w:marTop w:val="0"/>
          <w:marBottom w:val="0"/>
          <w:divBdr>
            <w:top w:val="none" w:sz="0" w:space="0" w:color="auto"/>
            <w:left w:val="none" w:sz="0" w:space="0" w:color="auto"/>
            <w:bottom w:val="none" w:sz="0" w:space="0" w:color="auto"/>
            <w:right w:val="none" w:sz="0" w:space="0" w:color="auto"/>
          </w:divBdr>
        </w:div>
        <w:div w:id="2024704297">
          <w:marLeft w:val="0"/>
          <w:marRight w:val="0"/>
          <w:marTop w:val="0"/>
          <w:marBottom w:val="0"/>
          <w:divBdr>
            <w:top w:val="none" w:sz="0" w:space="0" w:color="auto"/>
            <w:left w:val="none" w:sz="0" w:space="0" w:color="auto"/>
            <w:bottom w:val="none" w:sz="0" w:space="0" w:color="auto"/>
            <w:right w:val="none" w:sz="0" w:space="0" w:color="auto"/>
          </w:divBdr>
        </w:div>
        <w:div w:id="2024704298">
          <w:marLeft w:val="0"/>
          <w:marRight w:val="0"/>
          <w:marTop w:val="0"/>
          <w:marBottom w:val="0"/>
          <w:divBdr>
            <w:top w:val="none" w:sz="0" w:space="0" w:color="auto"/>
            <w:left w:val="none" w:sz="0" w:space="0" w:color="auto"/>
            <w:bottom w:val="none" w:sz="0" w:space="0" w:color="auto"/>
            <w:right w:val="none" w:sz="0" w:space="0" w:color="auto"/>
          </w:divBdr>
        </w:div>
        <w:div w:id="2024704299">
          <w:marLeft w:val="0"/>
          <w:marRight w:val="0"/>
          <w:marTop w:val="0"/>
          <w:marBottom w:val="0"/>
          <w:divBdr>
            <w:top w:val="none" w:sz="0" w:space="0" w:color="auto"/>
            <w:left w:val="none" w:sz="0" w:space="0" w:color="auto"/>
            <w:bottom w:val="none" w:sz="0" w:space="0" w:color="auto"/>
            <w:right w:val="none" w:sz="0" w:space="0" w:color="auto"/>
          </w:divBdr>
        </w:div>
        <w:div w:id="2024704300">
          <w:marLeft w:val="0"/>
          <w:marRight w:val="0"/>
          <w:marTop w:val="0"/>
          <w:marBottom w:val="0"/>
          <w:divBdr>
            <w:top w:val="none" w:sz="0" w:space="0" w:color="auto"/>
            <w:left w:val="none" w:sz="0" w:space="0" w:color="auto"/>
            <w:bottom w:val="none" w:sz="0" w:space="0" w:color="auto"/>
            <w:right w:val="none" w:sz="0" w:space="0" w:color="auto"/>
          </w:divBdr>
        </w:div>
        <w:div w:id="2024704301">
          <w:marLeft w:val="0"/>
          <w:marRight w:val="0"/>
          <w:marTop w:val="0"/>
          <w:marBottom w:val="0"/>
          <w:divBdr>
            <w:top w:val="none" w:sz="0" w:space="0" w:color="auto"/>
            <w:left w:val="none" w:sz="0" w:space="0" w:color="auto"/>
            <w:bottom w:val="none" w:sz="0" w:space="0" w:color="auto"/>
            <w:right w:val="none" w:sz="0" w:space="0" w:color="auto"/>
          </w:divBdr>
        </w:div>
        <w:div w:id="2024704302">
          <w:marLeft w:val="0"/>
          <w:marRight w:val="0"/>
          <w:marTop w:val="0"/>
          <w:marBottom w:val="0"/>
          <w:divBdr>
            <w:top w:val="none" w:sz="0" w:space="0" w:color="auto"/>
            <w:left w:val="none" w:sz="0" w:space="0" w:color="auto"/>
            <w:bottom w:val="none" w:sz="0" w:space="0" w:color="auto"/>
            <w:right w:val="none" w:sz="0" w:space="0" w:color="auto"/>
          </w:divBdr>
        </w:div>
        <w:div w:id="2024704303">
          <w:marLeft w:val="0"/>
          <w:marRight w:val="0"/>
          <w:marTop w:val="0"/>
          <w:marBottom w:val="0"/>
          <w:divBdr>
            <w:top w:val="none" w:sz="0" w:space="0" w:color="auto"/>
            <w:left w:val="none" w:sz="0" w:space="0" w:color="auto"/>
            <w:bottom w:val="none" w:sz="0" w:space="0" w:color="auto"/>
            <w:right w:val="none" w:sz="0" w:space="0" w:color="auto"/>
          </w:divBdr>
        </w:div>
        <w:div w:id="2024704304">
          <w:marLeft w:val="0"/>
          <w:marRight w:val="0"/>
          <w:marTop w:val="0"/>
          <w:marBottom w:val="0"/>
          <w:divBdr>
            <w:top w:val="none" w:sz="0" w:space="0" w:color="auto"/>
            <w:left w:val="none" w:sz="0" w:space="0" w:color="auto"/>
            <w:bottom w:val="none" w:sz="0" w:space="0" w:color="auto"/>
            <w:right w:val="none" w:sz="0" w:space="0" w:color="auto"/>
          </w:divBdr>
        </w:div>
        <w:div w:id="2024704305">
          <w:marLeft w:val="0"/>
          <w:marRight w:val="0"/>
          <w:marTop w:val="0"/>
          <w:marBottom w:val="0"/>
          <w:divBdr>
            <w:top w:val="none" w:sz="0" w:space="0" w:color="auto"/>
            <w:left w:val="none" w:sz="0" w:space="0" w:color="auto"/>
            <w:bottom w:val="none" w:sz="0" w:space="0" w:color="auto"/>
            <w:right w:val="none" w:sz="0" w:space="0" w:color="auto"/>
          </w:divBdr>
        </w:div>
        <w:div w:id="2024704306">
          <w:marLeft w:val="0"/>
          <w:marRight w:val="0"/>
          <w:marTop w:val="0"/>
          <w:marBottom w:val="0"/>
          <w:divBdr>
            <w:top w:val="none" w:sz="0" w:space="0" w:color="auto"/>
            <w:left w:val="none" w:sz="0" w:space="0" w:color="auto"/>
            <w:bottom w:val="none" w:sz="0" w:space="0" w:color="auto"/>
            <w:right w:val="none" w:sz="0" w:space="0" w:color="auto"/>
          </w:divBdr>
        </w:div>
        <w:div w:id="2024704307">
          <w:marLeft w:val="0"/>
          <w:marRight w:val="0"/>
          <w:marTop w:val="0"/>
          <w:marBottom w:val="0"/>
          <w:divBdr>
            <w:top w:val="none" w:sz="0" w:space="0" w:color="auto"/>
            <w:left w:val="none" w:sz="0" w:space="0" w:color="auto"/>
            <w:bottom w:val="none" w:sz="0" w:space="0" w:color="auto"/>
            <w:right w:val="none" w:sz="0" w:space="0" w:color="auto"/>
          </w:divBdr>
        </w:div>
        <w:div w:id="2024704308">
          <w:marLeft w:val="0"/>
          <w:marRight w:val="0"/>
          <w:marTop w:val="0"/>
          <w:marBottom w:val="0"/>
          <w:divBdr>
            <w:top w:val="none" w:sz="0" w:space="0" w:color="auto"/>
            <w:left w:val="none" w:sz="0" w:space="0" w:color="auto"/>
            <w:bottom w:val="none" w:sz="0" w:space="0" w:color="auto"/>
            <w:right w:val="none" w:sz="0" w:space="0" w:color="auto"/>
          </w:divBdr>
        </w:div>
        <w:div w:id="2024704309">
          <w:marLeft w:val="0"/>
          <w:marRight w:val="0"/>
          <w:marTop w:val="0"/>
          <w:marBottom w:val="0"/>
          <w:divBdr>
            <w:top w:val="none" w:sz="0" w:space="0" w:color="auto"/>
            <w:left w:val="none" w:sz="0" w:space="0" w:color="auto"/>
            <w:bottom w:val="none" w:sz="0" w:space="0" w:color="auto"/>
            <w:right w:val="none" w:sz="0" w:space="0" w:color="auto"/>
          </w:divBdr>
        </w:div>
        <w:div w:id="2024704311">
          <w:marLeft w:val="0"/>
          <w:marRight w:val="0"/>
          <w:marTop w:val="0"/>
          <w:marBottom w:val="0"/>
          <w:divBdr>
            <w:top w:val="none" w:sz="0" w:space="0" w:color="auto"/>
            <w:left w:val="none" w:sz="0" w:space="0" w:color="auto"/>
            <w:bottom w:val="none" w:sz="0" w:space="0" w:color="auto"/>
            <w:right w:val="none" w:sz="0" w:space="0" w:color="auto"/>
          </w:divBdr>
        </w:div>
        <w:div w:id="2024704312">
          <w:marLeft w:val="0"/>
          <w:marRight w:val="0"/>
          <w:marTop w:val="0"/>
          <w:marBottom w:val="0"/>
          <w:divBdr>
            <w:top w:val="none" w:sz="0" w:space="0" w:color="auto"/>
            <w:left w:val="none" w:sz="0" w:space="0" w:color="auto"/>
            <w:bottom w:val="none" w:sz="0" w:space="0" w:color="auto"/>
            <w:right w:val="none" w:sz="0" w:space="0" w:color="auto"/>
          </w:divBdr>
        </w:div>
        <w:div w:id="2024704313">
          <w:marLeft w:val="0"/>
          <w:marRight w:val="0"/>
          <w:marTop w:val="0"/>
          <w:marBottom w:val="0"/>
          <w:divBdr>
            <w:top w:val="none" w:sz="0" w:space="0" w:color="auto"/>
            <w:left w:val="none" w:sz="0" w:space="0" w:color="auto"/>
            <w:bottom w:val="none" w:sz="0" w:space="0" w:color="auto"/>
            <w:right w:val="none" w:sz="0" w:space="0" w:color="auto"/>
          </w:divBdr>
        </w:div>
        <w:div w:id="2024704314">
          <w:marLeft w:val="0"/>
          <w:marRight w:val="0"/>
          <w:marTop w:val="0"/>
          <w:marBottom w:val="0"/>
          <w:divBdr>
            <w:top w:val="none" w:sz="0" w:space="0" w:color="auto"/>
            <w:left w:val="none" w:sz="0" w:space="0" w:color="auto"/>
            <w:bottom w:val="none" w:sz="0" w:space="0" w:color="auto"/>
            <w:right w:val="none" w:sz="0" w:space="0" w:color="auto"/>
          </w:divBdr>
        </w:div>
        <w:div w:id="2024704315">
          <w:marLeft w:val="0"/>
          <w:marRight w:val="0"/>
          <w:marTop w:val="0"/>
          <w:marBottom w:val="0"/>
          <w:divBdr>
            <w:top w:val="none" w:sz="0" w:space="0" w:color="auto"/>
            <w:left w:val="none" w:sz="0" w:space="0" w:color="auto"/>
            <w:bottom w:val="none" w:sz="0" w:space="0" w:color="auto"/>
            <w:right w:val="none" w:sz="0" w:space="0" w:color="auto"/>
          </w:divBdr>
        </w:div>
        <w:div w:id="2024704316">
          <w:marLeft w:val="0"/>
          <w:marRight w:val="0"/>
          <w:marTop w:val="0"/>
          <w:marBottom w:val="0"/>
          <w:divBdr>
            <w:top w:val="none" w:sz="0" w:space="0" w:color="auto"/>
            <w:left w:val="none" w:sz="0" w:space="0" w:color="auto"/>
            <w:bottom w:val="none" w:sz="0" w:space="0" w:color="auto"/>
            <w:right w:val="none" w:sz="0" w:space="0" w:color="auto"/>
          </w:divBdr>
        </w:div>
        <w:div w:id="2024704317">
          <w:marLeft w:val="0"/>
          <w:marRight w:val="0"/>
          <w:marTop w:val="0"/>
          <w:marBottom w:val="0"/>
          <w:divBdr>
            <w:top w:val="none" w:sz="0" w:space="0" w:color="auto"/>
            <w:left w:val="none" w:sz="0" w:space="0" w:color="auto"/>
            <w:bottom w:val="none" w:sz="0" w:space="0" w:color="auto"/>
            <w:right w:val="none" w:sz="0" w:space="0" w:color="auto"/>
          </w:divBdr>
        </w:div>
        <w:div w:id="2024704318">
          <w:marLeft w:val="0"/>
          <w:marRight w:val="0"/>
          <w:marTop w:val="0"/>
          <w:marBottom w:val="0"/>
          <w:divBdr>
            <w:top w:val="none" w:sz="0" w:space="0" w:color="auto"/>
            <w:left w:val="none" w:sz="0" w:space="0" w:color="auto"/>
            <w:bottom w:val="none" w:sz="0" w:space="0" w:color="auto"/>
            <w:right w:val="none" w:sz="0" w:space="0" w:color="auto"/>
          </w:divBdr>
        </w:div>
        <w:div w:id="2024704319">
          <w:marLeft w:val="0"/>
          <w:marRight w:val="0"/>
          <w:marTop w:val="0"/>
          <w:marBottom w:val="0"/>
          <w:divBdr>
            <w:top w:val="none" w:sz="0" w:space="0" w:color="auto"/>
            <w:left w:val="none" w:sz="0" w:space="0" w:color="auto"/>
            <w:bottom w:val="none" w:sz="0" w:space="0" w:color="auto"/>
            <w:right w:val="none" w:sz="0" w:space="0" w:color="auto"/>
          </w:divBdr>
        </w:div>
        <w:div w:id="2024704321">
          <w:marLeft w:val="0"/>
          <w:marRight w:val="0"/>
          <w:marTop w:val="0"/>
          <w:marBottom w:val="0"/>
          <w:divBdr>
            <w:top w:val="none" w:sz="0" w:space="0" w:color="auto"/>
            <w:left w:val="none" w:sz="0" w:space="0" w:color="auto"/>
            <w:bottom w:val="none" w:sz="0" w:space="0" w:color="auto"/>
            <w:right w:val="none" w:sz="0" w:space="0" w:color="auto"/>
          </w:divBdr>
        </w:div>
        <w:div w:id="2024704322">
          <w:marLeft w:val="0"/>
          <w:marRight w:val="0"/>
          <w:marTop w:val="0"/>
          <w:marBottom w:val="0"/>
          <w:divBdr>
            <w:top w:val="none" w:sz="0" w:space="0" w:color="auto"/>
            <w:left w:val="none" w:sz="0" w:space="0" w:color="auto"/>
            <w:bottom w:val="none" w:sz="0" w:space="0" w:color="auto"/>
            <w:right w:val="none" w:sz="0" w:space="0" w:color="auto"/>
          </w:divBdr>
        </w:div>
        <w:div w:id="2024704323">
          <w:marLeft w:val="0"/>
          <w:marRight w:val="0"/>
          <w:marTop w:val="0"/>
          <w:marBottom w:val="0"/>
          <w:divBdr>
            <w:top w:val="none" w:sz="0" w:space="0" w:color="auto"/>
            <w:left w:val="none" w:sz="0" w:space="0" w:color="auto"/>
            <w:bottom w:val="none" w:sz="0" w:space="0" w:color="auto"/>
            <w:right w:val="none" w:sz="0" w:space="0" w:color="auto"/>
          </w:divBdr>
        </w:div>
        <w:div w:id="2024704324">
          <w:marLeft w:val="0"/>
          <w:marRight w:val="0"/>
          <w:marTop w:val="0"/>
          <w:marBottom w:val="0"/>
          <w:divBdr>
            <w:top w:val="none" w:sz="0" w:space="0" w:color="auto"/>
            <w:left w:val="none" w:sz="0" w:space="0" w:color="auto"/>
            <w:bottom w:val="none" w:sz="0" w:space="0" w:color="auto"/>
            <w:right w:val="none" w:sz="0" w:space="0" w:color="auto"/>
          </w:divBdr>
        </w:div>
        <w:div w:id="2024704325">
          <w:marLeft w:val="0"/>
          <w:marRight w:val="0"/>
          <w:marTop w:val="0"/>
          <w:marBottom w:val="0"/>
          <w:divBdr>
            <w:top w:val="none" w:sz="0" w:space="0" w:color="auto"/>
            <w:left w:val="none" w:sz="0" w:space="0" w:color="auto"/>
            <w:bottom w:val="none" w:sz="0" w:space="0" w:color="auto"/>
            <w:right w:val="none" w:sz="0" w:space="0" w:color="auto"/>
          </w:divBdr>
        </w:div>
        <w:div w:id="2024704326">
          <w:marLeft w:val="0"/>
          <w:marRight w:val="0"/>
          <w:marTop w:val="0"/>
          <w:marBottom w:val="0"/>
          <w:divBdr>
            <w:top w:val="none" w:sz="0" w:space="0" w:color="auto"/>
            <w:left w:val="none" w:sz="0" w:space="0" w:color="auto"/>
            <w:bottom w:val="none" w:sz="0" w:space="0" w:color="auto"/>
            <w:right w:val="none" w:sz="0" w:space="0" w:color="auto"/>
          </w:divBdr>
        </w:div>
        <w:div w:id="2024704327">
          <w:marLeft w:val="0"/>
          <w:marRight w:val="0"/>
          <w:marTop w:val="0"/>
          <w:marBottom w:val="0"/>
          <w:divBdr>
            <w:top w:val="none" w:sz="0" w:space="0" w:color="auto"/>
            <w:left w:val="none" w:sz="0" w:space="0" w:color="auto"/>
            <w:bottom w:val="none" w:sz="0" w:space="0" w:color="auto"/>
            <w:right w:val="none" w:sz="0" w:space="0" w:color="auto"/>
          </w:divBdr>
        </w:div>
        <w:div w:id="2024704328">
          <w:marLeft w:val="0"/>
          <w:marRight w:val="0"/>
          <w:marTop w:val="0"/>
          <w:marBottom w:val="0"/>
          <w:divBdr>
            <w:top w:val="none" w:sz="0" w:space="0" w:color="auto"/>
            <w:left w:val="none" w:sz="0" w:space="0" w:color="auto"/>
            <w:bottom w:val="none" w:sz="0" w:space="0" w:color="auto"/>
            <w:right w:val="none" w:sz="0" w:space="0" w:color="auto"/>
          </w:divBdr>
        </w:div>
        <w:div w:id="2024704329">
          <w:marLeft w:val="0"/>
          <w:marRight w:val="0"/>
          <w:marTop w:val="0"/>
          <w:marBottom w:val="0"/>
          <w:divBdr>
            <w:top w:val="none" w:sz="0" w:space="0" w:color="auto"/>
            <w:left w:val="none" w:sz="0" w:space="0" w:color="auto"/>
            <w:bottom w:val="none" w:sz="0" w:space="0" w:color="auto"/>
            <w:right w:val="none" w:sz="0" w:space="0" w:color="auto"/>
          </w:divBdr>
        </w:div>
        <w:div w:id="2024704330">
          <w:marLeft w:val="0"/>
          <w:marRight w:val="0"/>
          <w:marTop w:val="0"/>
          <w:marBottom w:val="0"/>
          <w:divBdr>
            <w:top w:val="none" w:sz="0" w:space="0" w:color="auto"/>
            <w:left w:val="none" w:sz="0" w:space="0" w:color="auto"/>
            <w:bottom w:val="none" w:sz="0" w:space="0" w:color="auto"/>
            <w:right w:val="none" w:sz="0" w:space="0" w:color="auto"/>
          </w:divBdr>
        </w:div>
        <w:div w:id="2024704331">
          <w:marLeft w:val="0"/>
          <w:marRight w:val="0"/>
          <w:marTop w:val="0"/>
          <w:marBottom w:val="0"/>
          <w:divBdr>
            <w:top w:val="none" w:sz="0" w:space="0" w:color="auto"/>
            <w:left w:val="none" w:sz="0" w:space="0" w:color="auto"/>
            <w:bottom w:val="none" w:sz="0" w:space="0" w:color="auto"/>
            <w:right w:val="none" w:sz="0" w:space="0" w:color="auto"/>
          </w:divBdr>
        </w:div>
        <w:div w:id="2024704332">
          <w:marLeft w:val="0"/>
          <w:marRight w:val="0"/>
          <w:marTop w:val="0"/>
          <w:marBottom w:val="0"/>
          <w:divBdr>
            <w:top w:val="none" w:sz="0" w:space="0" w:color="auto"/>
            <w:left w:val="none" w:sz="0" w:space="0" w:color="auto"/>
            <w:bottom w:val="none" w:sz="0" w:space="0" w:color="auto"/>
            <w:right w:val="none" w:sz="0" w:space="0" w:color="auto"/>
          </w:divBdr>
        </w:div>
        <w:div w:id="2024704333">
          <w:marLeft w:val="0"/>
          <w:marRight w:val="0"/>
          <w:marTop w:val="0"/>
          <w:marBottom w:val="0"/>
          <w:divBdr>
            <w:top w:val="none" w:sz="0" w:space="0" w:color="auto"/>
            <w:left w:val="none" w:sz="0" w:space="0" w:color="auto"/>
            <w:bottom w:val="none" w:sz="0" w:space="0" w:color="auto"/>
            <w:right w:val="none" w:sz="0" w:space="0" w:color="auto"/>
          </w:divBdr>
        </w:div>
        <w:div w:id="2024704334">
          <w:marLeft w:val="0"/>
          <w:marRight w:val="0"/>
          <w:marTop w:val="0"/>
          <w:marBottom w:val="0"/>
          <w:divBdr>
            <w:top w:val="none" w:sz="0" w:space="0" w:color="auto"/>
            <w:left w:val="none" w:sz="0" w:space="0" w:color="auto"/>
            <w:bottom w:val="none" w:sz="0" w:space="0" w:color="auto"/>
            <w:right w:val="none" w:sz="0" w:space="0" w:color="auto"/>
          </w:divBdr>
        </w:div>
        <w:div w:id="2024704335">
          <w:marLeft w:val="0"/>
          <w:marRight w:val="0"/>
          <w:marTop w:val="0"/>
          <w:marBottom w:val="0"/>
          <w:divBdr>
            <w:top w:val="none" w:sz="0" w:space="0" w:color="auto"/>
            <w:left w:val="none" w:sz="0" w:space="0" w:color="auto"/>
            <w:bottom w:val="none" w:sz="0" w:space="0" w:color="auto"/>
            <w:right w:val="none" w:sz="0" w:space="0" w:color="auto"/>
          </w:divBdr>
        </w:div>
        <w:div w:id="2024704336">
          <w:marLeft w:val="0"/>
          <w:marRight w:val="0"/>
          <w:marTop w:val="0"/>
          <w:marBottom w:val="0"/>
          <w:divBdr>
            <w:top w:val="none" w:sz="0" w:space="0" w:color="auto"/>
            <w:left w:val="none" w:sz="0" w:space="0" w:color="auto"/>
            <w:bottom w:val="none" w:sz="0" w:space="0" w:color="auto"/>
            <w:right w:val="none" w:sz="0" w:space="0" w:color="auto"/>
          </w:divBdr>
        </w:div>
        <w:div w:id="2024704337">
          <w:marLeft w:val="0"/>
          <w:marRight w:val="0"/>
          <w:marTop w:val="0"/>
          <w:marBottom w:val="0"/>
          <w:divBdr>
            <w:top w:val="none" w:sz="0" w:space="0" w:color="auto"/>
            <w:left w:val="none" w:sz="0" w:space="0" w:color="auto"/>
            <w:bottom w:val="none" w:sz="0" w:space="0" w:color="auto"/>
            <w:right w:val="none" w:sz="0" w:space="0" w:color="auto"/>
          </w:divBdr>
        </w:div>
        <w:div w:id="2024704338">
          <w:marLeft w:val="0"/>
          <w:marRight w:val="0"/>
          <w:marTop w:val="0"/>
          <w:marBottom w:val="0"/>
          <w:divBdr>
            <w:top w:val="none" w:sz="0" w:space="0" w:color="auto"/>
            <w:left w:val="none" w:sz="0" w:space="0" w:color="auto"/>
            <w:bottom w:val="none" w:sz="0" w:space="0" w:color="auto"/>
            <w:right w:val="none" w:sz="0" w:space="0" w:color="auto"/>
          </w:divBdr>
        </w:div>
        <w:div w:id="2024704339">
          <w:marLeft w:val="0"/>
          <w:marRight w:val="0"/>
          <w:marTop w:val="0"/>
          <w:marBottom w:val="0"/>
          <w:divBdr>
            <w:top w:val="none" w:sz="0" w:space="0" w:color="auto"/>
            <w:left w:val="none" w:sz="0" w:space="0" w:color="auto"/>
            <w:bottom w:val="none" w:sz="0" w:space="0" w:color="auto"/>
            <w:right w:val="none" w:sz="0" w:space="0" w:color="auto"/>
          </w:divBdr>
        </w:div>
        <w:div w:id="2024704340">
          <w:marLeft w:val="0"/>
          <w:marRight w:val="0"/>
          <w:marTop w:val="0"/>
          <w:marBottom w:val="0"/>
          <w:divBdr>
            <w:top w:val="none" w:sz="0" w:space="0" w:color="auto"/>
            <w:left w:val="none" w:sz="0" w:space="0" w:color="auto"/>
            <w:bottom w:val="none" w:sz="0" w:space="0" w:color="auto"/>
            <w:right w:val="none" w:sz="0" w:space="0" w:color="auto"/>
          </w:divBdr>
        </w:div>
        <w:div w:id="2024704341">
          <w:marLeft w:val="0"/>
          <w:marRight w:val="0"/>
          <w:marTop w:val="0"/>
          <w:marBottom w:val="0"/>
          <w:divBdr>
            <w:top w:val="none" w:sz="0" w:space="0" w:color="auto"/>
            <w:left w:val="none" w:sz="0" w:space="0" w:color="auto"/>
            <w:bottom w:val="none" w:sz="0" w:space="0" w:color="auto"/>
            <w:right w:val="none" w:sz="0" w:space="0" w:color="auto"/>
          </w:divBdr>
        </w:div>
        <w:div w:id="2024704342">
          <w:marLeft w:val="0"/>
          <w:marRight w:val="0"/>
          <w:marTop w:val="0"/>
          <w:marBottom w:val="0"/>
          <w:divBdr>
            <w:top w:val="none" w:sz="0" w:space="0" w:color="auto"/>
            <w:left w:val="none" w:sz="0" w:space="0" w:color="auto"/>
            <w:bottom w:val="none" w:sz="0" w:space="0" w:color="auto"/>
            <w:right w:val="none" w:sz="0" w:space="0" w:color="auto"/>
          </w:divBdr>
        </w:div>
        <w:div w:id="2024704343">
          <w:marLeft w:val="0"/>
          <w:marRight w:val="0"/>
          <w:marTop w:val="0"/>
          <w:marBottom w:val="0"/>
          <w:divBdr>
            <w:top w:val="none" w:sz="0" w:space="0" w:color="auto"/>
            <w:left w:val="none" w:sz="0" w:space="0" w:color="auto"/>
            <w:bottom w:val="none" w:sz="0" w:space="0" w:color="auto"/>
            <w:right w:val="none" w:sz="0" w:space="0" w:color="auto"/>
          </w:divBdr>
        </w:div>
        <w:div w:id="2024704344">
          <w:marLeft w:val="0"/>
          <w:marRight w:val="0"/>
          <w:marTop w:val="0"/>
          <w:marBottom w:val="0"/>
          <w:divBdr>
            <w:top w:val="none" w:sz="0" w:space="0" w:color="auto"/>
            <w:left w:val="none" w:sz="0" w:space="0" w:color="auto"/>
            <w:bottom w:val="none" w:sz="0" w:space="0" w:color="auto"/>
            <w:right w:val="none" w:sz="0" w:space="0" w:color="auto"/>
          </w:divBdr>
        </w:div>
        <w:div w:id="2024704345">
          <w:marLeft w:val="0"/>
          <w:marRight w:val="0"/>
          <w:marTop w:val="0"/>
          <w:marBottom w:val="0"/>
          <w:divBdr>
            <w:top w:val="none" w:sz="0" w:space="0" w:color="auto"/>
            <w:left w:val="none" w:sz="0" w:space="0" w:color="auto"/>
            <w:bottom w:val="none" w:sz="0" w:space="0" w:color="auto"/>
            <w:right w:val="none" w:sz="0" w:space="0" w:color="auto"/>
          </w:divBdr>
        </w:div>
        <w:div w:id="2024704346">
          <w:marLeft w:val="0"/>
          <w:marRight w:val="0"/>
          <w:marTop w:val="0"/>
          <w:marBottom w:val="0"/>
          <w:divBdr>
            <w:top w:val="none" w:sz="0" w:space="0" w:color="auto"/>
            <w:left w:val="none" w:sz="0" w:space="0" w:color="auto"/>
            <w:bottom w:val="none" w:sz="0" w:space="0" w:color="auto"/>
            <w:right w:val="none" w:sz="0" w:space="0" w:color="auto"/>
          </w:divBdr>
        </w:div>
        <w:div w:id="2024704347">
          <w:marLeft w:val="0"/>
          <w:marRight w:val="0"/>
          <w:marTop w:val="0"/>
          <w:marBottom w:val="0"/>
          <w:divBdr>
            <w:top w:val="none" w:sz="0" w:space="0" w:color="auto"/>
            <w:left w:val="none" w:sz="0" w:space="0" w:color="auto"/>
            <w:bottom w:val="none" w:sz="0" w:space="0" w:color="auto"/>
            <w:right w:val="none" w:sz="0" w:space="0" w:color="auto"/>
          </w:divBdr>
        </w:div>
        <w:div w:id="2024704348">
          <w:marLeft w:val="0"/>
          <w:marRight w:val="0"/>
          <w:marTop w:val="0"/>
          <w:marBottom w:val="0"/>
          <w:divBdr>
            <w:top w:val="none" w:sz="0" w:space="0" w:color="auto"/>
            <w:left w:val="none" w:sz="0" w:space="0" w:color="auto"/>
            <w:bottom w:val="none" w:sz="0" w:space="0" w:color="auto"/>
            <w:right w:val="none" w:sz="0" w:space="0" w:color="auto"/>
          </w:divBdr>
        </w:div>
        <w:div w:id="2024704349">
          <w:marLeft w:val="0"/>
          <w:marRight w:val="0"/>
          <w:marTop w:val="0"/>
          <w:marBottom w:val="0"/>
          <w:divBdr>
            <w:top w:val="none" w:sz="0" w:space="0" w:color="auto"/>
            <w:left w:val="none" w:sz="0" w:space="0" w:color="auto"/>
            <w:bottom w:val="none" w:sz="0" w:space="0" w:color="auto"/>
            <w:right w:val="none" w:sz="0" w:space="0" w:color="auto"/>
          </w:divBdr>
        </w:div>
        <w:div w:id="2024704350">
          <w:marLeft w:val="0"/>
          <w:marRight w:val="0"/>
          <w:marTop w:val="0"/>
          <w:marBottom w:val="0"/>
          <w:divBdr>
            <w:top w:val="none" w:sz="0" w:space="0" w:color="auto"/>
            <w:left w:val="none" w:sz="0" w:space="0" w:color="auto"/>
            <w:bottom w:val="none" w:sz="0" w:space="0" w:color="auto"/>
            <w:right w:val="none" w:sz="0" w:space="0" w:color="auto"/>
          </w:divBdr>
        </w:div>
        <w:div w:id="2024704351">
          <w:marLeft w:val="0"/>
          <w:marRight w:val="0"/>
          <w:marTop w:val="0"/>
          <w:marBottom w:val="0"/>
          <w:divBdr>
            <w:top w:val="none" w:sz="0" w:space="0" w:color="auto"/>
            <w:left w:val="none" w:sz="0" w:space="0" w:color="auto"/>
            <w:bottom w:val="none" w:sz="0" w:space="0" w:color="auto"/>
            <w:right w:val="none" w:sz="0" w:space="0" w:color="auto"/>
          </w:divBdr>
        </w:div>
        <w:div w:id="2024704352">
          <w:marLeft w:val="0"/>
          <w:marRight w:val="0"/>
          <w:marTop w:val="0"/>
          <w:marBottom w:val="0"/>
          <w:divBdr>
            <w:top w:val="none" w:sz="0" w:space="0" w:color="auto"/>
            <w:left w:val="none" w:sz="0" w:space="0" w:color="auto"/>
            <w:bottom w:val="none" w:sz="0" w:space="0" w:color="auto"/>
            <w:right w:val="none" w:sz="0" w:space="0" w:color="auto"/>
          </w:divBdr>
        </w:div>
        <w:div w:id="2024704353">
          <w:marLeft w:val="0"/>
          <w:marRight w:val="0"/>
          <w:marTop w:val="0"/>
          <w:marBottom w:val="0"/>
          <w:divBdr>
            <w:top w:val="none" w:sz="0" w:space="0" w:color="auto"/>
            <w:left w:val="none" w:sz="0" w:space="0" w:color="auto"/>
            <w:bottom w:val="none" w:sz="0" w:space="0" w:color="auto"/>
            <w:right w:val="none" w:sz="0" w:space="0" w:color="auto"/>
          </w:divBdr>
        </w:div>
        <w:div w:id="2024704354">
          <w:marLeft w:val="0"/>
          <w:marRight w:val="0"/>
          <w:marTop w:val="0"/>
          <w:marBottom w:val="0"/>
          <w:divBdr>
            <w:top w:val="none" w:sz="0" w:space="0" w:color="auto"/>
            <w:left w:val="none" w:sz="0" w:space="0" w:color="auto"/>
            <w:bottom w:val="none" w:sz="0" w:space="0" w:color="auto"/>
            <w:right w:val="none" w:sz="0" w:space="0" w:color="auto"/>
          </w:divBdr>
        </w:div>
        <w:div w:id="2024704355">
          <w:marLeft w:val="0"/>
          <w:marRight w:val="0"/>
          <w:marTop w:val="0"/>
          <w:marBottom w:val="0"/>
          <w:divBdr>
            <w:top w:val="none" w:sz="0" w:space="0" w:color="auto"/>
            <w:left w:val="none" w:sz="0" w:space="0" w:color="auto"/>
            <w:bottom w:val="none" w:sz="0" w:space="0" w:color="auto"/>
            <w:right w:val="none" w:sz="0" w:space="0" w:color="auto"/>
          </w:divBdr>
        </w:div>
        <w:div w:id="2024704356">
          <w:marLeft w:val="0"/>
          <w:marRight w:val="0"/>
          <w:marTop w:val="0"/>
          <w:marBottom w:val="0"/>
          <w:divBdr>
            <w:top w:val="none" w:sz="0" w:space="0" w:color="auto"/>
            <w:left w:val="none" w:sz="0" w:space="0" w:color="auto"/>
            <w:bottom w:val="none" w:sz="0" w:space="0" w:color="auto"/>
            <w:right w:val="none" w:sz="0" w:space="0" w:color="auto"/>
          </w:divBdr>
        </w:div>
        <w:div w:id="2024704358">
          <w:marLeft w:val="0"/>
          <w:marRight w:val="0"/>
          <w:marTop w:val="0"/>
          <w:marBottom w:val="0"/>
          <w:divBdr>
            <w:top w:val="none" w:sz="0" w:space="0" w:color="auto"/>
            <w:left w:val="none" w:sz="0" w:space="0" w:color="auto"/>
            <w:bottom w:val="none" w:sz="0" w:space="0" w:color="auto"/>
            <w:right w:val="none" w:sz="0" w:space="0" w:color="auto"/>
          </w:divBdr>
        </w:div>
        <w:div w:id="2024704359">
          <w:marLeft w:val="0"/>
          <w:marRight w:val="0"/>
          <w:marTop w:val="0"/>
          <w:marBottom w:val="0"/>
          <w:divBdr>
            <w:top w:val="none" w:sz="0" w:space="0" w:color="auto"/>
            <w:left w:val="none" w:sz="0" w:space="0" w:color="auto"/>
            <w:bottom w:val="none" w:sz="0" w:space="0" w:color="auto"/>
            <w:right w:val="none" w:sz="0" w:space="0" w:color="auto"/>
          </w:divBdr>
        </w:div>
        <w:div w:id="2024704360">
          <w:marLeft w:val="0"/>
          <w:marRight w:val="0"/>
          <w:marTop w:val="0"/>
          <w:marBottom w:val="0"/>
          <w:divBdr>
            <w:top w:val="none" w:sz="0" w:space="0" w:color="auto"/>
            <w:left w:val="none" w:sz="0" w:space="0" w:color="auto"/>
            <w:bottom w:val="none" w:sz="0" w:space="0" w:color="auto"/>
            <w:right w:val="none" w:sz="0" w:space="0" w:color="auto"/>
          </w:divBdr>
        </w:div>
        <w:div w:id="2024704361">
          <w:marLeft w:val="0"/>
          <w:marRight w:val="0"/>
          <w:marTop w:val="0"/>
          <w:marBottom w:val="0"/>
          <w:divBdr>
            <w:top w:val="none" w:sz="0" w:space="0" w:color="auto"/>
            <w:left w:val="none" w:sz="0" w:space="0" w:color="auto"/>
            <w:bottom w:val="none" w:sz="0" w:space="0" w:color="auto"/>
            <w:right w:val="none" w:sz="0" w:space="0" w:color="auto"/>
          </w:divBdr>
        </w:div>
        <w:div w:id="2024704362">
          <w:marLeft w:val="0"/>
          <w:marRight w:val="0"/>
          <w:marTop w:val="0"/>
          <w:marBottom w:val="0"/>
          <w:divBdr>
            <w:top w:val="none" w:sz="0" w:space="0" w:color="auto"/>
            <w:left w:val="none" w:sz="0" w:space="0" w:color="auto"/>
            <w:bottom w:val="none" w:sz="0" w:space="0" w:color="auto"/>
            <w:right w:val="none" w:sz="0" w:space="0" w:color="auto"/>
          </w:divBdr>
        </w:div>
        <w:div w:id="2024704363">
          <w:marLeft w:val="0"/>
          <w:marRight w:val="0"/>
          <w:marTop w:val="0"/>
          <w:marBottom w:val="0"/>
          <w:divBdr>
            <w:top w:val="none" w:sz="0" w:space="0" w:color="auto"/>
            <w:left w:val="none" w:sz="0" w:space="0" w:color="auto"/>
            <w:bottom w:val="none" w:sz="0" w:space="0" w:color="auto"/>
            <w:right w:val="none" w:sz="0" w:space="0" w:color="auto"/>
          </w:divBdr>
        </w:div>
        <w:div w:id="2024704364">
          <w:marLeft w:val="0"/>
          <w:marRight w:val="0"/>
          <w:marTop w:val="0"/>
          <w:marBottom w:val="0"/>
          <w:divBdr>
            <w:top w:val="none" w:sz="0" w:space="0" w:color="auto"/>
            <w:left w:val="none" w:sz="0" w:space="0" w:color="auto"/>
            <w:bottom w:val="none" w:sz="0" w:space="0" w:color="auto"/>
            <w:right w:val="none" w:sz="0" w:space="0" w:color="auto"/>
          </w:divBdr>
        </w:div>
        <w:div w:id="2024704365">
          <w:marLeft w:val="0"/>
          <w:marRight w:val="0"/>
          <w:marTop w:val="0"/>
          <w:marBottom w:val="0"/>
          <w:divBdr>
            <w:top w:val="none" w:sz="0" w:space="0" w:color="auto"/>
            <w:left w:val="none" w:sz="0" w:space="0" w:color="auto"/>
            <w:bottom w:val="none" w:sz="0" w:space="0" w:color="auto"/>
            <w:right w:val="none" w:sz="0" w:space="0" w:color="auto"/>
          </w:divBdr>
        </w:div>
        <w:div w:id="2024704366">
          <w:marLeft w:val="0"/>
          <w:marRight w:val="0"/>
          <w:marTop w:val="0"/>
          <w:marBottom w:val="0"/>
          <w:divBdr>
            <w:top w:val="none" w:sz="0" w:space="0" w:color="auto"/>
            <w:left w:val="none" w:sz="0" w:space="0" w:color="auto"/>
            <w:bottom w:val="none" w:sz="0" w:space="0" w:color="auto"/>
            <w:right w:val="none" w:sz="0" w:space="0" w:color="auto"/>
          </w:divBdr>
        </w:div>
        <w:div w:id="2024704367">
          <w:marLeft w:val="0"/>
          <w:marRight w:val="0"/>
          <w:marTop w:val="0"/>
          <w:marBottom w:val="0"/>
          <w:divBdr>
            <w:top w:val="none" w:sz="0" w:space="0" w:color="auto"/>
            <w:left w:val="none" w:sz="0" w:space="0" w:color="auto"/>
            <w:bottom w:val="none" w:sz="0" w:space="0" w:color="auto"/>
            <w:right w:val="none" w:sz="0" w:space="0" w:color="auto"/>
          </w:divBdr>
        </w:div>
        <w:div w:id="2024704368">
          <w:marLeft w:val="0"/>
          <w:marRight w:val="0"/>
          <w:marTop w:val="0"/>
          <w:marBottom w:val="0"/>
          <w:divBdr>
            <w:top w:val="none" w:sz="0" w:space="0" w:color="auto"/>
            <w:left w:val="none" w:sz="0" w:space="0" w:color="auto"/>
            <w:bottom w:val="none" w:sz="0" w:space="0" w:color="auto"/>
            <w:right w:val="none" w:sz="0" w:space="0" w:color="auto"/>
          </w:divBdr>
        </w:div>
        <w:div w:id="2024704370">
          <w:marLeft w:val="0"/>
          <w:marRight w:val="0"/>
          <w:marTop w:val="0"/>
          <w:marBottom w:val="0"/>
          <w:divBdr>
            <w:top w:val="none" w:sz="0" w:space="0" w:color="auto"/>
            <w:left w:val="none" w:sz="0" w:space="0" w:color="auto"/>
            <w:bottom w:val="none" w:sz="0" w:space="0" w:color="auto"/>
            <w:right w:val="none" w:sz="0" w:space="0" w:color="auto"/>
          </w:divBdr>
        </w:div>
        <w:div w:id="2024704371">
          <w:marLeft w:val="0"/>
          <w:marRight w:val="0"/>
          <w:marTop w:val="0"/>
          <w:marBottom w:val="0"/>
          <w:divBdr>
            <w:top w:val="none" w:sz="0" w:space="0" w:color="auto"/>
            <w:left w:val="none" w:sz="0" w:space="0" w:color="auto"/>
            <w:bottom w:val="none" w:sz="0" w:space="0" w:color="auto"/>
            <w:right w:val="none" w:sz="0" w:space="0" w:color="auto"/>
          </w:divBdr>
        </w:div>
        <w:div w:id="2024704372">
          <w:marLeft w:val="0"/>
          <w:marRight w:val="0"/>
          <w:marTop w:val="0"/>
          <w:marBottom w:val="0"/>
          <w:divBdr>
            <w:top w:val="none" w:sz="0" w:space="0" w:color="auto"/>
            <w:left w:val="none" w:sz="0" w:space="0" w:color="auto"/>
            <w:bottom w:val="none" w:sz="0" w:space="0" w:color="auto"/>
            <w:right w:val="none" w:sz="0" w:space="0" w:color="auto"/>
          </w:divBdr>
        </w:div>
        <w:div w:id="2024704373">
          <w:marLeft w:val="0"/>
          <w:marRight w:val="0"/>
          <w:marTop w:val="0"/>
          <w:marBottom w:val="0"/>
          <w:divBdr>
            <w:top w:val="none" w:sz="0" w:space="0" w:color="auto"/>
            <w:left w:val="none" w:sz="0" w:space="0" w:color="auto"/>
            <w:bottom w:val="none" w:sz="0" w:space="0" w:color="auto"/>
            <w:right w:val="none" w:sz="0" w:space="0" w:color="auto"/>
          </w:divBdr>
        </w:div>
        <w:div w:id="2024704374">
          <w:marLeft w:val="0"/>
          <w:marRight w:val="0"/>
          <w:marTop w:val="0"/>
          <w:marBottom w:val="0"/>
          <w:divBdr>
            <w:top w:val="none" w:sz="0" w:space="0" w:color="auto"/>
            <w:left w:val="none" w:sz="0" w:space="0" w:color="auto"/>
            <w:bottom w:val="none" w:sz="0" w:space="0" w:color="auto"/>
            <w:right w:val="none" w:sz="0" w:space="0" w:color="auto"/>
          </w:divBdr>
        </w:div>
        <w:div w:id="2024704375">
          <w:marLeft w:val="0"/>
          <w:marRight w:val="0"/>
          <w:marTop w:val="0"/>
          <w:marBottom w:val="0"/>
          <w:divBdr>
            <w:top w:val="none" w:sz="0" w:space="0" w:color="auto"/>
            <w:left w:val="none" w:sz="0" w:space="0" w:color="auto"/>
            <w:bottom w:val="none" w:sz="0" w:space="0" w:color="auto"/>
            <w:right w:val="none" w:sz="0" w:space="0" w:color="auto"/>
          </w:divBdr>
        </w:div>
        <w:div w:id="2024704376">
          <w:marLeft w:val="0"/>
          <w:marRight w:val="0"/>
          <w:marTop w:val="0"/>
          <w:marBottom w:val="0"/>
          <w:divBdr>
            <w:top w:val="none" w:sz="0" w:space="0" w:color="auto"/>
            <w:left w:val="none" w:sz="0" w:space="0" w:color="auto"/>
            <w:bottom w:val="none" w:sz="0" w:space="0" w:color="auto"/>
            <w:right w:val="none" w:sz="0" w:space="0" w:color="auto"/>
          </w:divBdr>
        </w:div>
        <w:div w:id="2024704377">
          <w:marLeft w:val="0"/>
          <w:marRight w:val="0"/>
          <w:marTop w:val="0"/>
          <w:marBottom w:val="0"/>
          <w:divBdr>
            <w:top w:val="none" w:sz="0" w:space="0" w:color="auto"/>
            <w:left w:val="none" w:sz="0" w:space="0" w:color="auto"/>
            <w:bottom w:val="none" w:sz="0" w:space="0" w:color="auto"/>
            <w:right w:val="none" w:sz="0" w:space="0" w:color="auto"/>
          </w:divBdr>
        </w:div>
        <w:div w:id="2024704378">
          <w:marLeft w:val="0"/>
          <w:marRight w:val="0"/>
          <w:marTop w:val="0"/>
          <w:marBottom w:val="0"/>
          <w:divBdr>
            <w:top w:val="none" w:sz="0" w:space="0" w:color="auto"/>
            <w:left w:val="none" w:sz="0" w:space="0" w:color="auto"/>
            <w:bottom w:val="none" w:sz="0" w:space="0" w:color="auto"/>
            <w:right w:val="none" w:sz="0" w:space="0" w:color="auto"/>
          </w:divBdr>
        </w:div>
        <w:div w:id="2024704379">
          <w:marLeft w:val="0"/>
          <w:marRight w:val="0"/>
          <w:marTop w:val="0"/>
          <w:marBottom w:val="0"/>
          <w:divBdr>
            <w:top w:val="none" w:sz="0" w:space="0" w:color="auto"/>
            <w:left w:val="none" w:sz="0" w:space="0" w:color="auto"/>
            <w:bottom w:val="none" w:sz="0" w:space="0" w:color="auto"/>
            <w:right w:val="none" w:sz="0" w:space="0" w:color="auto"/>
          </w:divBdr>
        </w:div>
        <w:div w:id="2024704380">
          <w:marLeft w:val="0"/>
          <w:marRight w:val="0"/>
          <w:marTop w:val="0"/>
          <w:marBottom w:val="0"/>
          <w:divBdr>
            <w:top w:val="none" w:sz="0" w:space="0" w:color="auto"/>
            <w:left w:val="none" w:sz="0" w:space="0" w:color="auto"/>
            <w:bottom w:val="none" w:sz="0" w:space="0" w:color="auto"/>
            <w:right w:val="none" w:sz="0" w:space="0" w:color="auto"/>
          </w:divBdr>
        </w:div>
        <w:div w:id="2024704381">
          <w:marLeft w:val="0"/>
          <w:marRight w:val="0"/>
          <w:marTop w:val="0"/>
          <w:marBottom w:val="0"/>
          <w:divBdr>
            <w:top w:val="none" w:sz="0" w:space="0" w:color="auto"/>
            <w:left w:val="none" w:sz="0" w:space="0" w:color="auto"/>
            <w:bottom w:val="none" w:sz="0" w:space="0" w:color="auto"/>
            <w:right w:val="none" w:sz="0" w:space="0" w:color="auto"/>
          </w:divBdr>
        </w:div>
        <w:div w:id="2024704382">
          <w:marLeft w:val="0"/>
          <w:marRight w:val="0"/>
          <w:marTop w:val="0"/>
          <w:marBottom w:val="0"/>
          <w:divBdr>
            <w:top w:val="none" w:sz="0" w:space="0" w:color="auto"/>
            <w:left w:val="none" w:sz="0" w:space="0" w:color="auto"/>
            <w:bottom w:val="none" w:sz="0" w:space="0" w:color="auto"/>
            <w:right w:val="none" w:sz="0" w:space="0" w:color="auto"/>
          </w:divBdr>
        </w:div>
        <w:div w:id="2024704383">
          <w:marLeft w:val="0"/>
          <w:marRight w:val="0"/>
          <w:marTop w:val="0"/>
          <w:marBottom w:val="0"/>
          <w:divBdr>
            <w:top w:val="none" w:sz="0" w:space="0" w:color="auto"/>
            <w:left w:val="none" w:sz="0" w:space="0" w:color="auto"/>
            <w:bottom w:val="none" w:sz="0" w:space="0" w:color="auto"/>
            <w:right w:val="none" w:sz="0" w:space="0" w:color="auto"/>
          </w:divBdr>
        </w:div>
        <w:div w:id="2024704384">
          <w:marLeft w:val="0"/>
          <w:marRight w:val="0"/>
          <w:marTop w:val="0"/>
          <w:marBottom w:val="0"/>
          <w:divBdr>
            <w:top w:val="none" w:sz="0" w:space="0" w:color="auto"/>
            <w:left w:val="none" w:sz="0" w:space="0" w:color="auto"/>
            <w:bottom w:val="none" w:sz="0" w:space="0" w:color="auto"/>
            <w:right w:val="none" w:sz="0" w:space="0" w:color="auto"/>
          </w:divBdr>
        </w:div>
        <w:div w:id="2024704385">
          <w:marLeft w:val="0"/>
          <w:marRight w:val="0"/>
          <w:marTop w:val="0"/>
          <w:marBottom w:val="0"/>
          <w:divBdr>
            <w:top w:val="none" w:sz="0" w:space="0" w:color="auto"/>
            <w:left w:val="none" w:sz="0" w:space="0" w:color="auto"/>
            <w:bottom w:val="none" w:sz="0" w:space="0" w:color="auto"/>
            <w:right w:val="none" w:sz="0" w:space="0" w:color="auto"/>
          </w:divBdr>
        </w:div>
        <w:div w:id="2024704386">
          <w:marLeft w:val="0"/>
          <w:marRight w:val="0"/>
          <w:marTop w:val="0"/>
          <w:marBottom w:val="0"/>
          <w:divBdr>
            <w:top w:val="none" w:sz="0" w:space="0" w:color="auto"/>
            <w:left w:val="none" w:sz="0" w:space="0" w:color="auto"/>
            <w:bottom w:val="none" w:sz="0" w:space="0" w:color="auto"/>
            <w:right w:val="none" w:sz="0" w:space="0" w:color="auto"/>
          </w:divBdr>
        </w:div>
        <w:div w:id="2024704387">
          <w:marLeft w:val="0"/>
          <w:marRight w:val="0"/>
          <w:marTop w:val="0"/>
          <w:marBottom w:val="0"/>
          <w:divBdr>
            <w:top w:val="none" w:sz="0" w:space="0" w:color="auto"/>
            <w:left w:val="none" w:sz="0" w:space="0" w:color="auto"/>
            <w:bottom w:val="none" w:sz="0" w:space="0" w:color="auto"/>
            <w:right w:val="none" w:sz="0" w:space="0" w:color="auto"/>
          </w:divBdr>
        </w:div>
        <w:div w:id="2024704388">
          <w:marLeft w:val="0"/>
          <w:marRight w:val="0"/>
          <w:marTop w:val="0"/>
          <w:marBottom w:val="0"/>
          <w:divBdr>
            <w:top w:val="none" w:sz="0" w:space="0" w:color="auto"/>
            <w:left w:val="none" w:sz="0" w:space="0" w:color="auto"/>
            <w:bottom w:val="none" w:sz="0" w:space="0" w:color="auto"/>
            <w:right w:val="none" w:sz="0" w:space="0" w:color="auto"/>
          </w:divBdr>
        </w:div>
        <w:div w:id="2024704389">
          <w:marLeft w:val="0"/>
          <w:marRight w:val="0"/>
          <w:marTop w:val="0"/>
          <w:marBottom w:val="0"/>
          <w:divBdr>
            <w:top w:val="none" w:sz="0" w:space="0" w:color="auto"/>
            <w:left w:val="none" w:sz="0" w:space="0" w:color="auto"/>
            <w:bottom w:val="none" w:sz="0" w:space="0" w:color="auto"/>
            <w:right w:val="none" w:sz="0" w:space="0" w:color="auto"/>
          </w:divBdr>
        </w:div>
        <w:div w:id="2024704390">
          <w:marLeft w:val="0"/>
          <w:marRight w:val="0"/>
          <w:marTop w:val="0"/>
          <w:marBottom w:val="0"/>
          <w:divBdr>
            <w:top w:val="none" w:sz="0" w:space="0" w:color="auto"/>
            <w:left w:val="none" w:sz="0" w:space="0" w:color="auto"/>
            <w:bottom w:val="none" w:sz="0" w:space="0" w:color="auto"/>
            <w:right w:val="none" w:sz="0" w:space="0" w:color="auto"/>
          </w:divBdr>
        </w:div>
        <w:div w:id="2024704391">
          <w:marLeft w:val="0"/>
          <w:marRight w:val="0"/>
          <w:marTop w:val="0"/>
          <w:marBottom w:val="0"/>
          <w:divBdr>
            <w:top w:val="none" w:sz="0" w:space="0" w:color="auto"/>
            <w:left w:val="none" w:sz="0" w:space="0" w:color="auto"/>
            <w:bottom w:val="none" w:sz="0" w:space="0" w:color="auto"/>
            <w:right w:val="none" w:sz="0" w:space="0" w:color="auto"/>
          </w:divBdr>
        </w:div>
        <w:div w:id="2024704392">
          <w:marLeft w:val="0"/>
          <w:marRight w:val="0"/>
          <w:marTop w:val="0"/>
          <w:marBottom w:val="0"/>
          <w:divBdr>
            <w:top w:val="none" w:sz="0" w:space="0" w:color="auto"/>
            <w:left w:val="none" w:sz="0" w:space="0" w:color="auto"/>
            <w:bottom w:val="none" w:sz="0" w:space="0" w:color="auto"/>
            <w:right w:val="none" w:sz="0" w:space="0" w:color="auto"/>
          </w:divBdr>
        </w:div>
        <w:div w:id="2024704393">
          <w:marLeft w:val="0"/>
          <w:marRight w:val="0"/>
          <w:marTop w:val="0"/>
          <w:marBottom w:val="0"/>
          <w:divBdr>
            <w:top w:val="none" w:sz="0" w:space="0" w:color="auto"/>
            <w:left w:val="none" w:sz="0" w:space="0" w:color="auto"/>
            <w:bottom w:val="none" w:sz="0" w:space="0" w:color="auto"/>
            <w:right w:val="none" w:sz="0" w:space="0" w:color="auto"/>
          </w:divBdr>
        </w:div>
        <w:div w:id="2024704394">
          <w:marLeft w:val="0"/>
          <w:marRight w:val="0"/>
          <w:marTop w:val="0"/>
          <w:marBottom w:val="0"/>
          <w:divBdr>
            <w:top w:val="none" w:sz="0" w:space="0" w:color="auto"/>
            <w:left w:val="none" w:sz="0" w:space="0" w:color="auto"/>
            <w:bottom w:val="none" w:sz="0" w:space="0" w:color="auto"/>
            <w:right w:val="none" w:sz="0" w:space="0" w:color="auto"/>
          </w:divBdr>
        </w:div>
        <w:div w:id="2024704396">
          <w:marLeft w:val="0"/>
          <w:marRight w:val="0"/>
          <w:marTop w:val="0"/>
          <w:marBottom w:val="0"/>
          <w:divBdr>
            <w:top w:val="none" w:sz="0" w:space="0" w:color="auto"/>
            <w:left w:val="none" w:sz="0" w:space="0" w:color="auto"/>
            <w:bottom w:val="none" w:sz="0" w:space="0" w:color="auto"/>
            <w:right w:val="none" w:sz="0" w:space="0" w:color="auto"/>
          </w:divBdr>
        </w:div>
        <w:div w:id="2024704397">
          <w:marLeft w:val="0"/>
          <w:marRight w:val="0"/>
          <w:marTop w:val="0"/>
          <w:marBottom w:val="0"/>
          <w:divBdr>
            <w:top w:val="none" w:sz="0" w:space="0" w:color="auto"/>
            <w:left w:val="none" w:sz="0" w:space="0" w:color="auto"/>
            <w:bottom w:val="none" w:sz="0" w:space="0" w:color="auto"/>
            <w:right w:val="none" w:sz="0" w:space="0" w:color="auto"/>
          </w:divBdr>
        </w:div>
        <w:div w:id="2024704398">
          <w:marLeft w:val="0"/>
          <w:marRight w:val="0"/>
          <w:marTop w:val="0"/>
          <w:marBottom w:val="0"/>
          <w:divBdr>
            <w:top w:val="none" w:sz="0" w:space="0" w:color="auto"/>
            <w:left w:val="none" w:sz="0" w:space="0" w:color="auto"/>
            <w:bottom w:val="none" w:sz="0" w:space="0" w:color="auto"/>
            <w:right w:val="none" w:sz="0" w:space="0" w:color="auto"/>
          </w:divBdr>
        </w:div>
        <w:div w:id="2024704399">
          <w:marLeft w:val="0"/>
          <w:marRight w:val="0"/>
          <w:marTop w:val="0"/>
          <w:marBottom w:val="0"/>
          <w:divBdr>
            <w:top w:val="none" w:sz="0" w:space="0" w:color="auto"/>
            <w:left w:val="none" w:sz="0" w:space="0" w:color="auto"/>
            <w:bottom w:val="none" w:sz="0" w:space="0" w:color="auto"/>
            <w:right w:val="none" w:sz="0" w:space="0" w:color="auto"/>
          </w:divBdr>
        </w:div>
        <w:div w:id="2024704400">
          <w:marLeft w:val="0"/>
          <w:marRight w:val="0"/>
          <w:marTop w:val="0"/>
          <w:marBottom w:val="0"/>
          <w:divBdr>
            <w:top w:val="none" w:sz="0" w:space="0" w:color="auto"/>
            <w:left w:val="none" w:sz="0" w:space="0" w:color="auto"/>
            <w:bottom w:val="none" w:sz="0" w:space="0" w:color="auto"/>
            <w:right w:val="none" w:sz="0" w:space="0" w:color="auto"/>
          </w:divBdr>
        </w:div>
        <w:div w:id="2024704402">
          <w:marLeft w:val="0"/>
          <w:marRight w:val="0"/>
          <w:marTop w:val="0"/>
          <w:marBottom w:val="0"/>
          <w:divBdr>
            <w:top w:val="none" w:sz="0" w:space="0" w:color="auto"/>
            <w:left w:val="none" w:sz="0" w:space="0" w:color="auto"/>
            <w:bottom w:val="none" w:sz="0" w:space="0" w:color="auto"/>
            <w:right w:val="none" w:sz="0" w:space="0" w:color="auto"/>
          </w:divBdr>
        </w:div>
        <w:div w:id="2024704403">
          <w:marLeft w:val="0"/>
          <w:marRight w:val="0"/>
          <w:marTop w:val="0"/>
          <w:marBottom w:val="0"/>
          <w:divBdr>
            <w:top w:val="none" w:sz="0" w:space="0" w:color="auto"/>
            <w:left w:val="none" w:sz="0" w:space="0" w:color="auto"/>
            <w:bottom w:val="none" w:sz="0" w:space="0" w:color="auto"/>
            <w:right w:val="none" w:sz="0" w:space="0" w:color="auto"/>
          </w:divBdr>
        </w:div>
        <w:div w:id="2024704404">
          <w:marLeft w:val="0"/>
          <w:marRight w:val="0"/>
          <w:marTop w:val="0"/>
          <w:marBottom w:val="0"/>
          <w:divBdr>
            <w:top w:val="none" w:sz="0" w:space="0" w:color="auto"/>
            <w:left w:val="none" w:sz="0" w:space="0" w:color="auto"/>
            <w:bottom w:val="none" w:sz="0" w:space="0" w:color="auto"/>
            <w:right w:val="none" w:sz="0" w:space="0" w:color="auto"/>
          </w:divBdr>
        </w:div>
        <w:div w:id="2024704405">
          <w:marLeft w:val="0"/>
          <w:marRight w:val="0"/>
          <w:marTop w:val="0"/>
          <w:marBottom w:val="0"/>
          <w:divBdr>
            <w:top w:val="none" w:sz="0" w:space="0" w:color="auto"/>
            <w:left w:val="none" w:sz="0" w:space="0" w:color="auto"/>
            <w:bottom w:val="none" w:sz="0" w:space="0" w:color="auto"/>
            <w:right w:val="none" w:sz="0" w:space="0" w:color="auto"/>
          </w:divBdr>
        </w:div>
        <w:div w:id="2024704406">
          <w:marLeft w:val="0"/>
          <w:marRight w:val="0"/>
          <w:marTop w:val="0"/>
          <w:marBottom w:val="0"/>
          <w:divBdr>
            <w:top w:val="none" w:sz="0" w:space="0" w:color="auto"/>
            <w:left w:val="none" w:sz="0" w:space="0" w:color="auto"/>
            <w:bottom w:val="none" w:sz="0" w:space="0" w:color="auto"/>
            <w:right w:val="none" w:sz="0" w:space="0" w:color="auto"/>
          </w:divBdr>
        </w:div>
        <w:div w:id="2024704407">
          <w:marLeft w:val="0"/>
          <w:marRight w:val="0"/>
          <w:marTop w:val="0"/>
          <w:marBottom w:val="0"/>
          <w:divBdr>
            <w:top w:val="none" w:sz="0" w:space="0" w:color="auto"/>
            <w:left w:val="none" w:sz="0" w:space="0" w:color="auto"/>
            <w:bottom w:val="none" w:sz="0" w:space="0" w:color="auto"/>
            <w:right w:val="none" w:sz="0" w:space="0" w:color="auto"/>
          </w:divBdr>
        </w:div>
        <w:div w:id="2024704408">
          <w:marLeft w:val="0"/>
          <w:marRight w:val="0"/>
          <w:marTop w:val="0"/>
          <w:marBottom w:val="0"/>
          <w:divBdr>
            <w:top w:val="none" w:sz="0" w:space="0" w:color="auto"/>
            <w:left w:val="none" w:sz="0" w:space="0" w:color="auto"/>
            <w:bottom w:val="none" w:sz="0" w:space="0" w:color="auto"/>
            <w:right w:val="none" w:sz="0" w:space="0" w:color="auto"/>
          </w:divBdr>
        </w:div>
        <w:div w:id="2024704409">
          <w:marLeft w:val="0"/>
          <w:marRight w:val="0"/>
          <w:marTop w:val="0"/>
          <w:marBottom w:val="0"/>
          <w:divBdr>
            <w:top w:val="none" w:sz="0" w:space="0" w:color="auto"/>
            <w:left w:val="none" w:sz="0" w:space="0" w:color="auto"/>
            <w:bottom w:val="none" w:sz="0" w:space="0" w:color="auto"/>
            <w:right w:val="none" w:sz="0" w:space="0" w:color="auto"/>
          </w:divBdr>
        </w:div>
        <w:div w:id="2024704410">
          <w:marLeft w:val="0"/>
          <w:marRight w:val="0"/>
          <w:marTop w:val="0"/>
          <w:marBottom w:val="0"/>
          <w:divBdr>
            <w:top w:val="none" w:sz="0" w:space="0" w:color="auto"/>
            <w:left w:val="none" w:sz="0" w:space="0" w:color="auto"/>
            <w:bottom w:val="none" w:sz="0" w:space="0" w:color="auto"/>
            <w:right w:val="none" w:sz="0" w:space="0" w:color="auto"/>
          </w:divBdr>
        </w:div>
        <w:div w:id="2024704411">
          <w:marLeft w:val="0"/>
          <w:marRight w:val="0"/>
          <w:marTop w:val="0"/>
          <w:marBottom w:val="0"/>
          <w:divBdr>
            <w:top w:val="none" w:sz="0" w:space="0" w:color="auto"/>
            <w:left w:val="none" w:sz="0" w:space="0" w:color="auto"/>
            <w:bottom w:val="none" w:sz="0" w:space="0" w:color="auto"/>
            <w:right w:val="none" w:sz="0" w:space="0" w:color="auto"/>
          </w:divBdr>
        </w:div>
        <w:div w:id="2024704412">
          <w:marLeft w:val="0"/>
          <w:marRight w:val="0"/>
          <w:marTop w:val="0"/>
          <w:marBottom w:val="0"/>
          <w:divBdr>
            <w:top w:val="none" w:sz="0" w:space="0" w:color="auto"/>
            <w:left w:val="none" w:sz="0" w:space="0" w:color="auto"/>
            <w:bottom w:val="none" w:sz="0" w:space="0" w:color="auto"/>
            <w:right w:val="none" w:sz="0" w:space="0" w:color="auto"/>
          </w:divBdr>
        </w:div>
        <w:div w:id="2024704413">
          <w:marLeft w:val="0"/>
          <w:marRight w:val="0"/>
          <w:marTop w:val="0"/>
          <w:marBottom w:val="0"/>
          <w:divBdr>
            <w:top w:val="none" w:sz="0" w:space="0" w:color="auto"/>
            <w:left w:val="none" w:sz="0" w:space="0" w:color="auto"/>
            <w:bottom w:val="none" w:sz="0" w:space="0" w:color="auto"/>
            <w:right w:val="none" w:sz="0" w:space="0" w:color="auto"/>
          </w:divBdr>
        </w:div>
        <w:div w:id="2024704414">
          <w:marLeft w:val="0"/>
          <w:marRight w:val="0"/>
          <w:marTop w:val="0"/>
          <w:marBottom w:val="0"/>
          <w:divBdr>
            <w:top w:val="none" w:sz="0" w:space="0" w:color="auto"/>
            <w:left w:val="none" w:sz="0" w:space="0" w:color="auto"/>
            <w:bottom w:val="none" w:sz="0" w:space="0" w:color="auto"/>
            <w:right w:val="none" w:sz="0" w:space="0" w:color="auto"/>
          </w:divBdr>
        </w:div>
        <w:div w:id="2024704415">
          <w:marLeft w:val="0"/>
          <w:marRight w:val="0"/>
          <w:marTop w:val="0"/>
          <w:marBottom w:val="0"/>
          <w:divBdr>
            <w:top w:val="none" w:sz="0" w:space="0" w:color="auto"/>
            <w:left w:val="none" w:sz="0" w:space="0" w:color="auto"/>
            <w:bottom w:val="none" w:sz="0" w:space="0" w:color="auto"/>
            <w:right w:val="none" w:sz="0" w:space="0" w:color="auto"/>
          </w:divBdr>
        </w:div>
        <w:div w:id="2024704416">
          <w:marLeft w:val="0"/>
          <w:marRight w:val="0"/>
          <w:marTop w:val="0"/>
          <w:marBottom w:val="0"/>
          <w:divBdr>
            <w:top w:val="none" w:sz="0" w:space="0" w:color="auto"/>
            <w:left w:val="none" w:sz="0" w:space="0" w:color="auto"/>
            <w:bottom w:val="none" w:sz="0" w:space="0" w:color="auto"/>
            <w:right w:val="none" w:sz="0" w:space="0" w:color="auto"/>
          </w:divBdr>
        </w:div>
        <w:div w:id="2024704417">
          <w:marLeft w:val="0"/>
          <w:marRight w:val="0"/>
          <w:marTop w:val="0"/>
          <w:marBottom w:val="0"/>
          <w:divBdr>
            <w:top w:val="none" w:sz="0" w:space="0" w:color="auto"/>
            <w:left w:val="none" w:sz="0" w:space="0" w:color="auto"/>
            <w:bottom w:val="none" w:sz="0" w:space="0" w:color="auto"/>
            <w:right w:val="none" w:sz="0" w:space="0" w:color="auto"/>
          </w:divBdr>
        </w:div>
        <w:div w:id="2024704418">
          <w:marLeft w:val="0"/>
          <w:marRight w:val="0"/>
          <w:marTop w:val="0"/>
          <w:marBottom w:val="0"/>
          <w:divBdr>
            <w:top w:val="none" w:sz="0" w:space="0" w:color="auto"/>
            <w:left w:val="none" w:sz="0" w:space="0" w:color="auto"/>
            <w:bottom w:val="none" w:sz="0" w:space="0" w:color="auto"/>
            <w:right w:val="none" w:sz="0" w:space="0" w:color="auto"/>
          </w:divBdr>
        </w:div>
        <w:div w:id="2024704419">
          <w:marLeft w:val="0"/>
          <w:marRight w:val="0"/>
          <w:marTop w:val="0"/>
          <w:marBottom w:val="0"/>
          <w:divBdr>
            <w:top w:val="none" w:sz="0" w:space="0" w:color="auto"/>
            <w:left w:val="none" w:sz="0" w:space="0" w:color="auto"/>
            <w:bottom w:val="none" w:sz="0" w:space="0" w:color="auto"/>
            <w:right w:val="none" w:sz="0" w:space="0" w:color="auto"/>
          </w:divBdr>
        </w:div>
        <w:div w:id="2024704420">
          <w:marLeft w:val="0"/>
          <w:marRight w:val="0"/>
          <w:marTop w:val="0"/>
          <w:marBottom w:val="0"/>
          <w:divBdr>
            <w:top w:val="none" w:sz="0" w:space="0" w:color="auto"/>
            <w:left w:val="none" w:sz="0" w:space="0" w:color="auto"/>
            <w:bottom w:val="none" w:sz="0" w:space="0" w:color="auto"/>
            <w:right w:val="none" w:sz="0" w:space="0" w:color="auto"/>
          </w:divBdr>
        </w:div>
        <w:div w:id="2024704421">
          <w:marLeft w:val="0"/>
          <w:marRight w:val="0"/>
          <w:marTop w:val="0"/>
          <w:marBottom w:val="0"/>
          <w:divBdr>
            <w:top w:val="none" w:sz="0" w:space="0" w:color="auto"/>
            <w:left w:val="none" w:sz="0" w:space="0" w:color="auto"/>
            <w:bottom w:val="none" w:sz="0" w:space="0" w:color="auto"/>
            <w:right w:val="none" w:sz="0" w:space="0" w:color="auto"/>
          </w:divBdr>
        </w:div>
        <w:div w:id="2024704422">
          <w:marLeft w:val="0"/>
          <w:marRight w:val="0"/>
          <w:marTop w:val="0"/>
          <w:marBottom w:val="0"/>
          <w:divBdr>
            <w:top w:val="none" w:sz="0" w:space="0" w:color="auto"/>
            <w:left w:val="none" w:sz="0" w:space="0" w:color="auto"/>
            <w:bottom w:val="none" w:sz="0" w:space="0" w:color="auto"/>
            <w:right w:val="none" w:sz="0" w:space="0" w:color="auto"/>
          </w:divBdr>
        </w:div>
        <w:div w:id="2024704423">
          <w:marLeft w:val="0"/>
          <w:marRight w:val="0"/>
          <w:marTop w:val="0"/>
          <w:marBottom w:val="0"/>
          <w:divBdr>
            <w:top w:val="none" w:sz="0" w:space="0" w:color="auto"/>
            <w:left w:val="none" w:sz="0" w:space="0" w:color="auto"/>
            <w:bottom w:val="none" w:sz="0" w:space="0" w:color="auto"/>
            <w:right w:val="none" w:sz="0" w:space="0" w:color="auto"/>
          </w:divBdr>
        </w:div>
        <w:div w:id="2024704424">
          <w:marLeft w:val="0"/>
          <w:marRight w:val="0"/>
          <w:marTop w:val="0"/>
          <w:marBottom w:val="0"/>
          <w:divBdr>
            <w:top w:val="none" w:sz="0" w:space="0" w:color="auto"/>
            <w:left w:val="none" w:sz="0" w:space="0" w:color="auto"/>
            <w:bottom w:val="none" w:sz="0" w:space="0" w:color="auto"/>
            <w:right w:val="none" w:sz="0" w:space="0" w:color="auto"/>
          </w:divBdr>
        </w:div>
        <w:div w:id="2024704425">
          <w:marLeft w:val="0"/>
          <w:marRight w:val="0"/>
          <w:marTop w:val="0"/>
          <w:marBottom w:val="0"/>
          <w:divBdr>
            <w:top w:val="none" w:sz="0" w:space="0" w:color="auto"/>
            <w:left w:val="none" w:sz="0" w:space="0" w:color="auto"/>
            <w:bottom w:val="none" w:sz="0" w:space="0" w:color="auto"/>
            <w:right w:val="none" w:sz="0" w:space="0" w:color="auto"/>
          </w:divBdr>
        </w:div>
        <w:div w:id="2024704427">
          <w:marLeft w:val="0"/>
          <w:marRight w:val="0"/>
          <w:marTop w:val="0"/>
          <w:marBottom w:val="0"/>
          <w:divBdr>
            <w:top w:val="none" w:sz="0" w:space="0" w:color="auto"/>
            <w:left w:val="none" w:sz="0" w:space="0" w:color="auto"/>
            <w:bottom w:val="none" w:sz="0" w:space="0" w:color="auto"/>
            <w:right w:val="none" w:sz="0" w:space="0" w:color="auto"/>
          </w:divBdr>
        </w:div>
        <w:div w:id="2024704428">
          <w:marLeft w:val="0"/>
          <w:marRight w:val="0"/>
          <w:marTop w:val="0"/>
          <w:marBottom w:val="0"/>
          <w:divBdr>
            <w:top w:val="none" w:sz="0" w:space="0" w:color="auto"/>
            <w:left w:val="none" w:sz="0" w:space="0" w:color="auto"/>
            <w:bottom w:val="none" w:sz="0" w:space="0" w:color="auto"/>
            <w:right w:val="none" w:sz="0" w:space="0" w:color="auto"/>
          </w:divBdr>
        </w:div>
        <w:div w:id="2024704429">
          <w:marLeft w:val="0"/>
          <w:marRight w:val="0"/>
          <w:marTop w:val="0"/>
          <w:marBottom w:val="0"/>
          <w:divBdr>
            <w:top w:val="none" w:sz="0" w:space="0" w:color="auto"/>
            <w:left w:val="none" w:sz="0" w:space="0" w:color="auto"/>
            <w:bottom w:val="none" w:sz="0" w:space="0" w:color="auto"/>
            <w:right w:val="none" w:sz="0" w:space="0" w:color="auto"/>
          </w:divBdr>
        </w:div>
        <w:div w:id="2024704430">
          <w:marLeft w:val="0"/>
          <w:marRight w:val="0"/>
          <w:marTop w:val="0"/>
          <w:marBottom w:val="0"/>
          <w:divBdr>
            <w:top w:val="none" w:sz="0" w:space="0" w:color="auto"/>
            <w:left w:val="none" w:sz="0" w:space="0" w:color="auto"/>
            <w:bottom w:val="none" w:sz="0" w:space="0" w:color="auto"/>
            <w:right w:val="none" w:sz="0" w:space="0" w:color="auto"/>
          </w:divBdr>
        </w:div>
        <w:div w:id="2024704431">
          <w:marLeft w:val="0"/>
          <w:marRight w:val="0"/>
          <w:marTop w:val="0"/>
          <w:marBottom w:val="0"/>
          <w:divBdr>
            <w:top w:val="none" w:sz="0" w:space="0" w:color="auto"/>
            <w:left w:val="none" w:sz="0" w:space="0" w:color="auto"/>
            <w:bottom w:val="none" w:sz="0" w:space="0" w:color="auto"/>
            <w:right w:val="none" w:sz="0" w:space="0" w:color="auto"/>
          </w:divBdr>
        </w:div>
        <w:div w:id="2024704432">
          <w:marLeft w:val="0"/>
          <w:marRight w:val="0"/>
          <w:marTop w:val="0"/>
          <w:marBottom w:val="0"/>
          <w:divBdr>
            <w:top w:val="none" w:sz="0" w:space="0" w:color="auto"/>
            <w:left w:val="none" w:sz="0" w:space="0" w:color="auto"/>
            <w:bottom w:val="none" w:sz="0" w:space="0" w:color="auto"/>
            <w:right w:val="none" w:sz="0" w:space="0" w:color="auto"/>
          </w:divBdr>
        </w:div>
        <w:div w:id="2024704433">
          <w:marLeft w:val="0"/>
          <w:marRight w:val="0"/>
          <w:marTop w:val="0"/>
          <w:marBottom w:val="0"/>
          <w:divBdr>
            <w:top w:val="none" w:sz="0" w:space="0" w:color="auto"/>
            <w:left w:val="none" w:sz="0" w:space="0" w:color="auto"/>
            <w:bottom w:val="none" w:sz="0" w:space="0" w:color="auto"/>
            <w:right w:val="none" w:sz="0" w:space="0" w:color="auto"/>
          </w:divBdr>
        </w:div>
        <w:div w:id="2024704434">
          <w:marLeft w:val="0"/>
          <w:marRight w:val="0"/>
          <w:marTop w:val="0"/>
          <w:marBottom w:val="0"/>
          <w:divBdr>
            <w:top w:val="none" w:sz="0" w:space="0" w:color="auto"/>
            <w:left w:val="none" w:sz="0" w:space="0" w:color="auto"/>
            <w:bottom w:val="none" w:sz="0" w:space="0" w:color="auto"/>
            <w:right w:val="none" w:sz="0" w:space="0" w:color="auto"/>
          </w:divBdr>
        </w:div>
        <w:div w:id="2024704435">
          <w:marLeft w:val="0"/>
          <w:marRight w:val="0"/>
          <w:marTop w:val="0"/>
          <w:marBottom w:val="0"/>
          <w:divBdr>
            <w:top w:val="none" w:sz="0" w:space="0" w:color="auto"/>
            <w:left w:val="none" w:sz="0" w:space="0" w:color="auto"/>
            <w:bottom w:val="none" w:sz="0" w:space="0" w:color="auto"/>
            <w:right w:val="none" w:sz="0" w:space="0" w:color="auto"/>
          </w:divBdr>
        </w:div>
        <w:div w:id="2024704436">
          <w:marLeft w:val="0"/>
          <w:marRight w:val="0"/>
          <w:marTop w:val="0"/>
          <w:marBottom w:val="0"/>
          <w:divBdr>
            <w:top w:val="none" w:sz="0" w:space="0" w:color="auto"/>
            <w:left w:val="none" w:sz="0" w:space="0" w:color="auto"/>
            <w:bottom w:val="none" w:sz="0" w:space="0" w:color="auto"/>
            <w:right w:val="none" w:sz="0" w:space="0" w:color="auto"/>
          </w:divBdr>
        </w:div>
        <w:div w:id="2024704437">
          <w:marLeft w:val="0"/>
          <w:marRight w:val="0"/>
          <w:marTop w:val="0"/>
          <w:marBottom w:val="0"/>
          <w:divBdr>
            <w:top w:val="none" w:sz="0" w:space="0" w:color="auto"/>
            <w:left w:val="none" w:sz="0" w:space="0" w:color="auto"/>
            <w:bottom w:val="none" w:sz="0" w:space="0" w:color="auto"/>
            <w:right w:val="none" w:sz="0" w:space="0" w:color="auto"/>
          </w:divBdr>
        </w:div>
        <w:div w:id="2024704438">
          <w:marLeft w:val="0"/>
          <w:marRight w:val="0"/>
          <w:marTop w:val="0"/>
          <w:marBottom w:val="0"/>
          <w:divBdr>
            <w:top w:val="none" w:sz="0" w:space="0" w:color="auto"/>
            <w:left w:val="none" w:sz="0" w:space="0" w:color="auto"/>
            <w:bottom w:val="none" w:sz="0" w:space="0" w:color="auto"/>
            <w:right w:val="none" w:sz="0" w:space="0" w:color="auto"/>
          </w:divBdr>
        </w:div>
        <w:div w:id="2024704440">
          <w:marLeft w:val="0"/>
          <w:marRight w:val="0"/>
          <w:marTop w:val="0"/>
          <w:marBottom w:val="0"/>
          <w:divBdr>
            <w:top w:val="none" w:sz="0" w:space="0" w:color="auto"/>
            <w:left w:val="none" w:sz="0" w:space="0" w:color="auto"/>
            <w:bottom w:val="none" w:sz="0" w:space="0" w:color="auto"/>
            <w:right w:val="none" w:sz="0" w:space="0" w:color="auto"/>
          </w:divBdr>
        </w:div>
        <w:div w:id="2024704441">
          <w:marLeft w:val="0"/>
          <w:marRight w:val="0"/>
          <w:marTop w:val="0"/>
          <w:marBottom w:val="0"/>
          <w:divBdr>
            <w:top w:val="none" w:sz="0" w:space="0" w:color="auto"/>
            <w:left w:val="none" w:sz="0" w:space="0" w:color="auto"/>
            <w:bottom w:val="none" w:sz="0" w:space="0" w:color="auto"/>
            <w:right w:val="none" w:sz="0" w:space="0" w:color="auto"/>
          </w:divBdr>
        </w:div>
        <w:div w:id="2024704442">
          <w:marLeft w:val="0"/>
          <w:marRight w:val="0"/>
          <w:marTop w:val="0"/>
          <w:marBottom w:val="0"/>
          <w:divBdr>
            <w:top w:val="none" w:sz="0" w:space="0" w:color="auto"/>
            <w:left w:val="none" w:sz="0" w:space="0" w:color="auto"/>
            <w:bottom w:val="none" w:sz="0" w:space="0" w:color="auto"/>
            <w:right w:val="none" w:sz="0" w:space="0" w:color="auto"/>
          </w:divBdr>
        </w:div>
        <w:div w:id="2024704443">
          <w:marLeft w:val="0"/>
          <w:marRight w:val="0"/>
          <w:marTop w:val="0"/>
          <w:marBottom w:val="0"/>
          <w:divBdr>
            <w:top w:val="none" w:sz="0" w:space="0" w:color="auto"/>
            <w:left w:val="none" w:sz="0" w:space="0" w:color="auto"/>
            <w:bottom w:val="none" w:sz="0" w:space="0" w:color="auto"/>
            <w:right w:val="none" w:sz="0" w:space="0" w:color="auto"/>
          </w:divBdr>
        </w:div>
        <w:div w:id="2024704444">
          <w:marLeft w:val="0"/>
          <w:marRight w:val="0"/>
          <w:marTop w:val="0"/>
          <w:marBottom w:val="0"/>
          <w:divBdr>
            <w:top w:val="none" w:sz="0" w:space="0" w:color="auto"/>
            <w:left w:val="none" w:sz="0" w:space="0" w:color="auto"/>
            <w:bottom w:val="none" w:sz="0" w:space="0" w:color="auto"/>
            <w:right w:val="none" w:sz="0" w:space="0" w:color="auto"/>
          </w:divBdr>
        </w:div>
        <w:div w:id="2024704445">
          <w:marLeft w:val="0"/>
          <w:marRight w:val="0"/>
          <w:marTop w:val="0"/>
          <w:marBottom w:val="0"/>
          <w:divBdr>
            <w:top w:val="none" w:sz="0" w:space="0" w:color="auto"/>
            <w:left w:val="none" w:sz="0" w:space="0" w:color="auto"/>
            <w:bottom w:val="none" w:sz="0" w:space="0" w:color="auto"/>
            <w:right w:val="none" w:sz="0" w:space="0" w:color="auto"/>
          </w:divBdr>
        </w:div>
        <w:div w:id="2024704446">
          <w:marLeft w:val="0"/>
          <w:marRight w:val="0"/>
          <w:marTop w:val="0"/>
          <w:marBottom w:val="0"/>
          <w:divBdr>
            <w:top w:val="none" w:sz="0" w:space="0" w:color="auto"/>
            <w:left w:val="none" w:sz="0" w:space="0" w:color="auto"/>
            <w:bottom w:val="none" w:sz="0" w:space="0" w:color="auto"/>
            <w:right w:val="none" w:sz="0" w:space="0" w:color="auto"/>
          </w:divBdr>
        </w:div>
        <w:div w:id="2024704447">
          <w:marLeft w:val="0"/>
          <w:marRight w:val="0"/>
          <w:marTop w:val="0"/>
          <w:marBottom w:val="0"/>
          <w:divBdr>
            <w:top w:val="none" w:sz="0" w:space="0" w:color="auto"/>
            <w:left w:val="none" w:sz="0" w:space="0" w:color="auto"/>
            <w:bottom w:val="none" w:sz="0" w:space="0" w:color="auto"/>
            <w:right w:val="none" w:sz="0" w:space="0" w:color="auto"/>
          </w:divBdr>
        </w:div>
        <w:div w:id="2024704448">
          <w:marLeft w:val="0"/>
          <w:marRight w:val="0"/>
          <w:marTop w:val="0"/>
          <w:marBottom w:val="0"/>
          <w:divBdr>
            <w:top w:val="none" w:sz="0" w:space="0" w:color="auto"/>
            <w:left w:val="none" w:sz="0" w:space="0" w:color="auto"/>
            <w:bottom w:val="none" w:sz="0" w:space="0" w:color="auto"/>
            <w:right w:val="none" w:sz="0" w:space="0" w:color="auto"/>
          </w:divBdr>
        </w:div>
        <w:div w:id="2024704449">
          <w:marLeft w:val="0"/>
          <w:marRight w:val="0"/>
          <w:marTop w:val="0"/>
          <w:marBottom w:val="0"/>
          <w:divBdr>
            <w:top w:val="none" w:sz="0" w:space="0" w:color="auto"/>
            <w:left w:val="none" w:sz="0" w:space="0" w:color="auto"/>
            <w:bottom w:val="none" w:sz="0" w:space="0" w:color="auto"/>
            <w:right w:val="none" w:sz="0" w:space="0" w:color="auto"/>
          </w:divBdr>
        </w:div>
        <w:div w:id="2024704450">
          <w:marLeft w:val="0"/>
          <w:marRight w:val="0"/>
          <w:marTop w:val="0"/>
          <w:marBottom w:val="0"/>
          <w:divBdr>
            <w:top w:val="none" w:sz="0" w:space="0" w:color="auto"/>
            <w:left w:val="none" w:sz="0" w:space="0" w:color="auto"/>
            <w:bottom w:val="none" w:sz="0" w:space="0" w:color="auto"/>
            <w:right w:val="none" w:sz="0" w:space="0" w:color="auto"/>
          </w:divBdr>
        </w:div>
        <w:div w:id="2024704451">
          <w:marLeft w:val="0"/>
          <w:marRight w:val="0"/>
          <w:marTop w:val="0"/>
          <w:marBottom w:val="0"/>
          <w:divBdr>
            <w:top w:val="none" w:sz="0" w:space="0" w:color="auto"/>
            <w:left w:val="none" w:sz="0" w:space="0" w:color="auto"/>
            <w:bottom w:val="none" w:sz="0" w:space="0" w:color="auto"/>
            <w:right w:val="none" w:sz="0" w:space="0" w:color="auto"/>
          </w:divBdr>
        </w:div>
        <w:div w:id="2024704452">
          <w:marLeft w:val="0"/>
          <w:marRight w:val="0"/>
          <w:marTop w:val="0"/>
          <w:marBottom w:val="0"/>
          <w:divBdr>
            <w:top w:val="none" w:sz="0" w:space="0" w:color="auto"/>
            <w:left w:val="none" w:sz="0" w:space="0" w:color="auto"/>
            <w:bottom w:val="none" w:sz="0" w:space="0" w:color="auto"/>
            <w:right w:val="none" w:sz="0" w:space="0" w:color="auto"/>
          </w:divBdr>
        </w:div>
        <w:div w:id="2024704453">
          <w:marLeft w:val="0"/>
          <w:marRight w:val="0"/>
          <w:marTop w:val="0"/>
          <w:marBottom w:val="0"/>
          <w:divBdr>
            <w:top w:val="none" w:sz="0" w:space="0" w:color="auto"/>
            <w:left w:val="none" w:sz="0" w:space="0" w:color="auto"/>
            <w:bottom w:val="none" w:sz="0" w:space="0" w:color="auto"/>
            <w:right w:val="none" w:sz="0" w:space="0" w:color="auto"/>
          </w:divBdr>
        </w:div>
        <w:div w:id="2024704454">
          <w:marLeft w:val="0"/>
          <w:marRight w:val="0"/>
          <w:marTop w:val="0"/>
          <w:marBottom w:val="0"/>
          <w:divBdr>
            <w:top w:val="none" w:sz="0" w:space="0" w:color="auto"/>
            <w:left w:val="none" w:sz="0" w:space="0" w:color="auto"/>
            <w:bottom w:val="none" w:sz="0" w:space="0" w:color="auto"/>
            <w:right w:val="none" w:sz="0" w:space="0" w:color="auto"/>
          </w:divBdr>
        </w:div>
        <w:div w:id="2024704456">
          <w:marLeft w:val="0"/>
          <w:marRight w:val="0"/>
          <w:marTop w:val="0"/>
          <w:marBottom w:val="0"/>
          <w:divBdr>
            <w:top w:val="none" w:sz="0" w:space="0" w:color="auto"/>
            <w:left w:val="none" w:sz="0" w:space="0" w:color="auto"/>
            <w:bottom w:val="none" w:sz="0" w:space="0" w:color="auto"/>
            <w:right w:val="none" w:sz="0" w:space="0" w:color="auto"/>
          </w:divBdr>
        </w:div>
        <w:div w:id="2024704457">
          <w:marLeft w:val="0"/>
          <w:marRight w:val="0"/>
          <w:marTop w:val="0"/>
          <w:marBottom w:val="0"/>
          <w:divBdr>
            <w:top w:val="none" w:sz="0" w:space="0" w:color="auto"/>
            <w:left w:val="none" w:sz="0" w:space="0" w:color="auto"/>
            <w:bottom w:val="none" w:sz="0" w:space="0" w:color="auto"/>
            <w:right w:val="none" w:sz="0" w:space="0" w:color="auto"/>
          </w:divBdr>
        </w:div>
        <w:div w:id="2024704458">
          <w:marLeft w:val="0"/>
          <w:marRight w:val="0"/>
          <w:marTop w:val="0"/>
          <w:marBottom w:val="0"/>
          <w:divBdr>
            <w:top w:val="none" w:sz="0" w:space="0" w:color="auto"/>
            <w:left w:val="none" w:sz="0" w:space="0" w:color="auto"/>
            <w:bottom w:val="none" w:sz="0" w:space="0" w:color="auto"/>
            <w:right w:val="none" w:sz="0" w:space="0" w:color="auto"/>
          </w:divBdr>
        </w:div>
        <w:div w:id="2024704459">
          <w:marLeft w:val="0"/>
          <w:marRight w:val="0"/>
          <w:marTop w:val="0"/>
          <w:marBottom w:val="0"/>
          <w:divBdr>
            <w:top w:val="none" w:sz="0" w:space="0" w:color="auto"/>
            <w:left w:val="none" w:sz="0" w:space="0" w:color="auto"/>
            <w:bottom w:val="none" w:sz="0" w:space="0" w:color="auto"/>
            <w:right w:val="none" w:sz="0" w:space="0" w:color="auto"/>
          </w:divBdr>
        </w:div>
        <w:div w:id="2024704460">
          <w:marLeft w:val="0"/>
          <w:marRight w:val="0"/>
          <w:marTop w:val="0"/>
          <w:marBottom w:val="0"/>
          <w:divBdr>
            <w:top w:val="none" w:sz="0" w:space="0" w:color="auto"/>
            <w:left w:val="none" w:sz="0" w:space="0" w:color="auto"/>
            <w:bottom w:val="none" w:sz="0" w:space="0" w:color="auto"/>
            <w:right w:val="none" w:sz="0" w:space="0" w:color="auto"/>
          </w:divBdr>
        </w:div>
        <w:div w:id="2024704461">
          <w:marLeft w:val="0"/>
          <w:marRight w:val="0"/>
          <w:marTop w:val="0"/>
          <w:marBottom w:val="0"/>
          <w:divBdr>
            <w:top w:val="none" w:sz="0" w:space="0" w:color="auto"/>
            <w:left w:val="none" w:sz="0" w:space="0" w:color="auto"/>
            <w:bottom w:val="none" w:sz="0" w:space="0" w:color="auto"/>
            <w:right w:val="none" w:sz="0" w:space="0" w:color="auto"/>
          </w:divBdr>
        </w:div>
        <w:div w:id="2024704462">
          <w:marLeft w:val="0"/>
          <w:marRight w:val="0"/>
          <w:marTop w:val="0"/>
          <w:marBottom w:val="0"/>
          <w:divBdr>
            <w:top w:val="none" w:sz="0" w:space="0" w:color="auto"/>
            <w:left w:val="none" w:sz="0" w:space="0" w:color="auto"/>
            <w:bottom w:val="none" w:sz="0" w:space="0" w:color="auto"/>
            <w:right w:val="none" w:sz="0" w:space="0" w:color="auto"/>
          </w:divBdr>
        </w:div>
        <w:div w:id="2024704463">
          <w:marLeft w:val="0"/>
          <w:marRight w:val="0"/>
          <w:marTop w:val="0"/>
          <w:marBottom w:val="0"/>
          <w:divBdr>
            <w:top w:val="none" w:sz="0" w:space="0" w:color="auto"/>
            <w:left w:val="none" w:sz="0" w:space="0" w:color="auto"/>
            <w:bottom w:val="none" w:sz="0" w:space="0" w:color="auto"/>
            <w:right w:val="none" w:sz="0" w:space="0" w:color="auto"/>
          </w:divBdr>
        </w:div>
        <w:div w:id="2024704464">
          <w:marLeft w:val="0"/>
          <w:marRight w:val="0"/>
          <w:marTop w:val="0"/>
          <w:marBottom w:val="0"/>
          <w:divBdr>
            <w:top w:val="none" w:sz="0" w:space="0" w:color="auto"/>
            <w:left w:val="none" w:sz="0" w:space="0" w:color="auto"/>
            <w:bottom w:val="none" w:sz="0" w:space="0" w:color="auto"/>
            <w:right w:val="none" w:sz="0" w:space="0" w:color="auto"/>
          </w:divBdr>
        </w:div>
        <w:div w:id="2024704465">
          <w:marLeft w:val="0"/>
          <w:marRight w:val="0"/>
          <w:marTop w:val="0"/>
          <w:marBottom w:val="0"/>
          <w:divBdr>
            <w:top w:val="none" w:sz="0" w:space="0" w:color="auto"/>
            <w:left w:val="none" w:sz="0" w:space="0" w:color="auto"/>
            <w:bottom w:val="none" w:sz="0" w:space="0" w:color="auto"/>
            <w:right w:val="none" w:sz="0" w:space="0" w:color="auto"/>
          </w:divBdr>
        </w:div>
        <w:div w:id="2024704466">
          <w:marLeft w:val="0"/>
          <w:marRight w:val="0"/>
          <w:marTop w:val="0"/>
          <w:marBottom w:val="0"/>
          <w:divBdr>
            <w:top w:val="none" w:sz="0" w:space="0" w:color="auto"/>
            <w:left w:val="none" w:sz="0" w:space="0" w:color="auto"/>
            <w:bottom w:val="none" w:sz="0" w:space="0" w:color="auto"/>
            <w:right w:val="none" w:sz="0" w:space="0" w:color="auto"/>
          </w:divBdr>
        </w:div>
        <w:div w:id="2024704467">
          <w:marLeft w:val="0"/>
          <w:marRight w:val="0"/>
          <w:marTop w:val="0"/>
          <w:marBottom w:val="0"/>
          <w:divBdr>
            <w:top w:val="none" w:sz="0" w:space="0" w:color="auto"/>
            <w:left w:val="none" w:sz="0" w:space="0" w:color="auto"/>
            <w:bottom w:val="none" w:sz="0" w:space="0" w:color="auto"/>
            <w:right w:val="none" w:sz="0" w:space="0" w:color="auto"/>
          </w:divBdr>
        </w:div>
        <w:div w:id="2024704468">
          <w:marLeft w:val="0"/>
          <w:marRight w:val="0"/>
          <w:marTop w:val="0"/>
          <w:marBottom w:val="0"/>
          <w:divBdr>
            <w:top w:val="none" w:sz="0" w:space="0" w:color="auto"/>
            <w:left w:val="none" w:sz="0" w:space="0" w:color="auto"/>
            <w:bottom w:val="none" w:sz="0" w:space="0" w:color="auto"/>
            <w:right w:val="none" w:sz="0" w:space="0" w:color="auto"/>
          </w:divBdr>
        </w:div>
        <w:div w:id="2024704469">
          <w:marLeft w:val="0"/>
          <w:marRight w:val="0"/>
          <w:marTop w:val="0"/>
          <w:marBottom w:val="0"/>
          <w:divBdr>
            <w:top w:val="none" w:sz="0" w:space="0" w:color="auto"/>
            <w:left w:val="none" w:sz="0" w:space="0" w:color="auto"/>
            <w:bottom w:val="none" w:sz="0" w:space="0" w:color="auto"/>
            <w:right w:val="none" w:sz="0" w:space="0" w:color="auto"/>
          </w:divBdr>
        </w:div>
        <w:div w:id="2024704470">
          <w:marLeft w:val="0"/>
          <w:marRight w:val="0"/>
          <w:marTop w:val="0"/>
          <w:marBottom w:val="0"/>
          <w:divBdr>
            <w:top w:val="none" w:sz="0" w:space="0" w:color="auto"/>
            <w:left w:val="none" w:sz="0" w:space="0" w:color="auto"/>
            <w:bottom w:val="none" w:sz="0" w:space="0" w:color="auto"/>
            <w:right w:val="none" w:sz="0" w:space="0" w:color="auto"/>
          </w:divBdr>
        </w:div>
        <w:div w:id="2024704471">
          <w:marLeft w:val="0"/>
          <w:marRight w:val="0"/>
          <w:marTop w:val="0"/>
          <w:marBottom w:val="0"/>
          <w:divBdr>
            <w:top w:val="none" w:sz="0" w:space="0" w:color="auto"/>
            <w:left w:val="none" w:sz="0" w:space="0" w:color="auto"/>
            <w:bottom w:val="none" w:sz="0" w:space="0" w:color="auto"/>
            <w:right w:val="none" w:sz="0" w:space="0" w:color="auto"/>
          </w:divBdr>
        </w:div>
        <w:div w:id="2024704472">
          <w:marLeft w:val="0"/>
          <w:marRight w:val="0"/>
          <w:marTop w:val="0"/>
          <w:marBottom w:val="0"/>
          <w:divBdr>
            <w:top w:val="none" w:sz="0" w:space="0" w:color="auto"/>
            <w:left w:val="none" w:sz="0" w:space="0" w:color="auto"/>
            <w:bottom w:val="none" w:sz="0" w:space="0" w:color="auto"/>
            <w:right w:val="none" w:sz="0" w:space="0" w:color="auto"/>
          </w:divBdr>
        </w:div>
        <w:div w:id="2024704473">
          <w:marLeft w:val="0"/>
          <w:marRight w:val="0"/>
          <w:marTop w:val="0"/>
          <w:marBottom w:val="0"/>
          <w:divBdr>
            <w:top w:val="none" w:sz="0" w:space="0" w:color="auto"/>
            <w:left w:val="none" w:sz="0" w:space="0" w:color="auto"/>
            <w:bottom w:val="none" w:sz="0" w:space="0" w:color="auto"/>
            <w:right w:val="none" w:sz="0" w:space="0" w:color="auto"/>
          </w:divBdr>
        </w:div>
        <w:div w:id="2024704474">
          <w:marLeft w:val="0"/>
          <w:marRight w:val="0"/>
          <w:marTop w:val="0"/>
          <w:marBottom w:val="0"/>
          <w:divBdr>
            <w:top w:val="none" w:sz="0" w:space="0" w:color="auto"/>
            <w:left w:val="none" w:sz="0" w:space="0" w:color="auto"/>
            <w:bottom w:val="none" w:sz="0" w:space="0" w:color="auto"/>
            <w:right w:val="none" w:sz="0" w:space="0" w:color="auto"/>
          </w:divBdr>
        </w:div>
        <w:div w:id="2024704475">
          <w:marLeft w:val="0"/>
          <w:marRight w:val="0"/>
          <w:marTop w:val="0"/>
          <w:marBottom w:val="0"/>
          <w:divBdr>
            <w:top w:val="none" w:sz="0" w:space="0" w:color="auto"/>
            <w:left w:val="none" w:sz="0" w:space="0" w:color="auto"/>
            <w:bottom w:val="none" w:sz="0" w:space="0" w:color="auto"/>
            <w:right w:val="none" w:sz="0" w:space="0" w:color="auto"/>
          </w:divBdr>
        </w:div>
        <w:div w:id="2024704476">
          <w:marLeft w:val="0"/>
          <w:marRight w:val="0"/>
          <w:marTop w:val="0"/>
          <w:marBottom w:val="0"/>
          <w:divBdr>
            <w:top w:val="none" w:sz="0" w:space="0" w:color="auto"/>
            <w:left w:val="none" w:sz="0" w:space="0" w:color="auto"/>
            <w:bottom w:val="none" w:sz="0" w:space="0" w:color="auto"/>
            <w:right w:val="none" w:sz="0" w:space="0" w:color="auto"/>
          </w:divBdr>
        </w:div>
        <w:div w:id="2024704477">
          <w:marLeft w:val="0"/>
          <w:marRight w:val="0"/>
          <w:marTop w:val="0"/>
          <w:marBottom w:val="0"/>
          <w:divBdr>
            <w:top w:val="none" w:sz="0" w:space="0" w:color="auto"/>
            <w:left w:val="none" w:sz="0" w:space="0" w:color="auto"/>
            <w:bottom w:val="none" w:sz="0" w:space="0" w:color="auto"/>
            <w:right w:val="none" w:sz="0" w:space="0" w:color="auto"/>
          </w:divBdr>
        </w:div>
        <w:div w:id="2024704478">
          <w:marLeft w:val="0"/>
          <w:marRight w:val="0"/>
          <w:marTop w:val="0"/>
          <w:marBottom w:val="0"/>
          <w:divBdr>
            <w:top w:val="none" w:sz="0" w:space="0" w:color="auto"/>
            <w:left w:val="none" w:sz="0" w:space="0" w:color="auto"/>
            <w:bottom w:val="none" w:sz="0" w:space="0" w:color="auto"/>
            <w:right w:val="none" w:sz="0" w:space="0" w:color="auto"/>
          </w:divBdr>
        </w:div>
        <w:div w:id="2024704479">
          <w:marLeft w:val="0"/>
          <w:marRight w:val="0"/>
          <w:marTop w:val="0"/>
          <w:marBottom w:val="0"/>
          <w:divBdr>
            <w:top w:val="none" w:sz="0" w:space="0" w:color="auto"/>
            <w:left w:val="none" w:sz="0" w:space="0" w:color="auto"/>
            <w:bottom w:val="none" w:sz="0" w:space="0" w:color="auto"/>
            <w:right w:val="none" w:sz="0" w:space="0" w:color="auto"/>
          </w:divBdr>
        </w:div>
        <w:div w:id="2024704480">
          <w:marLeft w:val="0"/>
          <w:marRight w:val="0"/>
          <w:marTop w:val="0"/>
          <w:marBottom w:val="0"/>
          <w:divBdr>
            <w:top w:val="none" w:sz="0" w:space="0" w:color="auto"/>
            <w:left w:val="none" w:sz="0" w:space="0" w:color="auto"/>
            <w:bottom w:val="none" w:sz="0" w:space="0" w:color="auto"/>
            <w:right w:val="none" w:sz="0" w:space="0" w:color="auto"/>
          </w:divBdr>
        </w:div>
        <w:div w:id="2024704481">
          <w:marLeft w:val="0"/>
          <w:marRight w:val="0"/>
          <w:marTop w:val="0"/>
          <w:marBottom w:val="0"/>
          <w:divBdr>
            <w:top w:val="none" w:sz="0" w:space="0" w:color="auto"/>
            <w:left w:val="none" w:sz="0" w:space="0" w:color="auto"/>
            <w:bottom w:val="none" w:sz="0" w:space="0" w:color="auto"/>
            <w:right w:val="none" w:sz="0" w:space="0" w:color="auto"/>
          </w:divBdr>
        </w:div>
        <w:div w:id="2024704482">
          <w:marLeft w:val="0"/>
          <w:marRight w:val="0"/>
          <w:marTop w:val="0"/>
          <w:marBottom w:val="0"/>
          <w:divBdr>
            <w:top w:val="none" w:sz="0" w:space="0" w:color="auto"/>
            <w:left w:val="none" w:sz="0" w:space="0" w:color="auto"/>
            <w:bottom w:val="none" w:sz="0" w:space="0" w:color="auto"/>
            <w:right w:val="none" w:sz="0" w:space="0" w:color="auto"/>
          </w:divBdr>
        </w:div>
        <w:div w:id="2024704483">
          <w:marLeft w:val="0"/>
          <w:marRight w:val="0"/>
          <w:marTop w:val="0"/>
          <w:marBottom w:val="0"/>
          <w:divBdr>
            <w:top w:val="none" w:sz="0" w:space="0" w:color="auto"/>
            <w:left w:val="none" w:sz="0" w:space="0" w:color="auto"/>
            <w:bottom w:val="none" w:sz="0" w:space="0" w:color="auto"/>
            <w:right w:val="none" w:sz="0" w:space="0" w:color="auto"/>
          </w:divBdr>
        </w:div>
        <w:div w:id="2024704484">
          <w:marLeft w:val="0"/>
          <w:marRight w:val="0"/>
          <w:marTop w:val="0"/>
          <w:marBottom w:val="0"/>
          <w:divBdr>
            <w:top w:val="none" w:sz="0" w:space="0" w:color="auto"/>
            <w:left w:val="none" w:sz="0" w:space="0" w:color="auto"/>
            <w:bottom w:val="none" w:sz="0" w:space="0" w:color="auto"/>
            <w:right w:val="none" w:sz="0" w:space="0" w:color="auto"/>
          </w:divBdr>
        </w:div>
        <w:div w:id="2024704485">
          <w:marLeft w:val="0"/>
          <w:marRight w:val="0"/>
          <w:marTop w:val="0"/>
          <w:marBottom w:val="0"/>
          <w:divBdr>
            <w:top w:val="none" w:sz="0" w:space="0" w:color="auto"/>
            <w:left w:val="none" w:sz="0" w:space="0" w:color="auto"/>
            <w:bottom w:val="none" w:sz="0" w:space="0" w:color="auto"/>
            <w:right w:val="none" w:sz="0" w:space="0" w:color="auto"/>
          </w:divBdr>
        </w:div>
        <w:div w:id="2024704486">
          <w:marLeft w:val="0"/>
          <w:marRight w:val="0"/>
          <w:marTop w:val="0"/>
          <w:marBottom w:val="0"/>
          <w:divBdr>
            <w:top w:val="none" w:sz="0" w:space="0" w:color="auto"/>
            <w:left w:val="none" w:sz="0" w:space="0" w:color="auto"/>
            <w:bottom w:val="none" w:sz="0" w:space="0" w:color="auto"/>
            <w:right w:val="none" w:sz="0" w:space="0" w:color="auto"/>
          </w:divBdr>
        </w:div>
        <w:div w:id="2024704487">
          <w:marLeft w:val="0"/>
          <w:marRight w:val="0"/>
          <w:marTop w:val="0"/>
          <w:marBottom w:val="0"/>
          <w:divBdr>
            <w:top w:val="none" w:sz="0" w:space="0" w:color="auto"/>
            <w:left w:val="none" w:sz="0" w:space="0" w:color="auto"/>
            <w:bottom w:val="none" w:sz="0" w:space="0" w:color="auto"/>
            <w:right w:val="none" w:sz="0" w:space="0" w:color="auto"/>
          </w:divBdr>
        </w:div>
        <w:div w:id="2024704488">
          <w:marLeft w:val="0"/>
          <w:marRight w:val="0"/>
          <w:marTop w:val="0"/>
          <w:marBottom w:val="0"/>
          <w:divBdr>
            <w:top w:val="none" w:sz="0" w:space="0" w:color="auto"/>
            <w:left w:val="none" w:sz="0" w:space="0" w:color="auto"/>
            <w:bottom w:val="none" w:sz="0" w:space="0" w:color="auto"/>
            <w:right w:val="none" w:sz="0" w:space="0" w:color="auto"/>
          </w:divBdr>
        </w:div>
        <w:div w:id="2024704489">
          <w:marLeft w:val="0"/>
          <w:marRight w:val="0"/>
          <w:marTop w:val="0"/>
          <w:marBottom w:val="0"/>
          <w:divBdr>
            <w:top w:val="none" w:sz="0" w:space="0" w:color="auto"/>
            <w:left w:val="none" w:sz="0" w:space="0" w:color="auto"/>
            <w:bottom w:val="none" w:sz="0" w:space="0" w:color="auto"/>
            <w:right w:val="none" w:sz="0" w:space="0" w:color="auto"/>
          </w:divBdr>
        </w:div>
        <w:div w:id="2024704490">
          <w:marLeft w:val="0"/>
          <w:marRight w:val="0"/>
          <w:marTop w:val="0"/>
          <w:marBottom w:val="0"/>
          <w:divBdr>
            <w:top w:val="none" w:sz="0" w:space="0" w:color="auto"/>
            <w:left w:val="none" w:sz="0" w:space="0" w:color="auto"/>
            <w:bottom w:val="none" w:sz="0" w:space="0" w:color="auto"/>
            <w:right w:val="none" w:sz="0" w:space="0" w:color="auto"/>
          </w:divBdr>
        </w:div>
        <w:div w:id="2024704491">
          <w:marLeft w:val="0"/>
          <w:marRight w:val="0"/>
          <w:marTop w:val="0"/>
          <w:marBottom w:val="0"/>
          <w:divBdr>
            <w:top w:val="none" w:sz="0" w:space="0" w:color="auto"/>
            <w:left w:val="none" w:sz="0" w:space="0" w:color="auto"/>
            <w:bottom w:val="none" w:sz="0" w:space="0" w:color="auto"/>
            <w:right w:val="none" w:sz="0" w:space="0" w:color="auto"/>
          </w:divBdr>
        </w:div>
        <w:div w:id="2024704492">
          <w:marLeft w:val="0"/>
          <w:marRight w:val="0"/>
          <w:marTop w:val="0"/>
          <w:marBottom w:val="0"/>
          <w:divBdr>
            <w:top w:val="none" w:sz="0" w:space="0" w:color="auto"/>
            <w:left w:val="none" w:sz="0" w:space="0" w:color="auto"/>
            <w:bottom w:val="none" w:sz="0" w:space="0" w:color="auto"/>
            <w:right w:val="none" w:sz="0" w:space="0" w:color="auto"/>
          </w:divBdr>
        </w:div>
        <w:div w:id="2024704493">
          <w:marLeft w:val="0"/>
          <w:marRight w:val="0"/>
          <w:marTop w:val="0"/>
          <w:marBottom w:val="0"/>
          <w:divBdr>
            <w:top w:val="none" w:sz="0" w:space="0" w:color="auto"/>
            <w:left w:val="none" w:sz="0" w:space="0" w:color="auto"/>
            <w:bottom w:val="none" w:sz="0" w:space="0" w:color="auto"/>
            <w:right w:val="none" w:sz="0" w:space="0" w:color="auto"/>
          </w:divBdr>
        </w:div>
        <w:div w:id="2024704494">
          <w:marLeft w:val="0"/>
          <w:marRight w:val="0"/>
          <w:marTop w:val="0"/>
          <w:marBottom w:val="0"/>
          <w:divBdr>
            <w:top w:val="none" w:sz="0" w:space="0" w:color="auto"/>
            <w:left w:val="none" w:sz="0" w:space="0" w:color="auto"/>
            <w:bottom w:val="none" w:sz="0" w:space="0" w:color="auto"/>
            <w:right w:val="none" w:sz="0" w:space="0" w:color="auto"/>
          </w:divBdr>
        </w:div>
        <w:div w:id="2024704495">
          <w:marLeft w:val="0"/>
          <w:marRight w:val="0"/>
          <w:marTop w:val="0"/>
          <w:marBottom w:val="0"/>
          <w:divBdr>
            <w:top w:val="none" w:sz="0" w:space="0" w:color="auto"/>
            <w:left w:val="none" w:sz="0" w:space="0" w:color="auto"/>
            <w:bottom w:val="none" w:sz="0" w:space="0" w:color="auto"/>
            <w:right w:val="none" w:sz="0" w:space="0" w:color="auto"/>
          </w:divBdr>
        </w:div>
        <w:div w:id="2024704496">
          <w:marLeft w:val="0"/>
          <w:marRight w:val="0"/>
          <w:marTop w:val="0"/>
          <w:marBottom w:val="0"/>
          <w:divBdr>
            <w:top w:val="none" w:sz="0" w:space="0" w:color="auto"/>
            <w:left w:val="none" w:sz="0" w:space="0" w:color="auto"/>
            <w:bottom w:val="none" w:sz="0" w:space="0" w:color="auto"/>
            <w:right w:val="none" w:sz="0" w:space="0" w:color="auto"/>
          </w:divBdr>
        </w:div>
        <w:div w:id="2024704497">
          <w:marLeft w:val="0"/>
          <w:marRight w:val="0"/>
          <w:marTop w:val="0"/>
          <w:marBottom w:val="0"/>
          <w:divBdr>
            <w:top w:val="none" w:sz="0" w:space="0" w:color="auto"/>
            <w:left w:val="none" w:sz="0" w:space="0" w:color="auto"/>
            <w:bottom w:val="none" w:sz="0" w:space="0" w:color="auto"/>
            <w:right w:val="none" w:sz="0" w:space="0" w:color="auto"/>
          </w:divBdr>
        </w:div>
        <w:div w:id="2024704498">
          <w:marLeft w:val="0"/>
          <w:marRight w:val="0"/>
          <w:marTop w:val="0"/>
          <w:marBottom w:val="0"/>
          <w:divBdr>
            <w:top w:val="none" w:sz="0" w:space="0" w:color="auto"/>
            <w:left w:val="none" w:sz="0" w:space="0" w:color="auto"/>
            <w:bottom w:val="none" w:sz="0" w:space="0" w:color="auto"/>
            <w:right w:val="none" w:sz="0" w:space="0" w:color="auto"/>
          </w:divBdr>
        </w:div>
        <w:div w:id="2024704499">
          <w:marLeft w:val="0"/>
          <w:marRight w:val="0"/>
          <w:marTop w:val="0"/>
          <w:marBottom w:val="0"/>
          <w:divBdr>
            <w:top w:val="none" w:sz="0" w:space="0" w:color="auto"/>
            <w:left w:val="none" w:sz="0" w:space="0" w:color="auto"/>
            <w:bottom w:val="none" w:sz="0" w:space="0" w:color="auto"/>
            <w:right w:val="none" w:sz="0" w:space="0" w:color="auto"/>
          </w:divBdr>
        </w:div>
        <w:div w:id="2024704500">
          <w:marLeft w:val="0"/>
          <w:marRight w:val="0"/>
          <w:marTop w:val="0"/>
          <w:marBottom w:val="0"/>
          <w:divBdr>
            <w:top w:val="none" w:sz="0" w:space="0" w:color="auto"/>
            <w:left w:val="none" w:sz="0" w:space="0" w:color="auto"/>
            <w:bottom w:val="none" w:sz="0" w:space="0" w:color="auto"/>
            <w:right w:val="none" w:sz="0" w:space="0" w:color="auto"/>
          </w:divBdr>
        </w:div>
        <w:div w:id="2024704501">
          <w:marLeft w:val="0"/>
          <w:marRight w:val="0"/>
          <w:marTop w:val="0"/>
          <w:marBottom w:val="0"/>
          <w:divBdr>
            <w:top w:val="none" w:sz="0" w:space="0" w:color="auto"/>
            <w:left w:val="none" w:sz="0" w:space="0" w:color="auto"/>
            <w:bottom w:val="none" w:sz="0" w:space="0" w:color="auto"/>
            <w:right w:val="none" w:sz="0" w:space="0" w:color="auto"/>
          </w:divBdr>
        </w:div>
        <w:div w:id="2024704502">
          <w:marLeft w:val="0"/>
          <w:marRight w:val="0"/>
          <w:marTop w:val="0"/>
          <w:marBottom w:val="0"/>
          <w:divBdr>
            <w:top w:val="none" w:sz="0" w:space="0" w:color="auto"/>
            <w:left w:val="none" w:sz="0" w:space="0" w:color="auto"/>
            <w:bottom w:val="none" w:sz="0" w:space="0" w:color="auto"/>
            <w:right w:val="none" w:sz="0" w:space="0" w:color="auto"/>
          </w:divBdr>
        </w:div>
        <w:div w:id="2024704503">
          <w:marLeft w:val="0"/>
          <w:marRight w:val="0"/>
          <w:marTop w:val="0"/>
          <w:marBottom w:val="0"/>
          <w:divBdr>
            <w:top w:val="none" w:sz="0" w:space="0" w:color="auto"/>
            <w:left w:val="none" w:sz="0" w:space="0" w:color="auto"/>
            <w:bottom w:val="none" w:sz="0" w:space="0" w:color="auto"/>
            <w:right w:val="none" w:sz="0" w:space="0" w:color="auto"/>
          </w:divBdr>
        </w:div>
        <w:div w:id="2024704504">
          <w:marLeft w:val="0"/>
          <w:marRight w:val="0"/>
          <w:marTop w:val="0"/>
          <w:marBottom w:val="0"/>
          <w:divBdr>
            <w:top w:val="none" w:sz="0" w:space="0" w:color="auto"/>
            <w:left w:val="none" w:sz="0" w:space="0" w:color="auto"/>
            <w:bottom w:val="none" w:sz="0" w:space="0" w:color="auto"/>
            <w:right w:val="none" w:sz="0" w:space="0" w:color="auto"/>
          </w:divBdr>
        </w:div>
        <w:div w:id="2024704505">
          <w:marLeft w:val="0"/>
          <w:marRight w:val="0"/>
          <w:marTop w:val="0"/>
          <w:marBottom w:val="0"/>
          <w:divBdr>
            <w:top w:val="none" w:sz="0" w:space="0" w:color="auto"/>
            <w:left w:val="none" w:sz="0" w:space="0" w:color="auto"/>
            <w:bottom w:val="none" w:sz="0" w:space="0" w:color="auto"/>
            <w:right w:val="none" w:sz="0" w:space="0" w:color="auto"/>
          </w:divBdr>
        </w:div>
        <w:div w:id="2024704506">
          <w:marLeft w:val="0"/>
          <w:marRight w:val="0"/>
          <w:marTop w:val="0"/>
          <w:marBottom w:val="0"/>
          <w:divBdr>
            <w:top w:val="none" w:sz="0" w:space="0" w:color="auto"/>
            <w:left w:val="none" w:sz="0" w:space="0" w:color="auto"/>
            <w:bottom w:val="none" w:sz="0" w:space="0" w:color="auto"/>
            <w:right w:val="none" w:sz="0" w:space="0" w:color="auto"/>
          </w:divBdr>
        </w:div>
        <w:div w:id="2024704507">
          <w:marLeft w:val="0"/>
          <w:marRight w:val="0"/>
          <w:marTop w:val="0"/>
          <w:marBottom w:val="0"/>
          <w:divBdr>
            <w:top w:val="none" w:sz="0" w:space="0" w:color="auto"/>
            <w:left w:val="none" w:sz="0" w:space="0" w:color="auto"/>
            <w:bottom w:val="none" w:sz="0" w:space="0" w:color="auto"/>
            <w:right w:val="none" w:sz="0" w:space="0" w:color="auto"/>
          </w:divBdr>
        </w:div>
        <w:div w:id="2024704508">
          <w:marLeft w:val="0"/>
          <w:marRight w:val="0"/>
          <w:marTop w:val="0"/>
          <w:marBottom w:val="0"/>
          <w:divBdr>
            <w:top w:val="none" w:sz="0" w:space="0" w:color="auto"/>
            <w:left w:val="none" w:sz="0" w:space="0" w:color="auto"/>
            <w:bottom w:val="none" w:sz="0" w:space="0" w:color="auto"/>
            <w:right w:val="none" w:sz="0" w:space="0" w:color="auto"/>
          </w:divBdr>
        </w:div>
        <w:div w:id="2024704509">
          <w:marLeft w:val="0"/>
          <w:marRight w:val="0"/>
          <w:marTop w:val="0"/>
          <w:marBottom w:val="0"/>
          <w:divBdr>
            <w:top w:val="none" w:sz="0" w:space="0" w:color="auto"/>
            <w:left w:val="none" w:sz="0" w:space="0" w:color="auto"/>
            <w:bottom w:val="none" w:sz="0" w:space="0" w:color="auto"/>
            <w:right w:val="none" w:sz="0" w:space="0" w:color="auto"/>
          </w:divBdr>
        </w:div>
        <w:div w:id="2024704510">
          <w:marLeft w:val="0"/>
          <w:marRight w:val="0"/>
          <w:marTop w:val="0"/>
          <w:marBottom w:val="0"/>
          <w:divBdr>
            <w:top w:val="none" w:sz="0" w:space="0" w:color="auto"/>
            <w:left w:val="none" w:sz="0" w:space="0" w:color="auto"/>
            <w:bottom w:val="none" w:sz="0" w:space="0" w:color="auto"/>
            <w:right w:val="none" w:sz="0" w:space="0" w:color="auto"/>
          </w:divBdr>
        </w:div>
        <w:div w:id="2024704511">
          <w:marLeft w:val="0"/>
          <w:marRight w:val="0"/>
          <w:marTop w:val="0"/>
          <w:marBottom w:val="0"/>
          <w:divBdr>
            <w:top w:val="none" w:sz="0" w:space="0" w:color="auto"/>
            <w:left w:val="none" w:sz="0" w:space="0" w:color="auto"/>
            <w:bottom w:val="none" w:sz="0" w:space="0" w:color="auto"/>
            <w:right w:val="none" w:sz="0" w:space="0" w:color="auto"/>
          </w:divBdr>
        </w:div>
        <w:div w:id="2024704512">
          <w:marLeft w:val="0"/>
          <w:marRight w:val="0"/>
          <w:marTop w:val="0"/>
          <w:marBottom w:val="0"/>
          <w:divBdr>
            <w:top w:val="none" w:sz="0" w:space="0" w:color="auto"/>
            <w:left w:val="none" w:sz="0" w:space="0" w:color="auto"/>
            <w:bottom w:val="none" w:sz="0" w:space="0" w:color="auto"/>
            <w:right w:val="none" w:sz="0" w:space="0" w:color="auto"/>
          </w:divBdr>
        </w:div>
        <w:div w:id="2024704513">
          <w:marLeft w:val="0"/>
          <w:marRight w:val="0"/>
          <w:marTop w:val="0"/>
          <w:marBottom w:val="0"/>
          <w:divBdr>
            <w:top w:val="none" w:sz="0" w:space="0" w:color="auto"/>
            <w:left w:val="none" w:sz="0" w:space="0" w:color="auto"/>
            <w:bottom w:val="none" w:sz="0" w:space="0" w:color="auto"/>
            <w:right w:val="none" w:sz="0" w:space="0" w:color="auto"/>
          </w:divBdr>
        </w:div>
        <w:div w:id="2024704514">
          <w:marLeft w:val="0"/>
          <w:marRight w:val="0"/>
          <w:marTop w:val="0"/>
          <w:marBottom w:val="0"/>
          <w:divBdr>
            <w:top w:val="none" w:sz="0" w:space="0" w:color="auto"/>
            <w:left w:val="none" w:sz="0" w:space="0" w:color="auto"/>
            <w:bottom w:val="none" w:sz="0" w:space="0" w:color="auto"/>
            <w:right w:val="none" w:sz="0" w:space="0" w:color="auto"/>
          </w:divBdr>
        </w:div>
        <w:div w:id="2024704515">
          <w:marLeft w:val="0"/>
          <w:marRight w:val="0"/>
          <w:marTop w:val="0"/>
          <w:marBottom w:val="0"/>
          <w:divBdr>
            <w:top w:val="none" w:sz="0" w:space="0" w:color="auto"/>
            <w:left w:val="none" w:sz="0" w:space="0" w:color="auto"/>
            <w:bottom w:val="none" w:sz="0" w:space="0" w:color="auto"/>
            <w:right w:val="none" w:sz="0" w:space="0" w:color="auto"/>
          </w:divBdr>
        </w:div>
        <w:div w:id="2024704516">
          <w:marLeft w:val="0"/>
          <w:marRight w:val="0"/>
          <w:marTop w:val="0"/>
          <w:marBottom w:val="0"/>
          <w:divBdr>
            <w:top w:val="none" w:sz="0" w:space="0" w:color="auto"/>
            <w:left w:val="none" w:sz="0" w:space="0" w:color="auto"/>
            <w:bottom w:val="none" w:sz="0" w:space="0" w:color="auto"/>
            <w:right w:val="none" w:sz="0" w:space="0" w:color="auto"/>
          </w:divBdr>
        </w:div>
        <w:div w:id="2024704517">
          <w:marLeft w:val="0"/>
          <w:marRight w:val="0"/>
          <w:marTop w:val="0"/>
          <w:marBottom w:val="0"/>
          <w:divBdr>
            <w:top w:val="none" w:sz="0" w:space="0" w:color="auto"/>
            <w:left w:val="none" w:sz="0" w:space="0" w:color="auto"/>
            <w:bottom w:val="none" w:sz="0" w:space="0" w:color="auto"/>
            <w:right w:val="none" w:sz="0" w:space="0" w:color="auto"/>
          </w:divBdr>
        </w:div>
        <w:div w:id="2024704518">
          <w:marLeft w:val="0"/>
          <w:marRight w:val="0"/>
          <w:marTop w:val="0"/>
          <w:marBottom w:val="0"/>
          <w:divBdr>
            <w:top w:val="none" w:sz="0" w:space="0" w:color="auto"/>
            <w:left w:val="none" w:sz="0" w:space="0" w:color="auto"/>
            <w:bottom w:val="none" w:sz="0" w:space="0" w:color="auto"/>
            <w:right w:val="none" w:sz="0" w:space="0" w:color="auto"/>
          </w:divBdr>
        </w:div>
        <w:div w:id="2024704519">
          <w:marLeft w:val="0"/>
          <w:marRight w:val="0"/>
          <w:marTop w:val="0"/>
          <w:marBottom w:val="0"/>
          <w:divBdr>
            <w:top w:val="none" w:sz="0" w:space="0" w:color="auto"/>
            <w:left w:val="none" w:sz="0" w:space="0" w:color="auto"/>
            <w:bottom w:val="none" w:sz="0" w:space="0" w:color="auto"/>
            <w:right w:val="none" w:sz="0" w:space="0" w:color="auto"/>
          </w:divBdr>
        </w:div>
        <w:div w:id="2024704520">
          <w:marLeft w:val="0"/>
          <w:marRight w:val="0"/>
          <w:marTop w:val="0"/>
          <w:marBottom w:val="0"/>
          <w:divBdr>
            <w:top w:val="none" w:sz="0" w:space="0" w:color="auto"/>
            <w:left w:val="none" w:sz="0" w:space="0" w:color="auto"/>
            <w:bottom w:val="none" w:sz="0" w:space="0" w:color="auto"/>
            <w:right w:val="none" w:sz="0" w:space="0" w:color="auto"/>
          </w:divBdr>
        </w:div>
        <w:div w:id="2024704521">
          <w:marLeft w:val="0"/>
          <w:marRight w:val="0"/>
          <w:marTop w:val="0"/>
          <w:marBottom w:val="0"/>
          <w:divBdr>
            <w:top w:val="none" w:sz="0" w:space="0" w:color="auto"/>
            <w:left w:val="none" w:sz="0" w:space="0" w:color="auto"/>
            <w:bottom w:val="none" w:sz="0" w:space="0" w:color="auto"/>
            <w:right w:val="none" w:sz="0" w:space="0" w:color="auto"/>
          </w:divBdr>
        </w:div>
        <w:div w:id="2024704522">
          <w:marLeft w:val="0"/>
          <w:marRight w:val="0"/>
          <w:marTop w:val="0"/>
          <w:marBottom w:val="0"/>
          <w:divBdr>
            <w:top w:val="none" w:sz="0" w:space="0" w:color="auto"/>
            <w:left w:val="none" w:sz="0" w:space="0" w:color="auto"/>
            <w:bottom w:val="none" w:sz="0" w:space="0" w:color="auto"/>
            <w:right w:val="none" w:sz="0" w:space="0" w:color="auto"/>
          </w:divBdr>
        </w:div>
        <w:div w:id="2024704523">
          <w:marLeft w:val="0"/>
          <w:marRight w:val="0"/>
          <w:marTop w:val="0"/>
          <w:marBottom w:val="0"/>
          <w:divBdr>
            <w:top w:val="none" w:sz="0" w:space="0" w:color="auto"/>
            <w:left w:val="none" w:sz="0" w:space="0" w:color="auto"/>
            <w:bottom w:val="none" w:sz="0" w:space="0" w:color="auto"/>
            <w:right w:val="none" w:sz="0" w:space="0" w:color="auto"/>
          </w:divBdr>
        </w:div>
        <w:div w:id="2024704524">
          <w:marLeft w:val="0"/>
          <w:marRight w:val="0"/>
          <w:marTop w:val="0"/>
          <w:marBottom w:val="0"/>
          <w:divBdr>
            <w:top w:val="none" w:sz="0" w:space="0" w:color="auto"/>
            <w:left w:val="none" w:sz="0" w:space="0" w:color="auto"/>
            <w:bottom w:val="none" w:sz="0" w:space="0" w:color="auto"/>
            <w:right w:val="none" w:sz="0" w:space="0" w:color="auto"/>
          </w:divBdr>
        </w:div>
        <w:div w:id="2024704525">
          <w:marLeft w:val="0"/>
          <w:marRight w:val="0"/>
          <w:marTop w:val="0"/>
          <w:marBottom w:val="0"/>
          <w:divBdr>
            <w:top w:val="none" w:sz="0" w:space="0" w:color="auto"/>
            <w:left w:val="none" w:sz="0" w:space="0" w:color="auto"/>
            <w:bottom w:val="none" w:sz="0" w:space="0" w:color="auto"/>
            <w:right w:val="none" w:sz="0" w:space="0" w:color="auto"/>
          </w:divBdr>
        </w:div>
        <w:div w:id="2024704526">
          <w:marLeft w:val="0"/>
          <w:marRight w:val="0"/>
          <w:marTop w:val="0"/>
          <w:marBottom w:val="0"/>
          <w:divBdr>
            <w:top w:val="none" w:sz="0" w:space="0" w:color="auto"/>
            <w:left w:val="none" w:sz="0" w:space="0" w:color="auto"/>
            <w:bottom w:val="none" w:sz="0" w:space="0" w:color="auto"/>
            <w:right w:val="none" w:sz="0" w:space="0" w:color="auto"/>
          </w:divBdr>
        </w:div>
        <w:div w:id="2024704527">
          <w:marLeft w:val="0"/>
          <w:marRight w:val="0"/>
          <w:marTop w:val="0"/>
          <w:marBottom w:val="0"/>
          <w:divBdr>
            <w:top w:val="none" w:sz="0" w:space="0" w:color="auto"/>
            <w:left w:val="none" w:sz="0" w:space="0" w:color="auto"/>
            <w:bottom w:val="none" w:sz="0" w:space="0" w:color="auto"/>
            <w:right w:val="none" w:sz="0" w:space="0" w:color="auto"/>
          </w:divBdr>
        </w:div>
        <w:div w:id="2024704528">
          <w:marLeft w:val="0"/>
          <w:marRight w:val="0"/>
          <w:marTop w:val="0"/>
          <w:marBottom w:val="0"/>
          <w:divBdr>
            <w:top w:val="none" w:sz="0" w:space="0" w:color="auto"/>
            <w:left w:val="none" w:sz="0" w:space="0" w:color="auto"/>
            <w:bottom w:val="none" w:sz="0" w:space="0" w:color="auto"/>
            <w:right w:val="none" w:sz="0" w:space="0" w:color="auto"/>
          </w:divBdr>
        </w:div>
        <w:div w:id="2024704529">
          <w:marLeft w:val="0"/>
          <w:marRight w:val="0"/>
          <w:marTop w:val="0"/>
          <w:marBottom w:val="0"/>
          <w:divBdr>
            <w:top w:val="none" w:sz="0" w:space="0" w:color="auto"/>
            <w:left w:val="none" w:sz="0" w:space="0" w:color="auto"/>
            <w:bottom w:val="none" w:sz="0" w:space="0" w:color="auto"/>
            <w:right w:val="none" w:sz="0" w:space="0" w:color="auto"/>
          </w:divBdr>
        </w:div>
        <w:div w:id="2024704530">
          <w:marLeft w:val="0"/>
          <w:marRight w:val="0"/>
          <w:marTop w:val="0"/>
          <w:marBottom w:val="0"/>
          <w:divBdr>
            <w:top w:val="none" w:sz="0" w:space="0" w:color="auto"/>
            <w:left w:val="none" w:sz="0" w:space="0" w:color="auto"/>
            <w:bottom w:val="none" w:sz="0" w:space="0" w:color="auto"/>
            <w:right w:val="none" w:sz="0" w:space="0" w:color="auto"/>
          </w:divBdr>
        </w:div>
        <w:div w:id="2024704531">
          <w:marLeft w:val="0"/>
          <w:marRight w:val="0"/>
          <w:marTop w:val="0"/>
          <w:marBottom w:val="0"/>
          <w:divBdr>
            <w:top w:val="none" w:sz="0" w:space="0" w:color="auto"/>
            <w:left w:val="none" w:sz="0" w:space="0" w:color="auto"/>
            <w:bottom w:val="none" w:sz="0" w:space="0" w:color="auto"/>
            <w:right w:val="none" w:sz="0" w:space="0" w:color="auto"/>
          </w:divBdr>
        </w:div>
        <w:div w:id="2024704534">
          <w:marLeft w:val="0"/>
          <w:marRight w:val="0"/>
          <w:marTop w:val="0"/>
          <w:marBottom w:val="0"/>
          <w:divBdr>
            <w:top w:val="none" w:sz="0" w:space="0" w:color="auto"/>
            <w:left w:val="none" w:sz="0" w:space="0" w:color="auto"/>
            <w:bottom w:val="none" w:sz="0" w:space="0" w:color="auto"/>
            <w:right w:val="none" w:sz="0" w:space="0" w:color="auto"/>
          </w:divBdr>
        </w:div>
        <w:div w:id="2024704535">
          <w:marLeft w:val="0"/>
          <w:marRight w:val="0"/>
          <w:marTop w:val="0"/>
          <w:marBottom w:val="0"/>
          <w:divBdr>
            <w:top w:val="none" w:sz="0" w:space="0" w:color="auto"/>
            <w:left w:val="none" w:sz="0" w:space="0" w:color="auto"/>
            <w:bottom w:val="none" w:sz="0" w:space="0" w:color="auto"/>
            <w:right w:val="none" w:sz="0" w:space="0" w:color="auto"/>
          </w:divBdr>
        </w:div>
        <w:div w:id="2024704536">
          <w:marLeft w:val="0"/>
          <w:marRight w:val="0"/>
          <w:marTop w:val="0"/>
          <w:marBottom w:val="0"/>
          <w:divBdr>
            <w:top w:val="none" w:sz="0" w:space="0" w:color="auto"/>
            <w:left w:val="none" w:sz="0" w:space="0" w:color="auto"/>
            <w:bottom w:val="none" w:sz="0" w:space="0" w:color="auto"/>
            <w:right w:val="none" w:sz="0" w:space="0" w:color="auto"/>
          </w:divBdr>
        </w:div>
        <w:div w:id="2024704537">
          <w:marLeft w:val="0"/>
          <w:marRight w:val="0"/>
          <w:marTop w:val="0"/>
          <w:marBottom w:val="0"/>
          <w:divBdr>
            <w:top w:val="none" w:sz="0" w:space="0" w:color="auto"/>
            <w:left w:val="none" w:sz="0" w:space="0" w:color="auto"/>
            <w:bottom w:val="none" w:sz="0" w:space="0" w:color="auto"/>
            <w:right w:val="none" w:sz="0" w:space="0" w:color="auto"/>
          </w:divBdr>
        </w:div>
        <w:div w:id="2024704538">
          <w:marLeft w:val="0"/>
          <w:marRight w:val="0"/>
          <w:marTop w:val="0"/>
          <w:marBottom w:val="0"/>
          <w:divBdr>
            <w:top w:val="none" w:sz="0" w:space="0" w:color="auto"/>
            <w:left w:val="none" w:sz="0" w:space="0" w:color="auto"/>
            <w:bottom w:val="none" w:sz="0" w:space="0" w:color="auto"/>
            <w:right w:val="none" w:sz="0" w:space="0" w:color="auto"/>
          </w:divBdr>
        </w:div>
        <w:div w:id="2024704539">
          <w:marLeft w:val="0"/>
          <w:marRight w:val="0"/>
          <w:marTop w:val="0"/>
          <w:marBottom w:val="0"/>
          <w:divBdr>
            <w:top w:val="none" w:sz="0" w:space="0" w:color="auto"/>
            <w:left w:val="none" w:sz="0" w:space="0" w:color="auto"/>
            <w:bottom w:val="none" w:sz="0" w:space="0" w:color="auto"/>
            <w:right w:val="none" w:sz="0" w:space="0" w:color="auto"/>
          </w:divBdr>
        </w:div>
        <w:div w:id="2024704540">
          <w:marLeft w:val="0"/>
          <w:marRight w:val="0"/>
          <w:marTop w:val="0"/>
          <w:marBottom w:val="0"/>
          <w:divBdr>
            <w:top w:val="none" w:sz="0" w:space="0" w:color="auto"/>
            <w:left w:val="none" w:sz="0" w:space="0" w:color="auto"/>
            <w:bottom w:val="none" w:sz="0" w:space="0" w:color="auto"/>
            <w:right w:val="none" w:sz="0" w:space="0" w:color="auto"/>
          </w:divBdr>
        </w:div>
        <w:div w:id="2024704541">
          <w:marLeft w:val="0"/>
          <w:marRight w:val="0"/>
          <w:marTop w:val="0"/>
          <w:marBottom w:val="0"/>
          <w:divBdr>
            <w:top w:val="none" w:sz="0" w:space="0" w:color="auto"/>
            <w:left w:val="none" w:sz="0" w:space="0" w:color="auto"/>
            <w:bottom w:val="none" w:sz="0" w:space="0" w:color="auto"/>
            <w:right w:val="none" w:sz="0" w:space="0" w:color="auto"/>
          </w:divBdr>
        </w:div>
        <w:div w:id="2024704542">
          <w:marLeft w:val="0"/>
          <w:marRight w:val="0"/>
          <w:marTop w:val="0"/>
          <w:marBottom w:val="0"/>
          <w:divBdr>
            <w:top w:val="none" w:sz="0" w:space="0" w:color="auto"/>
            <w:left w:val="none" w:sz="0" w:space="0" w:color="auto"/>
            <w:bottom w:val="none" w:sz="0" w:space="0" w:color="auto"/>
            <w:right w:val="none" w:sz="0" w:space="0" w:color="auto"/>
          </w:divBdr>
        </w:div>
        <w:div w:id="2024704543">
          <w:marLeft w:val="0"/>
          <w:marRight w:val="0"/>
          <w:marTop w:val="0"/>
          <w:marBottom w:val="0"/>
          <w:divBdr>
            <w:top w:val="none" w:sz="0" w:space="0" w:color="auto"/>
            <w:left w:val="none" w:sz="0" w:space="0" w:color="auto"/>
            <w:bottom w:val="none" w:sz="0" w:space="0" w:color="auto"/>
            <w:right w:val="none" w:sz="0" w:space="0" w:color="auto"/>
          </w:divBdr>
        </w:div>
        <w:div w:id="2024704545">
          <w:marLeft w:val="0"/>
          <w:marRight w:val="0"/>
          <w:marTop w:val="0"/>
          <w:marBottom w:val="0"/>
          <w:divBdr>
            <w:top w:val="none" w:sz="0" w:space="0" w:color="auto"/>
            <w:left w:val="none" w:sz="0" w:space="0" w:color="auto"/>
            <w:bottom w:val="none" w:sz="0" w:space="0" w:color="auto"/>
            <w:right w:val="none" w:sz="0" w:space="0" w:color="auto"/>
          </w:divBdr>
        </w:div>
        <w:div w:id="2024704546">
          <w:marLeft w:val="0"/>
          <w:marRight w:val="0"/>
          <w:marTop w:val="0"/>
          <w:marBottom w:val="0"/>
          <w:divBdr>
            <w:top w:val="none" w:sz="0" w:space="0" w:color="auto"/>
            <w:left w:val="none" w:sz="0" w:space="0" w:color="auto"/>
            <w:bottom w:val="none" w:sz="0" w:space="0" w:color="auto"/>
            <w:right w:val="none" w:sz="0" w:space="0" w:color="auto"/>
          </w:divBdr>
        </w:div>
        <w:div w:id="2024704547">
          <w:marLeft w:val="0"/>
          <w:marRight w:val="0"/>
          <w:marTop w:val="0"/>
          <w:marBottom w:val="0"/>
          <w:divBdr>
            <w:top w:val="none" w:sz="0" w:space="0" w:color="auto"/>
            <w:left w:val="none" w:sz="0" w:space="0" w:color="auto"/>
            <w:bottom w:val="none" w:sz="0" w:space="0" w:color="auto"/>
            <w:right w:val="none" w:sz="0" w:space="0" w:color="auto"/>
          </w:divBdr>
        </w:div>
        <w:div w:id="2024704548">
          <w:marLeft w:val="0"/>
          <w:marRight w:val="0"/>
          <w:marTop w:val="0"/>
          <w:marBottom w:val="0"/>
          <w:divBdr>
            <w:top w:val="none" w:sz="0" w:space="0" w:color="auto"/>
            <w:left w:val="none" w:sz="0" w:space="0" w:color="auto"/>
            <w:bottom w:val="none" w:sz="0" w:space="0" w:color="auto"/>
            <w:right w:val="none" w:sz="0" w:space="0" w:color="auto"/>
          </w:divBdr>
        </w:div>
        <w:div w:id="2024704549">
          <w:marLeft w:val="0"/>
          <w:marRight w:val="0"/>
          <w:marTop w:val="0"/>
          <w:marBottom w:val="0"/>
          <w:divBdr>
            <w:top w:val="none" w:sz="0" w:space="0" w:color="auto"/>
            <w:left w:val="none" w:sz="0" w:space="0" w:color="auto"/>
            <w:bottom w:val="none" w:sz="0" w:space="0" w:color="auto"/>
            <w:right w:val="none" w:sz="0" w:space="0" w:color="auto"/>
          </w:divBdr>
        </w:div>
        <w:div w:id="2024704550">
          <w:marLeft w:val="0"/>
          <w:marRight w:val="0"/>
          <w:marTop w:val="0"/>
          <w:marBottom w:val="0"/>
          <w:divBdr>
            <w:top w:val="none" w:sz="0" w:space="0" w:color="auto"/>
            <w:left w:val="none" w:sz="0" w:space="0" w:color="auto"/>
            <w:bottom w:val="none" w:sz="0" w:space="0" w:color="auto"/>
            <w:right w:val="none" w:sz="0" w:space="0" w:color="auto"/>
          </w:divBdr>
        </w:div>
        <w:div w:id="2024704551">
          <w:marLeft w:val="0"/>
          <w:marRight w:val="0"/>
          <w:marTop w:val="0"/>
          <w:marBottom w:val="0"/>
          <w:divBdr>
            <w:top w:val="none" w:sz="0" w:space="0" w:color="auto"/>
            <w:left w:val="none" w:sz="0" w:space="0" w:color="auto"/>
            <w:bottom w:val="none" w:sz="0" w:space="0" w:color="auto"/>
            <w:right w:val="none" w:sz="0" w:space="0" w:color="auto"/>
          </w:divBdr>
        </w:div>
        <w:div w:id="2024704552">
          <w:marLeft w:val="0"/>
          <w:marRight w:val="0"/>
          <w:marTop w:val="0"/>
          <w:marBottom w:val="0"/>
          <w:divBdr>
            <w:top w:val="none" w:sz="0" w:space="0" w:color="auto"/>
            <w:left w:val="none" w:sz="0" w:space="0" w:color="auto"/>
            <w:bottom w:val="none" w:sz="0" w:space="0" w:color="auto"/>
            <w:right w:val="none" w:sz="0" w:space="0" w:color="auto"/>
          </w:divBdr>
        </w:div>
        <w:div w:id="2024704553">
          <w:marLeft w:val="0"/>
          <w:marRight w:val="0"/>
          <w:marTop w:val="0"/>
          <w:marBottom w:val="0"/>
          <w:divBdr>
            <w:top w:val="none" w:sz="0" w:space="0" w:color="auto"/>
            <w:left w:val="none" w:sz="0" w:space="0" w:color="auto"/>
            <w:bottom w:val="none" w:sz="0" w:space="0" w:color="auto"/>
            <w:right w:val="none" w:sz="0" w:space="0" w:color="auto"/>
          </w:divBdr>
        </w:div>
        <w:div w:id="2024704554">
          <w:marLeft w:val="0"/>
          <w:marRight w:val="0"/>
          <w:marTop w:val="0"/>
          <w:marBottom w:val="0"/>
          <w:divBdr>
            <w:top w:val="none" w:sz="0" w:space="0" w:color="auto"/>
            <w:left w:val="none" w:sz="0" w:space="0" w:color="auto"/>
            <w:bottom w:val="none" w:sz="0" w:space="0" w:color="auto"/>
            <w:right w:val="none" w:sz="0" w:space="0" w:color="auto"/>
          </w:divBdr>
        </w:div>
        <w:div w:id="2024704555">
          <w:marLeft w:val="0"/>
          <w:marRight w:val="0"/>
          <w:marTop w:val="0"/>
          <w:marBottom w:val="0"/>
          <w:divBdr>
            <w:top w:val="none" w:sz="0" w:space="0" w:color="auto"/>
            <w:left w:val="none" w:sz="0" w:space="0" w:color="auto"/>
            <w:bottom w:val="none" w:sz="0" w:space="0" w:color="auto"/>
            <w:right w:val="none" w:sz="0" w:space="0" w:color="auto"/>
          </w:divBdr>
        </w:div>
        <w:div w:id="2024704556">
          <w:marLeft w:val="0"/>
          <w:marRight w:val="0"/>
          <w:marTop w:val="0"/>
          <w:marBottom w:val="0"/>
          <w:divBdr>
            <w:top w:val="none" w:sz="0" w:space="0" w:color="auto"/>
            <w:left w:val="none" w:sz="0" w:space="0" w:color="auto"/>
            <w:bottom w:val="none" w:sz="0" w:space="0" w:color="auto"/>
            <w:right w:val="none" w:sz="0" w:space="0" w:color="auto"/>
          </w:divBdr>
        </w:div>
        <w:div w:id="2024704557">
          <w:marLeft w:val="0"/>
          <w:marRight w:val="0"/>
          <w:marTop w:val="0"/>
          <w:marBottom w:val="0"/>
          <w:divBdr>
            <w:top w:val="none" w:sz="0" w:space="0" w:color="auto"/>
            <w:left w:val="none" w:sz="0" w:space="0" w:color="auto"/>
            <w:bottom w:val="none" w:sz="0" w:space="0" w:color="auto"/>
            <w:right w:val="none" w:sz="0" w:space="0" w:color="auto"/>
          </w:divBdr>
        </w:div>
        <w:div w:id="2024704558">
          <w:marLeft w:val="0"/>
          <w:marRight w:val="0"/>
          <w:marTop w:val="0"/>
          <w:marBottom w:val="0"/>
          <w:divBdr>
            <w:top w:val="none" w:sz="0" w:space="0" w:color="auto"/>
            <w:left w:val="none" w:sz="0" w:space="0" w:color="auto"/>
            <w:bottom w:val="none" w:sz="0" w:space="0" w:color="auto"/>
            <w:right w:val="none" w:sz="0" w:space="0" w:color="auto"/>
          </w:divBdr>
        </w:div>
        <w:div w:id="2024704559">
          <w:marLeft w:val="0"/>
          <w:marRight w:val="0"/>
          <w:marTop w:val="0"/>
          <w:marBottom w:val="0"/>
          <w:divBdr>
            <w:top w:val="none" w:sz="0" w:space="0" w:color="auto"/>
            <w:left w:val="none" w:sz="0" w:space="0" w:color="auto"/>
            <w:bottom w:val="none" w:sz="0" w:space="0" w:color="auto"/>
            <w:right w:val="none" w:sz="0" w:space="0" w:color="auto"/>
          </w:divBdr>
        </w:div>
        <w:div w:id="2024704560">
          <w:marLeft w:val="0"/>
          <w:marRight w:val="0"/>
          <w:marTop w:val="0"/>
          <w:marBottom w:val="0"/>
          <w:divBdr>
            <w:top w:val="none" w:sz="0" w:space="0" w:color="auto"/>
            <w:left w:val="none" w:sz="0" w:space="0" w:color="auto"/>
            <w:bottom w:val="none" w:sz="0" w:space="0" w:color="auto"/>
            <w:right w:val="none" w:sz="0" w:space="0" w:color="auto"/>
          </w:divBdr>
        </w:div>
        <w:div w:id="2024704561">
          <w:marLeft w:val="0"/>
          <w:marRight w:val="0"/>
          <w:marTop w:val="0"/>
          <w:marBottom w:val="0"/>
          <w:divBdr>
            <w:top w:val="none" w:sz="0" w:space="0" w:color="auto"/>
            <w:left w:val="none" w:sz="0" w:space="0" w:color="auto"/>
            <w:bottom w:val="none" w:sz="0" w:space="0" w:color="auto"/>
            <w:right w:val="none" w:sz="0" w:space="0" w:color="auto"/>
          </w:divBdr>
        </w:div>
        <w:div w:id="2024704562">
          <w:marLeft w:val="0"/>
          <w:marRight w:val="0"/>
          <w:marTop w:val="0"/>
          <w:marBottom w:val="0"/>
          <w:divBdr>
            <w:top w:val="none" w:sz="0" w:space="0" w:color="auto"/>
            <w:left w:val="none" w:sz="0" w:space="0" w:color="auto"/>
            <w:bottom w:val="none" w:sz="0" w:space="0" w:color="auto"/>
            <w:right w:val="none" w:sz="0" w:space="0" w:color="auto"/>
          </w:divBdr>
        </w:div>
        <w:div w:id="2024704563">
          <w:marLeft w:val="0"/>
          <w:marRight w:val="0"/>
          <w:marTop w:val="0"/>
          <w:marBottom w:val="0"/>
          <w:divBdr>
            <w:top w:val="none" w:sz="0" w:space="0" w:color="auto"/>
            <w:left w:val="none" w:sz="0" w:space="0" w:color="auto"/>
            <w:bottom w:val="none" w:sz="0" w:space="0" w:color="auto"/>
            <w:right w:val="none" w:sz="0" w:space="0" w:color="auto"/>
          </w:divBdr>
        </w:div>
        <w:div w:id="2024704564">
          <w:marLeft w:val="0"/>
          <w:marRight w:val="0"/>
          <w:marTop w:val="0"/>
          <w:marBottom w:val="0"/>
          <w:divBdr>
            <w:top w:val="none" w:sz="0" w:space="0" w:color="auto"/>
            <w:left w:val="none" w:sz="0" w:space="0" w:color="auto"/>
            <w:bottom w:val="none" w:sz="0" w:space="0" w:color="auto"/>
            <w:right w:val="none" w:sz="0" w:space="0" w:color="auto"/>
          </w:divBdr>
        </w:div>
        <w:div w:id="2024704565">
          <w:marLeft w:val="0"/>
          <w:marRight w:val="0"/>
          <w:marTop w:val="0"/>
          <w:marBottom w:val="0"/>
          <w:divBdr>
            <w:top w:val="none" w:sz="0" w:space="0" w:color="auto"/>
            <w:left w:val="none" w:sz="0" w:space="0" w:color="auto"/>
            <w:bottom w:val="none" w:sz="0" w:space="0" w:color="auto"/>
            <w:right w:val="none" w:sz="0" w:space="0" w:color="auto"/>
          </w:divBdr>
        </w:div>
        <w:div w:id="2024704566">
          <w:marLeft w:val="0"/>
          <w:marRight w:val="0"/>
          <w:marTop w:val="0"/>
          <w:marBottom w:val="0"/>
          <w:divBdr>
            <w:top w:val="none" w:sz="0" w:space="0" w:color="auto"/>
            <w:left w:val="none" w:sz="0" w:space="0" w:color="auto"/>
            <w:bottom w:val="none" w:sz="0" w:space="0" w:color="auto"/>
            <w:right w:val="none" w:sz="0" w:space="0" w:color="auto"/>
          </w:divBdr>
        </w:div>
        <w:div w:id="2024704567">
          <w:marLeft w:val="0"/>
          <w:marRight w:val="0"/>
          <w:marTop w:val="0"/>
          <w:marBottom w:val="0"/>
          <w:divBdr>
            <w:top w:val="none" w:sz="0" w:space="0" w:color="auto"/>
            <w:left w:val="none" w:sz="0" w:space="0" w:color="auto"/>
            <w:bottom w:val="none" w:sz="0" w:space="0" w:color="auto"/>
            <w:right w:val="none" w:sz="0" w:space="0" w:color="auto"/>
          </w:divBdr>
        </w:div>
        <w:div w:id="2024704568">
          <w:marLeft w:val="0"/>
          <w:marRight w:val="0"/>
          <w:marTop w:val="0"/>
          <w:marBottom w:val="0"/>
          <w:divBdr>
            <w:top w:val="none" w:sz="0" w:space="0" w:color="auto"/>
            <w:left w:val="none" w:sz="0" w:space="0" w:color="auto"/>
            <w:bottom w:val="none" w:sz="0" w:space="0" w:color="auto"/>
            <w:right w:val="none" w:sz="0" w:space="0" w:color="auto"/>
          </w:divBdr>
        </w:div>
        <w:div w:id="2024704569">
          <w:marLeft w:val="0"/>
          <w:marRight w:val="0"/>
          <w:marTop w:val="0"/>
          <w:marBottom w:val="0"/>
          <w:divBdr>
            <w:top w:val="none" w:sz="0" w:space="0" w:color="auto"/>
            <w:left w:val="none" w:sz="0" w:space="0" w:color="auto"/>
            <w:bottom w:val="none" w:sz="0" w:space="0" w:color="auto"/>
            <w:right w:val="none" w:sz="0" w:space="0" w:color="auto"/>
          </w:divBdr>
        </w:div>
        <w:div w:id="2024704570">
          <w:marLeft w:val="0"/>
          <w:marRight w:val="0"/>
          <w:marTop w:val="0"/>
          <w:marBottom w:val="0"/>
          <w:divBdr>
            <w:top w:val="none" w:sz="0" w:space="0" w:color="auto"/>
            <w:left w:val="none" w:sz="0" w:space="0" w:color="auto"/>
            <w:bottom w:val="none" w:sz="0" w:space="0" w:color="auto"/>
            <w:right w:val="none" w:sz="0" w:space="0" w:color="auto"/>
          </w:divBdr>
        </w:div>
        <w:div w:id="2024704571">
          <w:marLeft w:val="0"/>
          <w:marRight w:val="0"/>
          <w:marTop w:val="0"/>
          <w:marBottom w:val="0"/>
          <w:divBdr>
            <w:top w:val="none" w:sz="0" w:space="0" w:color="auto"/>
            <w:left w:val="none" w:sz="0" w:space="0" w:color="auto"/>
            <w:bottom w:val="none" w:sz="0" w:space="0" w:color="auto"/>
            <w:right w:val="none" w:sz="0" w:space="0" w:color="auto"/>
          </w:divBdr>
        </w:div>
        <w:div w:id="2024704572">
          <w:marLeft w:val="0"/>
          <w:marRight w:val="0"/>
          <w:marTop w:val="0"/>
          <w:marBottom w:val="0"/>
          <w:divBdr>
            <w:top w:val="none" w:sz="0" w:space="0" w:color="auto"/>
            <w:left w:val="none" w:sz="0" w:space="0" w:color="auto"/>
            <w:bottom w:val="none" w:sz="0" w:space="0" w:color="auto"/>
            <w:right w:val="none" w:sz="0" w:space="0" w:color="auto"/>
          </w:divBdr>
        </w:div>
        <w:div w:id="2024704573">
          <w:marLeft w:val="0"/>
          <w:marRight w:val="0"/>
          <w:marTop w:val="0"/>
          <w:marBottom w:val="0"/>
          <w:divBdr>
            <w:top w:val="none" w:sz="0" w:space="0" w:color="auto"/>
            <w:left w:val="none" w:sz="0" w:space="0" w:color="auto"/>
            <w:bottom w:val="none" w:sz="0" w:space="0" w:color="auto"/>
            <w:right w:val="none" w:sz="0" w:space="0" w:color="auto"/>
          </w:divBdr>
        </w:div>
        <w:div w:id="2024704574">
          <w:marLeft w:val="0"/>
          <w:marRight w:val="0"/>
          <w:marTop w:val="0"/>
          <w:marBottom w:val="0"/>
          <w:divBdr>
            <w:top w:val="none" w:sz="0" w:space="0" w:color="auto"/>
            <w:left w:val="none" w:sz="0" w:space="0" w:color="auto"/>
            <w:bottom w:val="none" w:sz="0" w:space="0" w:color="auto"/>
            <w:right w:val="none" w:sz="0" w:space="0" w:color="auto"/>
          </w:divBdr>
        </w:div>
        <w:div w:id="2024704575">
          <w:marLeft w:val="0"/>
          <w:marRight w:val="0"/>
          <w:marTop w:val="0"/>
          <w:marBottom w:val="0"/>
          <w:divBdr>
            <w:top w:val="none" w:sz="0" w:space="0" w:color="auto"/>
            <w:left w:val="none" w:sz="0" w:space="0" w:color="auto"/>
            <w:bottom w:val="none" w:sz="0" w:space="0" w:color="auto"/>
            <w:right w:val="none" w:sz="0" w:space="0" w:color="auto"/>
          </w:divBdr>
        </w:div>
        <w:div w:id="2024704576">
          <w:marLeft w:val="0"/>
          <w:marRight w:val="0"/>
          <w:marTop w:val="0"/>
          <w:marBottom w:val="0"/>
          <w:divBdr>
            <w:top w:val="none" w:sz="0" w:space="0" w:color="auto"/>
            <w:left w:val="none" w:sz="0" w:space="0" w:color="auto"/>
            <w:bottom w:val="none" w:sz="0" w:space="0" w:color="auto"/>
            <w:right w:val="none" w:sz="0" w:space="0" w:color="auto"/>
          </w:divBdr>
        </w:div>
        <w:div w:id="2024704577">
          <w:marLeft w:val="0"/>
          <w:marRight w:val="0"/>
          <w:marTop w:val="0"/>
          <w:marBottom w:val="0"/>
          <w:divBdr>
            <w:top w:val="none" w:sz="0" w:space="0" w:color="auto"/>
            <w:left w:val="none" w:sz="0" w:space="0" w:color="auto"/>
            <w:bottom w:val="none" w:sz="0" w:space="0" w:color="auto"/>
            <w:right w:val="none" w:sz="0" w:space="0" w:color="auto"/>
          </w:divBdr>
        </w:div>
        <w:div w:id="2024704579">
          <w:marLeft w:val="0"/>
          <w:marRight w:val="0"/>
          <w:marTop w:val="0"/>
          <w:marBottom w:val="0"/>
          <w:divBdr>
            <w:top w:val="none" w:sz="0" w:space="0" w:color="auto"/>
            <w:left w:val="none" w:sz="0" w:space="0" w:color="auto"/>
            <w:bottom w:val="none" w:sz="0" w:space="0" w:color="auto"/>
            <w:right w:val="none" w:sz="0" w:space="0" w:color="auto"/>
          </w:divBdr>
        </w:div>
        <w:div w:id="2024704580">
          <w:marLeft w:val="0"/>
          <w:marRight w:val="0"/>
          <w:marTop w:val="0"/>
          <w:marBottom w:val="0"/>
          <w:divBdr>
            <w:top w:val="none" w:sz="0" w:space="0" w:color="auto"/>
            <w:left w:val="none" w:sz="0" w:space="0" w:color="auto"/>
            <w:bottom w:val="none" w:sz="0" w:space="0" w:color="auto"/>
            <w:right w:val="none" w:sz="0" w:space="0" w:color="auto"/>
          </w:divBdr>
        </w:div>
        <w:div w:id="2024704581">
          <w:marLeft w:val="0"/>
          <w:marRight w:val="0"/>
          <w:marTop w:val="0"/>
          <w:marBottom w:val="0"/>
          <w:divBdr>
            <w:top w:val="none" w:sz="0" w:space="0" w:color="auto"/>
            <w:left w:val="none" w:sz="0" w:space="0" w:color="auto"/>
            <w:bottom w:val="none" w:sz="0" w:space="0" w:color="auto"/>
            <w:right w:val="none" w:sz="0" w:space="0" w:color="auto"/>
          </w:divBdr>
        </w:div>
        <w:div w:id="2024704582">
          <w:marLeft w:val="0"/>
          <w:marRight w:val="0"/>
          <w:marTop w:val="0"/>
          <w:marBottom w:val="0"/>
          <w:divBdr>
            <w:top w:val="none" w:sz="0" w:space="0" w:color="auto"/>
            <w:left w:val="none" w:sz="0" w:space="0" w:color="auto"/>
            <w:bottom w:val="none" w:sz="0" w:space="0" w:color="auto"/>
            <w:right w:val="none" w:sz="0" w:space="0" w:color="auto"/>
          </w:divBdr>
        </w:div>
        <w:div w:id="2024704583">
          <w:marLeft w:val="0"/>
          <w:marRight w:val="0"/>
          <w:marTop w:val="0"/>
          <w:marBottom w:val="0"/>
          <w:divBdr>
            <w:top w:val="none" w:sz="0" w:space="0" w:color="auto"/>
            <w:left w:val="none" w:sz="0" w:space="0" w:color="auto"/>
            <w:bottom w:val="none" w:sz="0" w:space="0" w:color="auto"/>
            <w:right w:val="none" w:sz="0" w:space="0" w:color="auto"/>
          </w:divBdr>
        </w:div>
        <w:div w:id="2024704584">
          <w:marLeft w:val="0"/>
          <w:marRight w:val="0"/>
          <w:marTop w:val="0"/>
          <w:marBottom w:val="0"/>
          <w:divBdr>
            <w:top w:val="none" w:sz="0" w:space="0" w:color="auto"/>
            <w:left w:val="none" w:sz="0" w:space="0" w:color="auto"/>
            <w:bottom w:val="none" w:sz="0" w:space="0" w:color="auto"/>
            <w:right w:val="none" w:sz="0" w:space="0" w:color="auto"/>
          </w:divBdr>
        </w:div>
        <w:div w:id="2024704585">
          <w:marLeft w:val="0"/>
          <w:marRight w:val="0"/>
          <w:marTop w:val="0"/>
          <w:marBottom w:val="0"/>
          <w:divBdr>
            <w:top w:val="none" w:sz="0" w:space="0" w:color="auto"/>
            <w:left w:val="none" w:sz="0" w:space="0" w:color="auto"/>
            <w:bottom w:val="none" w:sz="0" w:space="0" w:color="auto"/>
            <w:right w:val="none" w:sz="0" w:space="0" w:color="auto"/>
          </w:divBdr>
        </w:div>
        <w:div w:id="2024704586">
          <w:marLeft w:val="0"/>
          <w:marRight w:val="0"/>
          <w:marTop w:val="0"/>
          <w:marBottom w:val="0"/>
          <w:divBdr>
            <w:top w:val="none" w:sz="0" w:space="0" w:color="auto"/>
            <w:left w:val="none" w:sz="0" w:space="0" w:color="auto"/>
            <w:bottom w:val="none" w:sz="0" w:space="0" w:color="auto"/>
            <w:right w:val="none" w:sz="0" w:space="0" w:color="auto"/>
          </w:divBdr>
        </w:div>
        <w:div w:id="2024704587">
          <w:marLeft w:val="0"/>
          <w:marRight w:val="0"/>
          <w:marTop w:val="0"/>
          <w:marBottom w:val="0"/>
          <w:divBdr>
            <w:top w:val="none" w:sz="0" w:space="0" w:color="auto"/>
            <w:left w:val="none" w:sz="0" w:space="0" w:color="auto"/>
            <w:bottom w:val="none" w:sz="0" w:space="0" w:color="auto"/>
            <w:right w:val="none" w:sz="0" w:space="0" w:color="auto"/>
          </w:divBdr>
        </w:div>
        <w:div w:id="2024704588">
          <w:marLeft w:val="0"/>
          <w:marRight w:val="0"/>
          <w:marTop w:val="0"/>
          <w:marBottom w:val="0"/>
          <w:divBdr>
            <w:top w:val="none" w:sz="0" w:space="0" w:color="auto"/>
            <w:left w:val="none" w:sz="0" w:space="0" w:color="auto"/>
            <w:bottom w:val="none" w:sz="0" w:space="0" w:color="auto"/>
            <w:right w:val="none" w:sz="0" w:space="0" w:color="auto"/>
          </w:divBdr>
        </w:div>
        <w:div w:id="2024704589">
          <w:marLeft w:val="0"/>
          <w:marRight w:val="0"/>
          <w:marTop w:val="0"/>
          <w:marBottom w:val="0"/>
          <w:divBdr>
            <w:top w:val="none" w:sz="0" w:space="0" w:color="auto"/>
            <w:left w:val="none" w:sz="0" w:space="0" w:color="auto"/>
            <w:bottom w:val="none" w:sz="0" w:space="0" w:color="auto"/>
            <w:right w:val="none" w:sz="0" w:space="0" w:color="auto"/>
          </w:divBdr>
        </w:div>
        <w:div w:id="2024704590">
          <w:marLeft w:val="0"/>
          <w:marRight w:val="0"/>
          <w:marTop w:val="0"/>
          <w:marBottom w:val="0"/>
          <w:divBdr>
            <w:top w:val="none" w:sz="0" w:space="0" w:color="auto"/>
            <w:left w:val="none" w:sz="0" w:space="0" w:color="auto"/>
            <w:bottom w:val="none" w:sz="0" w:space="0" w:color="auto"/>
            <w:right w:val="none" w:sz="0" w:space="0" w:color="auto"/>
          </w:divBdr>
        </w:div>
        <w:div w:id="2024704591">
          <w:marLeft w:val="0"/>
          <w:marRight w:val="0"/>
          <w:marTop w:val="0"/>
          <w:marBottom w:val="0"/>
          <w:divBdr>
            <w:top w:val="none" w:sz="0" w:space="0" w:color="auto"/>
            <w:left w:val="none" w:sz="0" w:space="0" w:color="auto"/>
            <w:bottom w:val="none" w:sz="0" w:space="0" w:color="auto"/>
            <w:right w:val="none" w:sz="0" w:space="0" w:color="auto"/>
          </w:divBdr>
        </w:div>
        <w:div w:id="2024704592">
          <w:marLeft w:val="0"/>
          <w:marRight w:val="0"/>
          <w:marTop w:val="0"/>
          <w:marBottom w:val="0"/>
          <w:divBdr>
            <w:top w:val="none" w:sz="0" w:space="0" w:color="auto"/>
            <w:left w:val="none" w:sz="0" w:space="0" w:color="auto"/>
            <w:bottom w:val="none" w:sz="0" w:space="0" w:color="auto"/>
            <w:right w:val="none" w:sz="0" w:space="0" w:color="auto"/>
          </w:divBdr>
        </w:div>
        <w:div w:id="2024704593">
          <w:marLeft w:val="0"/>
          <w:marRight w:val="0"/>
          <w:marTop w:val="0"/>
          <w:marBottom w:val="0"/>
          <w:divBdr>
            <w:top w:val="none" w:sz="0" w:space="0" w:color="auto"/>
            <w:left w:val="none" w:sz="0" w:space="0" w:color="auto"/>
            <w:bottom w:val="none" w:sz="0" w:space="0" w:color="auto"/>
            <w:right w:val="none" w:sz="0" w:space="0" w:color="auto"/>
          </w:divBdr>
        </w:div>
        <w:div w:id="2024704594">
          <w:marLeft w:val="0"/>
          <w:marRight w:val="0"/>
          <w:marTop w:val="0"/>
          <w:marBottom w:val="0"/>
          <w:divBdr>
            <w:top w:val="none" w:sz="0" w:space="0" w:color="auto"/>
            <w:left w:val="none" w:sz="0" w:space="0" w:color="auto"/>
            <w:bottom w:val="none" w:sz="0" w:space="0" w:color="auto"/>
            <w:right w:val="none" w:sz="0" w:space="0" w:color="auto"/>
          </w:divBdr>
        </w:div>
        <w:div w:id="2024704595">
          <w:marLeft w:val="0"/>
          <w:marRight w:val="0"/>
          <w:marTop w:val="0"/>
          <w:marBottom w:val="0"/>
          <w:divBdr>
            <w:top w:val="none" w:sz="0" w:space="0" w:color="auto"/>
            <w:left w:val="none" w:sz="0" w:space="0" w:color="auto"/>
            <w:bottom w:val="none" w:sz="0" w:space="0" w:color="auto"/>
            <w:right w:val="none" w:sz="0" w:space="0" w:color="auto"/>
          </w:divBdr>
        </w:div>
        <w:div w:id="2024704596">
          <w:marLeft w:val="0"/>
          <w:marRight w:val="0"/>
          <w:marTop w:val="0"/>
          <w:marBottom w:val="0"/>
          <w:divBdr>
            <w:top w:val="none" w:sz="0" w:space="0" w:color="auto"/>
            <w:left w:val="none" w:sz="0" w:space="0" w:color="auto"/>
            <w:bottom w:val="none" w:sz="0" w:space="0" w:color="auto"/>
            <w:right w:val="none" w:sz="0" w:space="0" w:color="auto"/>
          </w:divBdr>
        </w:div>
        <w:div w:id="2024704597">
          <w:marLeft w:val="0"/>
          <w:marRight w:val="0"/>
          <w:marTop w:val="0"/>
          <w:marBottom w:val="0"/>
          <w:divBdr>
            <w:top w:val="none" w:sz="0" w:space="0" w:color="auto"/>
            <w:left w:val="none" w:sz="0" w:space="0" w:color="auto"/>
            <w:bottom w:val="none" w:sz="0" w:space="0" w:color="auto"/>
            <w:right w:val="none" w:sz="0" w:space="0" w:color="auto"/>
          </w:divBdr>
        </w:div>
        <w:div w:id="2024704598">
          <w:marLeft w:val="0"/>
          <w:marRight w:val="0"/>
          <w:marTop w:val="0"/>
          <w:marBottom w:val="0"/>
          <w:divBdr>
            <w:top w:val="none" w:sz="0" w:space="0" w:color="auto"/>
            <w:left w:val="none" w:sz="0" w:space="0" w:color="auto"/>
            <w:bottom w:val="none" w:sz="0" w:space="0" w:color="auto"/>
            <w:right w:val="none" w:sz="0" w:space="0" w:color="auto"/>
          </w:divBdr>
        </w:div>
        <w:div w:id="2024704599">
          <w:marLeft w:val="0"/>
          <w:marRight w:val="0"/>
          <w:marTop w:val="0"/>
          <w:marBottom w:val="0"/>
          <w:divBdr>
            <w:top w:val="none" w:sz="0" w:space="0" w:color="auto"/>
            <w:left w:val="none" w:sz="0" w:space="0" w:color="auto"/>
            <w:bottom w:val="none" w:sz="0" w:space="0" w:color="auto"/>
            <w:right w:val="none" w:sz="0" w:space="0" w:color="auto"/>
          </w:divBdr>
        </w:div>
        <w:div w:id="2024704600">
          <w:marLeft w:val="0"/>
          <w:marRight w:val="0"/>
          <w:marTop w:val="0"/>
          <w:marBottom w:val="0"/>
          <w:divBdr>
            <w:top w:val="none" w:sz="0" w:space="0" w:color="auto"/>
            <w:left w:val="none" w:sz="0" w:space="0" w:color="auto"/>
            <w:bottom w:val="none" w:sz="0" w:space="0" w:color="auto"/>
            <w:right w:val="none" w:sz="0" w:space="0" w:color="auto"/>
          </w:divBdr>
        </w:div>
        <w:div w:id="2024704601">
          <w:marLeft w:val="0"/>
          <w:marRight w:val="0"/>
          <w:marTop w:val="0"/>
          <w:marBottom w:val="0"/>
          <w:divBdr>
            <w:top w:val="none" w:sz="0" w:space="0" w:color="auto"/>
            <w:left w:val="none" w:sz="0" w:space="0" w:color="auto"/>
            <w:bottom w:val="none" w:sz="0" w:space="0" w:color="auto"/>
            <w:right w:val="none" w:sz="0" w:space="0" w:color="auto"/>
          </w:divBdr>
        </w:div>
        <w:div w:id="2024704602">
          <w:marLeft w:val="0"/>
          <w:marRight w:val="0"/>
          <w:marTop w:val="0"/>
          <w:marBottom w:val="0"/>
          <w:divBdr>
            <w:top w:val="none" w:sz="0" w:space="0" w:color="auto"/>
            <w:left w:val="none" w:sz="0" w:space="0" w:color="auto"/>
            <w:bottom w:val="none" w:sz="0" w:space="0" w:color="auto"/>
            <w:right w:val="none" w:sz="0" w:space="0" w:color="auto"/>
          </w:divBdr>
        </w:div>
        <w:div w:id="2024704603">
          <w:marLeft w:val="0"/>
          <w:marRight w:val="0"/>
          <w:marTop w:val="0"/>
          <w:marBottom w:val="0"/>
          <w:divBdr>
            <w:top w:val="none" w:sz="0" w:space="0" w:color="auto"/>
            <w:left w:val="none" w:sz="0" w:space="0" w:color="auto"/>
            <w:bottom w:val="none" w:sz="0" w:space="0" w:color="auto"/>
            <w:right w:val="none" w:sz="0" w:space="0" w:color="auto"/>
          </w:divBdr>
        </w:div>
        <w:div w:id="2024704604">
          <w:marLeft w:val="0"/>
          <w:marRight w:val="0"/>
          <w:marTop w:val="0"/>
          <w:marBottom w:val="0"/>
          <w:divBdr>
            <w:top w:val="none" w:sz="0" w:space="0" w:color="auto"/>
            <w:left w:val="none" w:sz="0" w:space="0" w:color="auto"/>
            <w:bottom w:val="none" w:sz="0" w:space="0" w:color="auto"/>
            <w:right w:val="none" w:sz="0" w:space="0" w:color="auto"/>
          </w:divBdr>
        </w:div>
        <w:div w:id="2024704605">
          <w:marLeft w:val="0"/>
          <w:marRight w:val="0"/>
          <w:marTop w:val="0"/>
          <w:marBottom w:val="0"/>
          <w:divBdr>
            <w:top w:val="none" w:sz="0" w:space="0" w:color="auto"/>
            <w:left w:val="none" w:sz="0" w:space="0" w:color="auto"/>
            <w:bottom w:val="none" w:sz="0" w:space="0" w:color="auto"/>
            <w:right w:val="none" w:sz="0" w:space="0" w:color="auto"/>
          </w:divBdr>
        </w:div>
        <w:div w:id="2024704606">
          <w:marLeft w:val="0"/>
          <w:marRight w:val="0"/>
          <w:marTop w:val="0"/>
          <w:marBottom w:val="0"/>
          <w:divBdr>
            <w:top w:val="none" w:sz="0" w:space="0" w:color="auto"/>
            <w:left w:val="none" w:sz="0" w:space="0" w:color="auto"/>
            <w:bottom w:val="none" w:sz="0" w:space="0" w:color="auto"/>
            <w:right w:val="none" w:sz="0" w:space="0" w:color="auto"/>
          </w:divBdr>
        </w:div>
        <w:div w:id="2024704607">
          <w:marLeft w:val="0"/>
          <w:marRight w:val="0"/>
          <w:marTop w:val="0"/>
          <w:marBottom w:val="0"/>
          <w:divBdr>
            <w:top w:val="none" w:sz="0" w:space="0" w:color="auto"/>
            <w:left w:val="none" w:sz="0" w:space="0" w:color="auto"/>
            <w:bottom w:val="none" w:sz="0" w:space="0" w:color="auto"/>
            <w:right w:val="none" w:sz="0" w:space="0" w:color="auto"/>
          </w:divBdr>
        </w:div>
        <w:div w:id="2024704608">
          <w:marLeft w:val="0"/>
          <w:marRight w:val="0"/>
          <w:marTop w:val="0"/>
          <w:marBottom w:val="0"/>
          <w:divBdr>
            <w:top w:val="none" w:sz="0" w:space="0" w:color="auto"/>
            <w:left w:val="none" w:sz="0" w:space="0" w:color="auto"/>
            <w:bottom w:val="none" w:sz="0" w:space="0" w:color="auto"/>
            <w:right w:val="none" w:sz="0" w:space="0" w:color="auto"/>
          </w:divBdr>
        </w:div>
        <w:div w:id="2024704609">
          <w:marLeft w:val="0"/>
          <w:marRight w:val="0"/>
          <w:marTop w:val="0"/>
          <w:marBottom w:val="0"/>
          <w:divBdr>
            <w:top w:val="none" w:sz="0" w:space="0" w:color="auto"/>
            <w:left w:val="none" w:sz="0" w:space="0" w:color="auto"/>
            <w:bottom w:val="none" w:sz="0" w:space="0" w:color="auto"/>
            <w:right w:val="none" w:sz="0" w:space="0" w:color="auto"/>
          </w:divBdr>
        </w:div>
        <w:div w:id="2024704610">
          <w:marLeft w:val="0"/>
          <w:marRight w:val="0"/>
          <w:marTop w:val="0"/>
          <w:marBottom w:val="0"/>
          <w:divBdr>
            <w:top w:val="none" w:sz="0" w:space="0" w:color="auto"/>
            <w:left w:val="none" w:sz="0" w:space="0" w:color="auto"/>
            <w:bottom w:val="none" w:sz="0" w:space="0" w:color="auto"/>
            <w:right w:val="none" w:sz="0" w:space="0" w:color="auto"/>
          </w:divBdr>
        </w:div>
        <w:div w:id="2024704611">
          <w:marLeft w:val="0"/>
          <w:marRight w:val="0"/>
          <w:marTop w:val="0"/>
          <w:marBottom w:val="0"/>
          <w:divBdr>
            <w:top w:val="none" w:sz="0" w:space="0" w:color="auto"/>
            <w:left w:val="none" w:sz="0" w:space="0" w:color="auto"/>
            <w:bottom w:val="none" w:sz="0" w:space="0" w:color="auto"/>
            <w:right w:val="none" w:sz="0" w:space="0" w:color="auto"/>
          </w:divBdr>
        </w:div>
        <w:div w:id="2024704612">
          <w:marLeft w:val="0"/>
          <w:marRight w:val="0"/>
          <w:marTop w:val="0"/>
          <w:marBottom w:val="0"/>
          <w:divBdr>
            <w:top w:val="none" w:sz="0" w:space="0" w:color="auto"/>
            <w:left w:val="none" w:sz="0" w:space="0" w:color="auto"/>
            <w:bottom w:val="none" w:sz="0" w:space="0" w:color="auto"/>
            <w:right w:val="none" w:sz="0" w:space="0" w:color="auto"/>
          </w:divBdr>
        </w:div>
        <w:div w:id="2024704613">
          <w:marLeft w:val="0"/>
          <w:marRight w:val="0"/>
          <w:marTop w:val="0"/>
          <w:marBottom w:val="0"/>
          <w:divBdr>
            <w:top w:val="none" w:sz="0" w:space="0" w:color="auto"/>
            <w:left w:val="none" w:sz="0" w:space="0" w:color="auto"/>
            <w:bottom w:val="none" w:sz="0" w:space="0" w:color="auto"/>
            <w:right w:val="none" w:sz="0" w:space="0" w:color="auto"/>
          </w:divBdr>
        </w:div>
        <w:div w:id="2024704614">
          <w:marLeft w:val="0"/>
          <w:marRight w:val="0"/>
          <w:marTop w:val="0"/>
          <w:marBottom w:val="0"/>
          <w:divBdr>
            <w:top w:val="none" w:sz="0" w:space="0" w:color="auto"/>
            <w:left w:val="none" w:sz="0" w:space="0" w:color="auto"/>
            <w:bottom w:val="none" w:sz="0" w:space="0" w:color="auto"/>
            <w:right w:val="none" w:sz="0" w:space="0" w:color="auto"/>
          </w:divBdr>
        </w:div>
        <w:div w:id="2024704615">
          <w:marLeft w:val="0"/>
          <w:marRight w:val="0"/>
          <w:marTop w:val="0"/>
          <w:marBottom w:val="0"/>
          <w:divBdr>
            <w:top w:val="none" w:sz="0" w:space="0" w:color="auto"/>
            <w:left w:val="none" w:sz="0" w:space="0" w:color="auto"/>
            <w:bottom w:val="none" w:sz="0" w:space="0" w:color="auto"/>
            <w:right w:val="none" w:sz="0" w:space="0" w:color="auto"/>
          </w:divBdr>
        </w:div>
        <w:div w:id="2024704616">
          <w:marLeft w:val="0"/>
          <w:marRight w:val="0"/>
          <w:marTop w:val="0"/>
          <w:marBottom w:val="0"/>
          <w:divBdr>
            <w:top w:val="none" w:sz="0" w:space="0" w:color="auto"/>
            <w:left w:val="none" w:sz="0" w:space="0" w:color="auto"/>
            <w:bottom w:val="none" w:sz="0" w:space="0" w:color="auto"/>
            <w:right w:val="none" w:sz="0" w:space="0" w:color="auto"/>
          </w:divBdr>
        </w:div>
        <w:div w:id="2024704617">
          <w:marLeft w:val="0"/>
          <w:marRight w:val="0"/>
          <w:marTop w:val="0"/>
          <w:marBottom w:val="0"/>
          <w:divBdr>
            <w:top w:val="none" w:sz="0" w:space="0" w:color="auto"/>
            <w:left w:val="none" w:sz="0" w:space="0" w:color="auto"/>
            <w:bottom w:val="none" w:sz="0" w:space="0" w:color="auto"/>
            <w:right w:val="none" w:sz="0" w:space="0" w:color="auto"/>
          </w:divBdr>
        </w:div>
        <w:div w:id="2024704618">
          <w:marLeft w:val="0"/>
          <w:marRight w:val="0"/>
          <w:marTop w:val="0"/>
          <w:marBottom w:val="0"/>
          <w:divBdr>
            <w:top w:val="none" w:sz="0" w:space="0" w:color="auto"/>
            <w:left w:val="none" w:sz="0" w:space="0" w:color="auto"/>
            <w:bottom w:val="none" w:sz="0" w:space="0" w:color="auto"/>
            <w:right w:val="none" w:sz="0" w:space="0" w:color="auto"/>
          </w:divBdr>
        </w:div>
        <w:div w:id="2024704619">
          <w:marLeft w:val="0"/>
          <w:marRight w:val="0"/>
          <w:marTop w:val="0"/>
          <w:marBottom w:val="0"/>
          <w:divBdr>
            <w:top w:val="none" w:sz="0" w:space="0" w:color="auto"/>
            <w:left w:val="none" w:sz="0" w:space="0" w:color="auto"/>
            <w:bottom w:val="none" w:sz="0" w:space="0" w:color="auto"/>
            <w:right w:val="none" w:sz="0" w:space="0" w:color="auto"/>
          </w:divBdr>
        </w:div>
        <w:div w:id="2024704620">
          <w:marLeft w:val="0"/>
          <w:marRight w:val="0"/>
          <w:marTop w:val="0"/>
          <w:marBottom w:val="0"/>
          <w:divBdr>
            <w:top w:val="none" w:sz="0" w:space="0" w:color="auto"/>
            <w:left w:val="none" w:sz="0" w:space="0" w:color="auto"/>
            <w:bottom w:val="none" w:sz="0" w:space="0" w:color="auto"/>
            <w:right w:val="none" w:sz="0" w:space="0" w:color="auto"/>
          </w:divBdr>
        </w:div>
        <w:div w:id="2024704621">
          <w:marLeft w:val="0"/>
          <w:marRight w:val="0"/>
          <w:marTop w:val="0"/>
          <w:marBottom w:val="0"/>
          <w:divBdr>
            <w:top w:val="none" w:sz="0" w:space="0" w:color="auto"/>
            <w:left w:val="none" w:sz="0" w:space="0" w:color="auto"/>
            <w:bottom w:val="none" w:sz="0" w:space="0" w:color="auto"/>
            <w:right w:val="none" w:sz="0" w:space="0" w:color="auto"/>
          </w:divBdr>
        </w:div>
        <w:div w:id="2024704622">
          <w:marLeft w:val="0"/>
          <w:marRight w:val="0"/>
          <w:marTop w:val="0"/>
          <w:marBottom w:val="0"/>
          <w:divBdr>
            <w:top w:val="none" w:sz="0" w:space="0" w:color="auto"/>
            <w:left w:val="none" w:sz="0" w:space="0" w:color="auto"/>
            <w:bottom w:val="none" w:sz="0" w:space="0" w:color="auto"/>
            <w:right w:val="none" w:sz="0" w:space="0" w:color="auto"/>
          </w:divBdr>
        </w:div>
        <w:div w:id="2024704623">
          <w:marLeft w:val="0"/>
          <w:marRight w:val="0"/>
          <w:marTop w:val="0"/>
          <w:marBottom w:val="0"/>
          <w:divBdr>
            <w:top w:val="none" w:sz="0" w:space="0" w:color="auto"/>
            <w:left w:val="none" w:sz="0" w:space="0" w:color="auto"/>
            <w:bottom w:val="none" w:sz="0" w:space="0" w:color="auto"/>
            <w:right w:val="none" w:sz="0" w:space="0" w:color="auto"/>
          </w:divBdr>
        </w:div>
        <w:div w:id="2024704624">
          <w:marLeft w:val="0"/>
          <w:marRight w:val="0"/>
          <w:marTop w:val="0"/>
          <w:marBottom w:val="0"/>
          <w:divBdr>
            <w:top w:val="none" w:sz="0" w:space="0" w:color="auto"/>
            <w:left w:val="none" w:sz="0" w:space="0" w:color="auto"/>
            <w:bottom w:val="none" w:sz="0" w:space="0" w:color="auto"/>
            <w:right w:val="none" w:sz="0" w:space="0" w:color="auto"/>
          </w:divBdr>
        </w:div>
        <w:div w:id="2024704625">
          <w:marLeft w:val="0"/>
          <w:marRight w:val="0"/>
          <w:marTop w:val="0"/>
          <w:marBottom w:val="0"/>
          <w:divBdr>
            <w:top w:val="none" w:sz="0" w:space="0" w:color="auto"/>
            <w:left w:val="none" w:sz="0" w:space="0" w:color="auto"/>
            <w:bottom w:val="none" w:sz="0" w:space="0" w:color="auto"/>
            <w:right w:val="none" w:sz="0" w:space="0" w:color="auto"/>
          </w:divBdr>
        </w:div>
        <w:div w:id="2024704626">
          <w:marLeft w:val="0"/>
          <w:marRight w:val="0"/>
          <w:marTop w:val="0"/>
          <w:marBottom w:val="0"/>
          <w:divBdr>
            <w:top w:val="none" w:sz="0" w:space="0" w:color="auto"/>
            <w:left w:val="none" w:sz="0" w:space="0" w:color="auto"/>
            <w:bottom w:val="none" w:sz="0" w:space="0" w:color="auto"/>
            <w:right w:val="none" w:sz="0" w:space="0" w:color="auto"/>
          </w:divBdr>
        </w:div>
        <w:div w:id="2024704627">
          <w:marLeft w:val="0"/>
          <w:marRight w:val="0"/>
          <w:marTop w:val="0"/>
          <w:marBottom w:val="0"/>
          <w:divBdr>
            <w:top w:val="none" w:sz="0" w:space="0" w:color="auto"/>
            <w:left w:val="none" w:sz="0" w:space="0" w:color="auto"/>
            <w:bottom w:val="none" w:sz="0" w:space="0" w:color="auto"/>
            <w:right w:val="none" w:sz="0" w:space="0" w:color="auto"/>
          </w:divBdr>
        </w:div>
        <w:div w:id="2024704628">
          <w:marLeft w:val="0"/>
          <w:marRight w:val="0"/>
          <w:marTop w:val="0"/>
          <w:marBottom w:val="0"/>
          <w:divBdr>
            <w:top w:val="none" w:sz="0" w:space="0" w:color="auto"/>
            <w:left w:val="none" w:sz="0" w:space="0" w:color="auto"/>
            <w:bottom w:val="none" w:sz="0" w:space="0" w:color="auto"/>
            <w:right w:val="none" w:sz="0" w:space="0" w:color="auto"/>
          </w:divBdr>
        </w:div>
        <w:div w:id="2024704629">
          <w:marLeft w:val="0"/>
          <w:marRight w:val="0"/>
          <w:marTop w:val="0"/>
          <w:marBottom w:val="0"/>
          <w:divBdr>
            <w:top w:val="none" w:sz="0" w:space="0" w:color="auto"/>
            <w:left w:val="none" w:sz="0" w:space="0" w:color="auto"/>
            <w:bottom w:val="none" w:sz="0" w:space="0" w:color="auto"/>
            <w:right w:val="none" w:sz="0" w:space="0" w:color="auto"/>
          </w:divBdr>
        </w:div>
        <w:div w:id="2024704630">
          <w:marLeft w:val="0"/>
          <w:marRight w:val="0"/>
          <w:marTop w:val="0"/>
          <w:marBottom w:val="0"/>
          <w:divBdr>
            <w:top w:val="none" w:sz="0" w:space="0" w:color="auto"/>
            <w:left w:val="none" w:sz="0" w:space="0" w:color="auto"/>
            <w:bottom w:val="none" w:sz="0" w:space="0" w:color="auto"/>
            <w:right w:val="none" w:sz="0" w:space="0" w:color="auto"/>
          </w:divBdr>
        </w:div>
        <w:div w:id="2024704631">
          <w:marLeft w:val="0"/>
          <w:marRight w:val="0"/>
          <w:marTop w:val="0"/>
          <w:marBottom w:val="0"/>
          <w:divBdr>
            <w:top w:val="none" w:sz="0" w:space="0" w:color="auto"/>
            <w:left w:val="none" w:sz="0" w:space="0" w:color="auto"/>
            <w:bottom w:val="none" w:sz="0" w:space="0" w:color="auto"/>
            <w:right w:val="none" w:sz="0" w:space="0" w:color="auto"/>
          </w:divBdr>
        </w:div>
        <w:div w:id="2024704632">
          <w:marLeft w:val="0"/>
          <w:marRight w:val="0"/>
          <w:marTop w:val="0"/>
          <w:marBottom w:val="0"/>
          <w:divBdr>
            <w:top w:val="none" w:sz="0" w:space="0" w:color="auto"/>
            <w:left w:val="none" w:sz="0" w:space="0" w:color="auto"/>
            <w:bottom w:val="none" w:sz="0" w:space="0" w:color="auto"/>
            <w:right w:val="none" w:sz="0" w:space="0" w:color="auto"/>
          </w:divBdr>
        </w:div>
        <w:div w:id="2024704633">
          <w:marLeft w:val="0"/>
          <w:marRight w:val="0"/>
          <w:marTop w:val="0"/>
          <w:marBottom w:val="0"/>
          <w:divBdr>
            <w:top w:val="none" w:sz="0" w:space="0" w:color="auto"/>
            <w:left w:val="none" w:sz="0" w:space="0" w:color="auto"/>
            <w:bottom w:val="none" w:sz="0" w:space="0" w:color="auto"/>
            <w:right w:val="none" w:sz="0" w:space="0" w:color="auto"/>
          </w:divBdr>
        </w:div>
        <w:div w:id="2024704634">
          <w:marLeft w:val="0"/>
          <w:marRight w:val="0"/>
          <w:marTop w:val="0"/>
          <w:marBottom w:val="0"/>
          <w:divBdr>
            <w:top w:val="none" w:sz="0" w:space="0" w:color="auto"/>
            <w:left w:val="none" w:sz="0" w:space="0" w:color="auto"/>
            <w:bottom w:val="none" w:sz="0" w:space="0" w:color="auto"/>
            <w:right w:val="none" w:sz="0" w:space="0" w:color="auto"/>
          </w:divBdr>
        </w:div>
        <w:div w:id="2024704635">
          <w:marLeft w:val="0"/>
          <w:marRight w:val="0"/>
          <w:marTop w:val="0"/>
          <w:marBottom w:val="0"/>
          <w:divBdr>
            <w:top w:val="none" w:sz="0" w:space="0" w:color="auto"/>
            <w:left w:val="none" w:sz="0" w:space="0" w:color="auto"/>
            <w:bottom w:val="none" w:sz="0" w:space="0" w:color="auto"/>
            <w:right w:val="none" w:sz="0" w:space="0" w:color="auto"/>
          </w:divBdr>
        </w:div>
        <w:div w:id="2024704636">
          <w:marLeft w:val="0"/>
          <w:marRight w:val="0"/>
          <w:marTop w:val="0"/>
          <w:marBottom w:val="0"/>
          <w:divBdr>
            <w:top w:val="none" w:sz="0" w:space="0" w:color="auto"/>
            <w:left w:val="none" w:sz="0" w:space="0" w:color="auto"/>
            <w:bottom w:val="none" w:sz="0" w:space="0" w:color="auto"/>
            <w:right w:val="none" w:sz="0" w:space="0" w:color="auto"/>
          </w:divBdr>
        </w:div>
        <w:div w:id="2024704637">
          <w:marLeft w:val="0"/>
          <w:marRight w:val="0"/>
          <w:marTop w:val="0"/>
          <w:marBottom w:val="0"/>
          <w:divBdr>
            <w:top w:val="none" w:sz="0" w:space="0" w:color="auto"/>
            <w:left w:val="none" w:sz="0" w:space="0" w:color="auto"/>
            <w:bottom w:val="none" w:sz="0" w:space="0" w:color="auto"/>
            <w:right w:val="none" w:sz="0" w:space="0" w:color="auto"/>
          </w:divBdr>
        </w:div>
        <w:div w:id="2024704638">
          <w:marLeft w:val="0"/>
          <w:marRight w:val="0"/>
          <w:marTop w:val="0"/>
          <w:marBottom w:val="0"/>
          <w:divBdr>
            <w:top w:val="none" w:sz="0" w:space="0" w:color="auto"/>
            <w:left w:val="none" w:sz="0" w:space="0" w:color="auto"/>
            <w:bottom w:val="none" w:sz="0" w:space="0" w:color="auto"/>
            <w:right w:val="none" w:sz="0" w:space="0" w:color="auto"/>
          </w:divBdr>
        </w:div>
        <w:div w:id="2024704639">
          <w:marLeft w:val="0"/>
          <w:marRight w:val="0"/>
          <w:marTop w:val="0"/>
          <w:marBottom w:val="0"/>
          <w:divBdr>
            <w:top w:val="none" w:sz="0" w:space="0" w:color="auto"/>
            <w:left w:val="none" w:sz="0" w:space="0" w:color="auto"/>
            <w:bottom w:val="none" w:sz="0" w:space="0" w:color="auto"/>
            <w:right w:val="none" w:sz="0" w:space="0" w:color="auto"/>
          </w:divBdr>
        </w:div>
        <w:div w:id="2024704640">
          <w:marLeft w:val="0"/>
          <w:marRight w:val="0"/>
          <w:marTop w:val="0"/>
          <w:marBottom w:val="0"/>
          <w:divBdr>
            <w:top w:val="none" w:sz="0" w:space="0" w:color="auto"/>
            <w:left w:val="none" w:sz="0" w:space="0" w:color="auto"/>
            <w:bottom w:val="none" w:sz="0" w:space="0" w:color="auto"/>
            <w:right w:val="none" w:sz="0" w:space="0" w:color="auto"/>
          </w:divBdr>
        </w:div>
        <w:div w:id="2024704641">
          <w:marLeft w:val="0"/>
          <w:marRight w:val="0"/>
          <w:marTop w:val="0"/>
          <w:marBottom w:val="0"/>
          <w:divBdr>
            <w:top w:val="none" w:sz="0" w:space="0" w:color="auto"/>
            <w:left w:val="none" w:sz="0" w:space="0" w:color="auto"/>
            <w:bottom w:val="none" w:sz="0" w:space="0" w:color="auto"/>
            <w:right w:val="none" w:sz="0" w:space="0" w:color="auto"/>
          </w:divBdr>
        </w:div>
        <w:div w:id="2024704642">
          <w:marLeft w:val="0"/>
          <w:marRight w:val="0"/>
          <w:marTop w:val="0"/>
          <w:marBottom w:val="0"/>
          <w:divBdr>
            <w:top w:val="none" w:sz="0" w:space="0" w:color="auto"/>
            <w:left w:val="none" w:sz="0" w:space="0" w:color="auto"/>
            <w:bottom w:val="none" w:sz="0" w:space="0" w:color="auto"/>
            <w:right w:val="none" w:sz="0" w:space="0" w:color="auto"/>
          </w:divBdr>
        </w:div>
        <w:div w:id="2024704643">
          <w:marLeft w:val="0"/>
          <w:marRight w:val="0"/>
          <w:marTop w:val="0"/>
          <w:marBottom w:val="0"/>
          <w:divBdr>
            <w:top w:val="none" w:sz="0" w:space="0" w:color="auto"/>
            <w:left w:val="none" w:sz="0" w:space="0" w:color="auto"/>
            <w:bottom w:val="none" w:sz="0" w:space="0" w:color="auto"/>
            <w:right w:val="none" w:sz="0" w:space="0" w:color="auto"/>
          </w:divBdr>
        </w:div>
        <w:div w:id="2024704644">
          <w:marLeft w:val="0"/>
          <w:marRight w:val="0"/>
          <w:marTop w:val="0"/>
          <w:marBottom w:val="0"/>
          <w:divBdr>
            <w:top w:val="none" w:sz="0" w:space="0" w:color="auto"/>
            <w:left w:val="none" w:sz="0" w:space="0" w:color="auto"/>
            <w:bottom w:val="none" w:sz="0" w:space="0" w:color="auto"/>
            <w:right w:val="none" w:sz="0" w:space="0" w:color="auto"/>
          </w:divBdr>
        </w:div>
        <w:div w:id="2024704645">
          <w:marLeft w:val="0"/>
          <w:marRight w:val="0"/>
          <w:marTop w:val="0"/>
          <w:marBottom w:val="0"/>
          <w:divBdr>
            <w:top w:val="none" w:sz="0" w:space="0" w:color="auto"/>
            <w:left w:val="none" w:sz="0" w:space="0" w:color="auto"/>
            <w:bottom w:val="none" w:sz="0" w:space="0" w:color="auto"/>
            <w:right w:val="none" w:sz="0" w:space="0" w:color="auto"/>
          </w:divBdr>
        </w:div>
        <w:div w:id="2024704646">
          <w:marLeft w:val="0"/>
          <w:marRight w:val="0"/>
          <w:marTop w:val="0"/>
          <w:marBottom w:val="0"/>
          <w:divBdr>
            <w:top w:val="none" w:sz="0" w:space="0" w:color="auto"/>
            <w:left w:val="none" w:sz="0" w:space="0" w:color="auto"/>
            <w:bottom w:val="none" w:sz="0" w:space="0" w:color="auto"/>
            <w:right w:val="none" w:sz="0" w:space="0" w:color="auto"/>
          </w:divBdr>
        </w:div>
        <w:div w:id="2024704647">
          <w:marLeft w:val="0"/>
          <w:marRight w:val="0"/>
          <w:marTop w:val="0"/>
          <w:marBottom w:val="0"/>
          <w:divBdr>
            <w:top w:val="none" w:sz="0" w:space="0" w:color="auto"/>
            <w:left w:val="none" w:sz="0" w:space="0" w:color="auto"/>
            <w:bottom w:val="none" w:sz="0" w:space="0" w:color="auto"/>
            <w:right w:val="none" w:sz="0" w:space="0" w:color="auto"/>
          </w:divBdr>
        </w:div>
        <w:div w:id="2024704648">
          <w:marLeft w:val="0"/>
          <w:marRight w:val="0"/>
          <w:marTop w:val="0"/>
          <w:marBottom w:val="0"/>
          <w:divBdr>
            <w:top w:val="none" w:sz="0" w:space="0" w:color="auto"/>
            <w:left w:val="none" w:sz="0" w:space="0" w:color="auto"/>
            <w:bottom w:val="none" w:sz="0" w:space="0" w:color="auto"/>
            <w:right w:val="none" w:sz="0" w:space="0" w:color="auto"/>
          </w:divBdr>
        </w:div>
        <w:div w:id="2024704649">
          <w:marLeft w:val="0"/>
          <w:marRight w:val="0"/>
          <w:marTop w:val="0"/>
          <w:marBottom w:val="0"/>
          <w:divBdr>
            <w:top w:val="none" w:sz="0" w:space="0" w:color="auto"/>
            <w:left w:val="none" w:sz="0" w:space="0" w:color="auto"/>
            <w:bottom w:val="none" w:sz="0" w:space="0" w:color="auto"/>
            <w:right w:val="none" w:sz="0" w:space="0" w:color="auto"/>
          </w:divBdr>
        </w:div>
        <w:div w:id="2024704650">
          <w:marLeft w:val="0"/>
          <w:marRight w:val="0"/>
          <w:marTop w:val="0"/>
          <w:marBottom w:val="0"/>
          <w:divBdr>
            <w:top w:val="none" w:sz="0" w:space="0" w:color="auto"/>
            <w:left w:val="none" w:sz="0" w:space="0" w:color="auto"/>
            <w:bottom w:val="none" w:sz="0" w:space="0" w:color="auto"/>
            <w:right w:val="none" w:sz="0" w:space="0" w:color="auto"/>
          </w:divBdr>
        </w:div>
        <w:div w:id="2024704651">
          <w:marLeft w:val="0"/>
          <w:marRight w:val="0"/>
          <w:marTop w:val="0"/>
          <w:marBottom w:val="0"/>
          <w:divBdr>
            <w:top w:val="none" w:sz="0" w:space="0" w:color="auto"/>
            <w:left w:val="none" w:sz="0" w:space="0" w:color="auto"/>
            <w:bottom w:val="none" w:sz="0" w:space="0" w:color="auto"/>
            <w:right w:val="none" w:sz="0" w:space="0" w:color="auto"/>
          </w:divBdr>
        </w:div>
        <w:div w:id="2024704652">
          <w:marLeft w:val="0"/>
          <w:marRight w:val="0"/>
          <w:marTop w:val="0"/>
          <w:marBottom w:val="0"/>
          <w:divBdr>
            <w:top w:val="none" w:sz="0" w:space="0" w:color="auto"/>
            <w:left w:val="none" w:sz="0" w:space="0" w:color="auto"/>
            <w:bottom w:val="none" w:sz="0" w:space="0" w:color="auto"/>
            <w:right w:val="none" w:sz="0" w:space="0" w:color="auto"/>
          </w:divBdr>
        </w:div>
        <w:div w:id="2024704653">
          <w:marLeft w:val="0"/>
          <w:marRight w:val="0"/>
          <w:marTop w:val="0"/>
          <w:marBottom w:val="0"/>
          <w:divBdr>
            <w:top w:val="none" w:sz="0" w:space="0" w:color="auto"/>
            <w:left w:val="none" w:sz="0" w:space="0" w:color="auto"/>
            <w:bottom w:val="none" w:sz="0" w:space="0" w:color="auto"/>
            <w:right w:val="none" w:sz="0" w:space="0" w:color="auto"/>
          </w:divBdr>
        </w:div>
        <w:div w:id="2024704654">
          <w:marLeft w:val="0"/>
          <w:marRight w:val="0"/>
          <w:marTop w:val="0"/>
          <w:marBottom w:val="0"/>
          <w:divBdr>
            <w:top w:val="none" w:sz="0" w:space="0" w:color="auto"/>
            <w:left w:val="none" w:sz="0" w:space="0" w:color="auto"/>
            <w:bottom w:val="none" w:sz="0" w:space="0" w:color="auto"/>
            <w:right w:val="none" w:sz="0" w:space="0" w:color="auto"/>
          </w:divBdr>
        </w:div>
        <w:div w:id="2024704655">
          <w:marLeft w:val="0"/>
          <w:marRight w:val="0"/>
          <w:marTop w:val="0"/>
          <w:marBottom w:val="0"/>
          <w:divBdr>
            <w:top w:val="none" w:sz="0" w:space="0" w:color="auto"/>
            <w:left w:val="none" w:sz="0" w:space="0" w:color="auto"/>
            <w:bottom w:val="none" w:sz="0" w:space="0" w:color="auto"/>
            <w:right w:val="none" w:sz="0" w:space="0" w:color="auto"/>
          </w:divBdr>
        </w:div>
        <w:div w:id="2024704656">
          <w:marLeft w:val="0"/>
          <w:marRight w:val="0"/>
          <w:marTop w:val="0"/>
          <w:marBottom w:val="0"/>
          <w:divBdr>
            <w:top w:val="none" w:sz="0" w:space="0" w:color="auto"/>
            <w:left w:val="none" w:sz="0" w:space="0" w:color="auto"/>
            <w:bottom w:val="none" w:sz="0" w:space="0" w:color="auto"/>
            <w:right w:val="none" w:sz="0" w:space="0" w:color="auto"/>
          </w:divBdr>
        </w:div>
        <w:div w:id="2024704657">
          <w:marLeft w:val="0"/>
          <w:marRight w:val="0"/>
          <w:marTop w:val="0"/>
          <w:marBottom w:val="0"/>
          <w:divBdr>
            <w:top w:val="none" w:sz="0" w:space="0" w:color="auto"/>
            <w:left w:val="none" w:sz="0" w:space="0" w:color="auto"/>
            <w:bottom w:val="none" w:sz="0" w:space="0" w:color="auto"/>
            <w:right w:val="none" w:sz="0" w:space="0" w:color="auto"/>
          </w:divBdr>
        </w:div>
        <w:div w:id="2024704658">
          <w:marLeft w:val="0"/>
          <w:marRight w:val="0"/>
          <w:marTop w:val="0"/>
          <w:marBottom w:val="0"/>
          <w:divBdr>
            <w:top w:val="none" w:sz="0" w:space="0" w:color="auto"/>
            <w:left w:val="none" w:sz="0" w:space="0" w:color="auto"/>
            <w:bottom w:val="none" w:sz="0" w:space="0" w:color="auto"/>
            <w:right w:val="none" w:sz="0" w:space="0" w:color="auto"/>
          </w:divBdr>
        </w:div>
        <w:div w:id="2024704659">
          <w:marLeft w:val="0"/>
          <w:marRight w:val="0"/>
          <w:marTop w:val="0"/>
          <w:marBottom w:val="0"/>
          <w:divBdr>
            <w:top w:val="none" w:sz="0" w:space="0" w:color="auto"/>
            <w:left w:val="none" w:sz="0" w:space="0" w:color="auto"/>
            <w:bottom w:val="none" w:sz="0" w:space="0" w:color="auto"/>
            <w:right w:val="none" w:sz="0" w:space="0" w:color="auto"/>
          </w:divBdr>
        </w:div>
        <w:div w:id="2024704660">
          <w:marLeft w:val="0"/>
          <w:marRight w:val="0"/>
          <w:marTop w:val="0"/>
          <w:marBottom w:val="0"/>
          <w:divBdr>
            <w:top w:val="none" w:sz="0" w:space="0" w:color="auto"/>
            <w:left w:val="none" w:sz="0" w:space="0" w:color="auto"/>
            <w:bottom w:val="none" w:sz="0" w:space="0" w:color="auto"/>
            <w:right w:val="none" w:sz="0" w:space="0" w:color="auto"/>
          </w:divBdr>
        </w:div>
        <w:div w:id="2024704661">
          <w:marLeft w:val="0"/>
          <w:marRight w:val="0"/>
          <w:marTop w:val="0"/>
          <w:marBottom w:val="0"/>
          <w:divBdr>
            <w:top w:val="none" w:sz="0" w:space="0" w:color="auto"/>
            <w:left w:val="none" w:sz="0" w:space="0" w:color="auto"/>
            <w:bottom w:val="none" w:sz="0" w:space="0" w:color="auto"/>
            <w:right w:val="none" w:sz="0" w:space="0" w:color="auto"/>
          </w:divBdr>
        </w:div>
        <w:div w:id="2024704662">
          <w:marLeft w:val="0"/>
          <w:marRight w:val="0"/>
          <w:marTop w:val="0"/>
          <w:marBottom w:val="0"/>
          <w:divBdr>
            <w:top w:val="none" w:sz="0" w:space="0" w:color="auto"/>
            <w:left w:val="none" w:sz="0" w:space="0" w:color="auto"/>
            <w:bottom w:val="none" w:sz="0" w:space="0" w:color="auto"/>
            <w:right w:val="none" w:sz="0" w:space="0" w:color="auto"/>
          </w:divBdr>
        </w:div>
        <w:div w:id="2024704663">
          <w:marLeft w:val="0"/>
          <w:marRight w:val="0"/>
          <w:marTop w:val="0"/>
          <w:marBottom w:val="0"/>
          <w:divBdr>
            <w:top w:val="none" w:sz="0" w:space="0" w:color="auto"/>
            <w:left w:val="none" w:sz="0" w:space="0" w:color="auto"/>
            <w:bottom w:val="none" w:sz="0" w:space="0" w:color="auto"/>
            <w:right w:val="none" w:sz="0" w:space="0" w:color="auto"/>
          </w:divBdr>
        </w:div>
        <w:div w:id="2024704664">
          <w:marLeft w:val="0"/>
          <w:marRight w:val="0"/>
          <w:marTop w:val="0"/>
          <w:marBottom w:val="0"/>
          <w:divBdr>
            <w:top w:val="none" w:sz="0" w:space="0" w:color="auto"/>
            <w:left w:val="none" w:sz="0" w:space="0" w:color="auto"/>
            <w:bottom w:val="none" w:sz="0" w:space="0" w:color="auto"/>
            <w:right w:val="none" w:sz="0" w:space="0" w:color="auto"/>
          </w:divBdr>
        </w:div>
        <w:div w:id="2024704666">
          <w:marLeft w:val="0"/>
          <w:marRight w:val="0"/>
          <w:marTop w:val="0"/>
          <w:marBottom w:val="0"/>
          <w:divBdr>
            <w:top w:val="none" w:sz="0" w:space="0" w:color="auto"/>
            <w:left w:val="none" w:sz="0" w:space="0" w:color="auto"/>
            <w:bottom w:val="none" w:sz="0" w:space="0" w:color="auto"/>
            <w:right w:val="none" w:sz="0" w:space="0" w:color="auto"/>
          </w:divBdr>
        </w:div>
        <w:div w:id="2024704667">
          <w:marLeft w:val="0"/>
          <w:marRight w:val="0"/>
          <w:marTop w:val="0"/>
          <w:marBottom w:val="0"/>
          <w:divBdr>
            <w:top w:val="none" w:sz="0" w:space="0" w:color="auto"/>
            <w:left w:val="none" w:sz="0" w:space="0" w:color="auto"/>
            <w:bottom w:val="none" w:sz="0" w:space="0" w:color="auto"/>
            <w:right w:val="none" w:sz="0" w:space="0" w:color="auto"/>
          </w:divBdr>
        </w:div>
        <w:div w:id="2024704668">
          <w:marLeft w:val="0"/>
          <w:marRight w:val="0"/>
          <w:marTop w:val="0"/>
          <w:marBottom w:val="0"/>
          <w:divBdr>
            <w:top w:val="none" w:sz="0" w:space="0" w:color="auto"/>
            <w:left w:val="none" w:sz="0" w:space="0" w:color="auto"/>
            <w:bottom w:val="none" w:sz="0" w:space="0" w:color="auto"/>
            <w:right w:val="none" w:sz="0" w:space="0" w:color="auto"/>
          </w:divBdr>
        </w:div>
        <w:div w:id="2024704669">
          <w:marLeft w:val="0"/>
          <w:marRight w:val="0"/>
          <w:marTop w:val="0"/>
          <w:marBottom w:val="0"/>
          <w:divBdr>
            <w:top w:val="none" w:sz="0" w:space="0" w:color="auto"/>
            <w:left w:val="none" w:sz="0" w:space="0" w:color="auto"/>
            <w:bottom w:val="none" w:sz="0" w:space="0" w:color="auto"/>
            <w:right w:val="none" w:sz="0" w:space="0" w:color="auto"/>
          </w:divBdr>
        </w:div>
        <w:div w:id="2024704670">
          <w:marLeft w:val="0"/>
          <w:marRight w:val="0"/>
          <w:marTop w:val="0"/>
          <w:marBottom w:val="0"/>
          <w:divBdr>
            <w:top w:val="none" w:sz="0" w:space="0" w:color="auto"/>
            <w:left w:val="none" w:sz="0" w:space="0" w:color="auto"/>
            <w:bottom w:val="none" w:sz="0" w:space="0" w:color="auto"/>
            <w:right w:val="none" w:sz="0" w:space="0" w:color="auto"/>
          </w:divBdr>
        </w:div>
        <w:div w:id="2024704671">
          <w:marLeft w:val="0"/>
          <w:marRight w:val="0"/>
          <w:marTop w:val="0"/>
          <w:marBottom w:val="0"/>
          <w:divBdr>
            <w:top w:val="none" w:sz="0" w:space="0" w:color="auto"/>
            <w:left w:val="none" w:sz="0" w:space="0" w:color="auto"/>
            <w:bottom w:val="none" w:sz="0" w:space="0" w:color="auto"/>
            <w:right w:val="none" w:sz="0" w:space="0" w:color="auto"/>
          </w:divBdr>
        </w:div>
        <w:div w:id="2024704672">
          <w:marLeft w:val="0"/>
          <w:marRight w:val="0"/>
          <w:marTop w:val="0"/>
          <w:marBottom w:val="0"/>
          <w:divBdr>
            <w:top w:val="none" w:sz="0" w:space="0" w:color="auto"/>
            <w:left w:val="none" w:sz="0" w:space="0" w:color="auto"/>
            <w:bottom w:val="none" w:sz="0" w:space="0" w:color="auto"/>
            <w:right w:val="none" w:sz="0" w:space="0" w:color="auto"/>
          </w:divBdr>
        </w:div>
        <w:div w:id="2024704673">
          <w:marLeft w:val="0"/>
          <w:marRight w:val="0"/>
          <w:marTop w:val="0"/>
          <w:marBottom w:val="0"/>
          <w:divBdr>
            <w:top w:val="none" w:sz="0" w:space="0" w:color="auto"/>
            <w:left w:val="none" w:sz="0" w:space="0" w:color="auto"/>
            <w:bottom w:val="none" w:sz="0" w:space="0" w:color="auto"/>
            <w:right w:val="none" w:sz="0" w:space="0" w:color="auto"/>
          </w:divBdr>
        </w:div>
        <w:div w:id="2024704674">
          <w:marLeft w:val="0"/>
          <w:marRight w:val="0"/>
          <w:marTop w:val="0"/>
          <w:marBottom w:val="0"/>
          <w:divBdr>
            <w:top w:val="none" w:sz="0" w:space="0" w:color="auto"/>
            <w:left w:val="none" w:sz="0" w:space="0" w:color="auto"/>
            <w:bottom w:val="none" w:sz="0" w:space="0" w:color="auto"/>
            <w:right w:val="none" w:sz="0" w:space="0" w:color="auto"/>
          </w:divBdr>
        </w:div>
        <w:div w:id="2024704675">
          <w:marLeft w:val="0"/>
          <w:marRight w:val="0"/>
          <w:marTop w:val="0"/>
          <w:marBottom w:val="0"/>
          <w:divBdr>
            <w:top w:val="none" w:sz="0" w:space="0" w:color="auto"/>
            <w:left w:val="none" w:sz="0" w:space="0" w:color="auto"/>
            <w:bottom w:val="none" w:sz="0" w:space="0" w:color="auto"/>
            <w:right w:val="none" w:sz="0" w:space="0" w:color="auto"/>
          </w:divBdr>
        </w:div>
        <w:div w:id="2024704676">
          <w:marLeft w:val="0"/>
          <w:marRight w:val="0"/>
          <w:marTop w:val="0"/>
          <w:marBottom w:val="0"/>
          <w:divBdr>
            <w:top w:val="none" w:sz="0" w:space="0" w:color="auto"/>
            <w:left w:val="none" w:sz="0" w:space="0" w:color="auto"/>
            <w:bottom w:val="none" w:sz="0" w:space="0" w:color="auto"/>
            <w:right w:val="none" w:sz="0" w:space="0" w:color="auto"/>
          </w:divBdr>
        </w:div>
        <w:div w:id="2024704677">
          <w:marLeft w:val="0"/>
          <w:marRight w:val="0"/>
          <w:marTop w:val="0"/>
          <w:marBottom w:val="0"/>
          <w:divBdr>
            <w:top w:val="none" w:sz="0" w:space="0" w:color="auto"/>
            <w:left w:val="none" w:sz="0" w:space="0" w:color="auto"/>
            <w:bottom w:val="none" w:sz="0" w:space="0" w:color="auto"/>
            <w:right w:val="none" w:sz="0" w:space="0" w:color="auto"/>
          </w:divBdr>
        </w:div>
        <w:div w:id="2024704678">
          <w:marLeft w:val="0"/>
          <w:marRight w:val="0"/>
          <w:marTop w:val="0"/>
          <w:marBottom w:val="0"/>
          <w:divBdr>
            <w:top w:val="none" w:sz="0" w:space="0" w:color="auto"/>
            <w:left w:val="none" w:sz="0" w:space="0" w:color="auto"/>
            <w:bottom w:val="none" w:sz="0" w:space="0" w:color="auto"/>
            <w:right w:val="none" w:sz="0" w:space="0" w:color="auto"/>
          </w:divBdr>
        </w:div>
        <w:div w:id="2024704679">
          <w:marLeft w:val="0"/>
          <w:marRight w:val="0"/>
          <w:marTop w:val="0"/>
          <w:marBottom w:val="0"/>
          <w:divBdr>
            <w:top w:val="none" w:sz="0" w:space="0" w:color="auto"/>
            <w:left w:val="none" w:sz="0" w:space="0" w:color="auto"/>
            <w:bottom w:val="none" w:sz="0" w:space="0" w:color="auto"/>
            <w:right w:val="none" w:sz="0" w:space="0" w:color="auto"/>
          </w:divBdr>
        </w:div>
        <w:div w:id="2024704680">
          <w:marLeft w:val="0"/>
          <w:marRight w:val="0"/>
          <w:marTop w:val="0"/>
          <w:marBottom w:val="0"/>
          <w:divBdr>
            <w:top w:val="none" w:sz="0" w:space="0" w:color="auto"/>
            <w:left w:val="none" w:sz="0" w:space="0" w:color="auto"/>
            <w:bottom w:val="none" w:sz="0" w:space="0" w:color="auto"/>
            <w:right w:val="none" w:sz="0" w:space="0" w:color="auto"/>
          </w:divBdr>
        </w:div>
        <w:div w:id="2024704681">
          <w:marLeft w:val="0"/>
          <w:marRight w:val="0"/>
          <w:marTop w:val="0"/>
          <w:marBottom w:val="0"/>
          <w:divBdr>
            <w:top w:val="none" w:sz="0" w:space="0" w:color="auto"/>
            <w:left w:val="none" w:sz="0" w:space="0" w:color="auto"/>
            <w:bottom w:val="none" w:sz="0" w:space="0" w:color="auto"/>
            <w:right w:val="none" w:sz="0" w:space="0" w:color="auto"/>
          </w:divBdr>
        </w:div>
        <w:div w:id="2024704682">
          <w:marLeft w:val="0"/>
          <w:marRight w:val="0"/>
          <w:marTop w:val="0"/>
          <w:marBottom w:val="0"/>
          <w:divBdr>
            <w:top w:val="none" w:sz="0" w:space="0" w:color="auto"/>
            <w:left w:val="none" w:sz="0" w:space="0" w:color="auto"/>
            <w:bottom w:val="none" w:sz="0" w:space="0" w:color="auto"/>
            <w:right w:val="none" w:sz="0" w:space="0" w:color="auto"/>
          </w:divBdr>
        </w:div>
        <w:div w:id="2024704683">
          <w:marLeft w:val="0"/>
          <w:marRight w:val="0"/>
          <w:marTop w:val="0"/>
          <w:marBottom w:val="0"/>
          <w:divBdr>
            <w:top w:val="none" w:sz="0" w:space="0" w:color="auto"/>
            <w:left w:val="none" w:sz="0" w:space="0" w:color="auto"/>
            <w:bottom w:val="none" w:sz="0" w:space="0" w:color="auto"/>
            <w:right w:val="none" w:sz="0" w:space="0" w:color="auto"/>
          </w:divBdr>
        </w:div>
        <w:div w:id="2024704684">
          <w:marLeft w:val="0"/>
          <w:marRight w:val="0"/>
          <w:marTop w:val="0"/>
          <w:marBottom w:val="0"/>
          <w:divBdr>
            <w:top w:val="none" w:sz="0" w:space="0" w:color="auto"/>
            <w:left w:val="none" w:sz="0" w:space="0" w:color="auto"/>
            <w:bottom w:val="none" w:sz="0" w:space="0" w:color="auto"/>
            <w:right w:val="none" w:sz="0" w:space="0" w:color="auto"/>
          </w:divBdr>
        </w:div>
        <w:div w:id="2024704685">
          <w:marLeft w:val="0"/>
          <w:marRight w:val="0"/>
          <w:marTop w:val="0"/>
          <w:marBottom w:val="0"/>
          <w:divBdr>
            <w:top w:val="none" w:sz="0" w:space="0" w:color="auto"/>
            <w:left w:val="none" w:sz="0" w:space="0" w:color="auto"/>
            <w:bottom w:val="none" w:sz="0" w:space="0" w:color="auto"/>
            <w:right w:val="none" w:sz="0" w:space="0" w:color="auto"/>
          </w:divBdr>
        </w:div>
        <w:div w:id="2024704686">
          <w:marLeft w:val="0"/>
          <w:marRight w:val="0"/>
          <w:marTop w:val="0"/>
          <w:marBottom w:val="0"/>
          <w:divBdr>
            <w:top w:val="none" w:sz="0" w:space="0" w:color="auto"/>
            <w:left w:val="none" w:sz="0" w:space="0" w:color="auto"/>
            <w:bottom w:val="none" w:sz="0" w:space="0" w:color="auto"/>
            <w:right w:val="none" w:sz="0" w:space="0" w:color="auto"/>
          </w:divBdr>
        </w:div>
        <w:div w:id="2024704687">
          <w:marLeft w:val="0"/>
          <w:marRight w:val="0"/>
          <w:marTop w:val="0"/>
          <w:marBottom w:val="0"/>
          <w:divBdr>
            <w:top w:val="none" w:sz="0" w:space="0" w:color="auto"/>
            <w:left w:val="none" w:sz="0" w:space="0" w:color="auto"/>
            <w:bottom w:val="none" w:sz="0" w:space="0" w:color="auto"/>
            <w:right w:val="none" w:sz="0" w:space="0" w:color="auto"/>
          </w:divBdr>
        </w:div>
        <w:div w:id="2024704688">
          <w:marLeft w:val="0"/>
          <w:marRight w:val="0"/>
          <w:marTop w:val="0"/>
          <w:marBottom w:val="0"/>
          <w:divBdr>
            <w:top w:val="none" w:sz="0" w:space="0" w:color="auto"/>
            <w:left w:val="none" w:sz="0" w:space="0" w:color="auto"/>
            <w:bottom w:val="none" w:sz="0" w:space="0" w:color="auto"/>
            <w:right w:val="none" w:sz="0" w:space="0" w:color="auto"/>
          </w:divBdr>
        </w:div>
        <w:div w:id="2024704689">
          <w:marLeft w:val="0"/>
          <w:marRight w:val="0"/>
          <w:marTop w:val="0"/>
          <w:marBottom w:val="0"/>
          <w:divBdr>
            <w:top w:val="none" w:sz="0" w:space="0" w:color="auto"/>
            <w:left w:val="none" w:sz="0" w:space="0" w:color="auto"/>
            <w:bottom w:val="none" w:sz="0" w:space="0" w:color="auto"/>
            <w:right w:val="none" w:sz="0" w:space="0" w:color="auto"/>
          </w:divBdr>
        </w:div>
        <w:div w:id="2024704690">
          <w:marLeft w:val="0"/>
          <w:marRight w:val="0"/>
          <w:marTop w:val="0"/>
          <w:marBottom w:val="0"/>
          <w:divBdr>
            <w:top w:val="none" w:sz="0" w:space="0" w:color="auto"/>
            <w:left w:val="none" w:sz="0" w:space="0" w:color="auto"/>
            <w:bottom w:val="none" w:sz="0" w:space="0" w:color="auto"/>
            <w:right w:val="none" w:sz="0" w:space="0" w:color="auto"/>
          </w:divBdr>
        </w:div>
        <w:div w:id="2024704691">
          <w:marLeft w:val="0"/>
          <w:marRight w:val="0"/>
          <w:marTop w:val="0"/>
          <w:marBottom w:val="0"/>
          <w:divBdr>
            <w:top w:val="none" w:sz="0" w:space="0" w:color="auto"/>
            <w:left w:val="none" w:sz="0" w:space="0" w:color="auto"/>
            <w:bottom w:val="none" w:sz="0" w:space="0" w:color="auto"/>
            <w:right w:val="none" w:sz="0" w:space="0" w:color="auto"/>
          </w:divBdr>
        </w:div>
        <w:div w:id="2024704692">
          <w:marLeft w:val="0"/>
          <w:marRight w:val="0"/>
          <w:marTop w:val="0"/>
          <w:marBottom w:val="0"/>
          <w:divBdr>
            <w:top w:val="none" w:sz="0" w:space="0" w:color="auto"/>
            <w:left w:val="none" w:sz="0" w:space="0" w:color="auto"/>
            <w:bottom w:val="none" w:sz="0" w:space="0" w:color="auto"/>
            <w:right w:val="none" w:sz="0" w:space="0" w:color="auto"/>
          </w:divBdr>
        </w:div>
        <w:div w:id="2024704693">
          <w:marLeft w:val="0"/>
          <w:marRight w:val="0"/>
          <w:marTop w:val="0"/>
          <w:marBottom w:val="0"/>
          <w:divBdr>
            <w:top w:val="none" w:sz="0" w:space="0" w:color="auto"/>
            <w:left w:val="none" w:sz="0" w:space="0" w:color="auto"/>
            <w:bottom w:val="none" w:sz="0" w:space="0" w:color="auto"/>
            <w:right w:val="none" w:sz="0" w:space="0" w:color="auto"/>
          </w:divBdr>
        </w:div>
        <w:div w:id="2024704694">
          <w:marLeft w:val="0"/>
          <w:marRight w:val="0"/>
          <w:marTop w:val="0"/>
          <w:marBottom w:val="0"/>
          <w:divBdr>
            <w:top w:val="none" w:sz="0" w:space="0" w:color="auto"/>
            <w:left w:val="none" w:sz="0" w:space="0" w:color="auto"/>
            <w:bottom w:val="none" w:sz="0" w:space="0" w:color="auto"/>
            <w:right w:val="none" w:sz="0" w:space="0" w:color="auto"/>
          </w:divBdr>
        </w:div>
        <w:div w:id="2024704695">
          <w:marLeft w:val="0"/>
          <w:marRight w:val="0"/>
          <w:marTop w:val="0"/>
          <w:marBottom w:val="0"/>
          <w:divBdr>
            <w:top w:val="none" w:sz="0" w:space="0" w:color="auto"/>
            <w:left w:val="none" w:sz="0" w:space="0" w:color="auto"/>
            <w:bottom w:val="none" w:sz="0" w:space="0" w:color="auto"/>
            <w:right w:val="none" w:sz="0" w:space="0" w:color="auto"/>
          </w:divBdr>
        </w:div>
        <w:div w:id="2024704696">
          <w:marLeft w:val="0"/>
          <w:marRight w:val="0"/>
          <w:marTop w:val="0"/>
          <w:marBottom w:val="0"/>
          <w:divBdr>
            <w:top w:val="none" w:sz="0" w:space="0" w:color="auto"/>
            <w:left w:val="none" w:sz="0" w:space="0" w:color="auto"/>
            <w:bottom w:val="none" w:sz="0" w:space="0" w:color="auto"/>
            <w:right w:val="none" w:sz="0" w:space="0" w:color="auto"/>
          </w:divBdr>
        </w:div>
        <w:div w:id="2024704697">
          <w:marLeft w:val="0"/>
          <w:marRight w:val="0"/>
          <w:marTop w:val="0"/>
          <w:marBottom w:val="0"/>
          <w:divBdr>
            <w:top w:val="none" w:sz="0" w:space="0" w:color="auto"/>
            <w:left w:val="none" w:sz="0" w:space="0" w:color="auto"/>
            <w:bottom w:val="none" w:sz="0" w:space="0" w:color="auto"/>
            <w:right w:val="none" w:sz="0" w:space="0" w:color="auto"/>
          </w:divBdr>
        </w:div>
        <w:div w:id="2024704698">
          <w:marLeft w:val="0"/>
          <w:marRight w:val="0"/>
          <w:marTop w:val="0"/>
          <w:marBottom w:val="0"/>
          <w:divBdr>
            <w:top w:val="none" w:sz="0" w:space="0" w:color="auto"/>
            <w:left w:val="none" w:sz="0" w:space="0" w:color="auto"/>
            <w:bottom w:val="none" w:sz="0" w:space="0" w:color="auto"/>
            <w:right w:val="none" w:sz="0" w:space="0" w:color="auto"/>
          </w:divBdr>
        </w:div>
        <w:div w:id="2024704699">
          <w:marLeft w:val="0"/>
          <w:marRight w:val="0"/>
          <w:marTop w:val="0"/>
          <w:marBottom w:val="0"/>
          <w:divBdr>
            <w:top w:val="none" w:sz="0" w:space="0" w:color="auto"/>
            <w:left w:val="none" w:sz="0" w:space="0" w:color="auto"/>
            <w:bottom w:val="none" w:sz="0" w:space="0" w:color="auto"/>
            <w:right w:val="none" w:sz="0" w:space="0" w:color="auto"/>
          </w:divBdr>
        </w:div>
        <w:div w:id="2024704700">
          <w:marLeft w:val="0"/>
          <w:marRight w:val="0"/>
          <w:marTop w:val="0"/>
          <w:marBottom w:val="0"/>
          <w:divBdr>
            <w:top w:val="none" w:sz="0" w:space="0" w:color="auto"/>
            <w:left w:val="none" w:sz="0" w:space="0" w:color="auto"/>
            <w:bottom w:val="none" w:sz="0" w:space="0" w:color="auto"/>
            <w:right w:val="none" w:sz="0" w:space="0" w:color="auto"/>
          </w:divBdr>
        </w:div>
        <w:div w:id="2024704701">
          <w:marLeft w:val="0"/>
          <w:marRight w:val="0"/>
          <w:marTop w:val="0"/>
          <w:marBottom w:val="0"/>
          <w:divBdr>
            <w:top w:val="none" w:sz="0" w:space="0" w:color="auto"/>
            <w:left w:val="none" w:sz="0" w:space="0" w:color="auto"/>
            <w:bottom w:val="none" w:sz="0" w:space="0" w:color="auto"/>
            <w:right w:val="none" w:sz="0" w:space="0" w:color="auto"/>
          </w:divBdr>
        </w:div>
        <w:div w:id="2024704702">
          <w:marLeft w:val="0"/>
          <w:marRight w:val="0"/>
          <w:marTop w:val="0"/>
          <w:marBottom w:val="0"/>
          <w:divBdr>
            <w:top w:val="none" w:sz="0" w:space="0" w:color="auto"/>
            <w:left w:val="none" w:sz="0" w:space="0" w:color="auto"/>
            <w:bottom w:val="none" w:sz="0" w:space="0" w:color="auto"/>
            <w:right w:val="none" w:sz="0" w:space="0" w:color="auto"/>
          </w:divBdr>
        </w:div>
        <w:div w:id="2024704703">
          <w:marLeft w:val="0"/>
          <w:marRight w:val="0"/>
          <w:marTop w:val="0"/>
          <w:marBottom w:val="0"/>
          <w:divBdr>
            <w:top w:val="none" w:sz="0" w:space="0" w:color="auto"/>
            <w:left w:val="none" w:sz="0" w:space="0" w:color="auto"/>
            <w:bottom w:val="none" w:sz="0" w:space="0" w:color="auto"/>
            <w:right w:val="none" w:sz="0" w:space="0" w:color="auto"/>
          </w:divBdr>
        </w:div>
        <w:div w:id="2024704704">
          <w:marLeft w:val="0"/>
          <w:marRight w:val="0"/>
          <w:marTop w:val="0"/>
          <w:marBottom w:val="0"/>
          <w:divBdr>
            <w:top w:val="none" w:sz="0" w:space="0" w:color="auto"/>
            <w:left w:val="none" w:sz="0" w:space="0" w:color="auto"/>
            <w:bottom w:val="none" w:sz="0" w:space="0" w:color="auto"/>
            <w:right w:val="none" w:sz="0" w:space="0" w:color="auto"/>
          </w:divBdr>
        </w:div>
        <w:div w:id="2024704705">
          <w:marLeft w:val="0"/>
          <w:marRight w:val="0"/>
          <w:marTop w:val="0"/>
          <w:marBottom w:val="0"/>
          <w:divBdr>
            <w:top w:val="none" w:sz="0" w:space="0" w:color="auto"/>
            <w:left w:val="none" w:sz="0" w:space="0" w:color="auto"/>
            <w:bottom w:val="none" w:sz="0" w:space="0" w:color="auto"/>
            <w:right w:val="none" w:sz="0" w:space="0" w:color="auto"/>
          </w:divBdr>
        </w:div>
        <w:div w:id="2024704706">
          <w:marLeft w:val="0"/>
          <w:marRight w:val="0"/>
          <w:marTop w:val="0"/>
          <w:marBottom w:val="0"/>
          <w:divBdr>
            <w:top w:val="none" w:sz="0" w:space="0" w:color="auto"/>
            <w:left w:val="none" w:sz="0" w:space="0" w:color="auto"/>
            <w:bottom w:val="none" w:sz="0" w:space="0" w:color="auto"/>
            <w:right w:val="none" w:sz="0" w:space="0" w:color="auto"/>
          </w:divBdr>
        </w:div>
        <w:div w:id="2024704707">
          <w:marLeft w:val="0"/>
          <w:marRight w:val="0"/>
          <w:marTop w:val="0"/>
          <w:marBottom w:val="0"/>
          <w:divBdr>
            <w:top w:val="none" w:sz="0" w:space="0" w:color="auto"/>
            <w:left w:val="none" w:sz="0" w:space="0" w:color="auto"/>
            <w:bottom w:val="none" w:sz="0" w:space="0" w:color="auto"/>
            <w:right w:val="none" w:sz="0" w:space="0" w:color="auto"/>
          </w:divBdr>
        </w:div>
        <w:div w:id="2024704708">
          <w:marLeft w:val="0"/>
          <w:marRight w:val="0"/>
          <w:marTop w:val="0"/>
          <w:marBottom w:val="0"/>
          <w:divBdr>
            <w:top w:val="none" w:sz="0" w:space="0" w:color="auto"/>
            <w:left w:val="none" w:sz="0" w:space="0" w:color="auto"/>
            <w:bottom w:val="none" w:sz="0" w:space="0" w:color="auto"/>
            <w:right w:val="none" w:sz="0" w:space="0" w:color="auto"/>
          </w:divBdr>
        </w:div>
        <w:div w:id="2024704710">
          <w:marLeft w:val="0"/>
          <w:marRight w:val="0"/>
          <w:marTop w:val="0"/>
          <w:marBottom w:val="0"/>
          <w:divBdr>
            <w:top w:val="none" w:sz="0" w:space="0" w:color="auto"/>
            <w:left w:val="none" w:sz="0" w:space="0" w:color="auto"/>
            <w:bottom w:val="none" w:sz="0" w:space="0" w:color="auto"/>
            <w:right w:val="none" w:sz="0" w:space="0" w:color="auto"/>
          </w:divBdr>
        </w:div>
        <w:div w:id="2024704711">
          <w:marLeft w:val="0"/>
          <w:marRight w:val="0"/>
          <w:marTop w:val="0"/>
          <w:marBottom w:val="0"/>
          <w:divBdr>
            <w:top w:val="none" w:sz="0" w:space="0" w:color="auto"/>
            <w:left w:val="none" w:sz="0" w:space="0" w:color="auto"/>
            <w:bottom w:val="none" w:sz="0" w:space="0" w:color="auto"/>
            <w:right w:val="none" w:sz="0" w:space="0" w:color="auto"/>
          </w:divBdr>
        </w:div>
        <w:div w:id="2024704712">
          <w:marLeft w:val="0"/>
          <w:marRight w:val="0"/>
          <w:marTop w:val="0"/>
          <w:marBottom w:val="0"/>
          <w:divBdr>
            <w:top w:val="none" w:sz="0" w:space="0" w:color="auto"/>
            <w:left w:val="none" w:sz="0" w:space="0" w:color="auto"/>
            <w:bottom w:val="none" w:sz="0" w:space="0" w:color="auto"/>
            <w:right w:val="none" w:sz="0" w:space="0" w:color="auto"/>
          </w:divBdr>
        </w:div>
        <w:div w:id="2024704713">
          <w:marLeft w:val="0"/>
          <w:marRight w:val="0"/>
          <w:marTop w:val="0"/>
          <w:marBottom w:val="0"/>
          <w:divBdr>
            <w:top w:val="none" w:sz="0" w:space="0" w:color="auto"/>
            <w:left w:val="none" w:sz="0" w:space="0" w:color="auto"/>
            <w:bottom w:val="none" w:sz="0" w:space="0" w:color="auto"/>
            <w:right w:val="none" w:sz="0" w:space="0" w:color="auto"/>
          </w:divBdr>
        </w:div>
        <w:div w:id="2024704714">
          <w:marLeft w:val="0"/>
          <w:marRight w:val="0"/>
          <w:marTop w:val="0"/>
          <w:marBottom w:val="0"/>
          <w:divBdr>
            <w:top w:val="none" w:sz="0" w:space="0" w:color="auto"/>
            <w:left w:val="none" w:sz="0" w:space="0" w:color="auto"/>
            <w:bottom w:val="none" w:sz="0" w:space="0" w:color="auto"/>
            <w:right w:val="none" w:sz="0" w:space="0" w:color="auto"/>
          </w:divBdr>
        </w:div>
        <w:div w:id="2024704715">
          <w:marLeft w:val="0"/>
          <w:marRight w:val="0"/>
          <w:marTop w:val="0"/>
          <w:marBottom w:val="0"/>
          <w:divBdr>
            <w:top w:val="none" w:sz="0" w:space="0" w:color="auto"/>
            <w:left w:val="none" w:sz="0" w:space="0" w:color="auto"/>
            <w:bottom w:val="none" w:sz="0" w:space="0" w:color="auto"/>
            <w:right w:val="none" w:sz="0" w:space="0" w:color="auto"/>
          </w:divBdr>
        </w:div>
        <w:div w:id="2024704716">
          <w:marLeft w:val="0"/>
          <w:marRight w:val="0"/>
          <w:marTop w:val="0"/>
          <w:marBottom w:val="0"/>
          <w:divBdr>
            <w:top w:val="none" w:sz="0" w:space="0" w:color="auto"/>
            <w:left w:val="none" w:sz="0" w:space="0" w:color="auto"/>
            <w:bottom w:val="none" w:sz="0" w:space="0" w:color="auto"/>
            <w:right w:val="none" w:sz="0" w:space="0" w:color="auto"/>
          </w:divBdr>
        </w:div>
        <w:div w:id="2024704717">
          <w:marLeft w:val="0"/>
          <w:marRight w:val="0"/>
          <w:marTop w:val="0"/>
          <w:marBottom w:val="0"/>
          <w:divBdr>
            <w:top w:val="none" w:sz="0" w:space="0" w:color="auto"/>
            <w:left w:val="none" w:sz="0" w:space="0" w:color="auto"/>
            <w:bottom w:val="none" w:sz="0" w:space="0" w:color="auto"/>
            <w:right w:val="none" w:sz="0" w:space="0" w:color="auto"/>
          </w:divBdr>
        </w:div>
        <w:div w:id="2024704718">
          <w:marLeft w:val="0"/>
          <w:marRight w:val="0"/>
          <w:marTop w:val="0"/>
          <w:marBottom w:val="0"/>
          <w:divBdr>
            <w:top w:val="none" w:sz="0" w:space="0" w:color="auto"/>
            <w:left w:val="none" w:sz="0" w:space="0" w:color="auto"/>
            <w:bottom w:val="none" w:sz="0" w:space="0" w:color="auto"/>
            <w:right w:val="none" w:sz="0" w:space="0" w:color="auto"/>
          </w:divBdr>
        </w:div>
        <w:div w:id="2024704719">
          <w:marLeft w:val="0"/>
          <w:marRight w:val="0"/>
          <w:marTop w:val="0"/>
          <w:marBottom w:val="0"/>
          <w:divBdr>
            <w:top w:val="none" w:sz="0" w:space="0" w:color="auto"/>
            <w:left w:val="none" w:sz="0" w:space="0" w:color="auto"/>
            <w:bottom w:val="none" w:sz="0" w:space="0" w:color="auto"/>
            <w:right w:val="none" w:sz="0" w:space="0" w:color="auto"/>
          </w:divBdr>
        </w:div>
        <w:div w:id="2024704720">
          <w:marLeft w:val="0"/>
          <w:marRight w:val="0"/>
          <w:marTop w:val="0"/>
          <w:marBottom w:val="0"/>
          <w:divBdr>
            <w:top w:val="none" w:sz="0" w:space="0" w:color="auto"/>
            <w:left w:val="none" w:sz="0" w:space="0" w:color="auto"/>
            <w:bottom w:val="none" w:sz="0" w:space="0" w:color="auto"/>
            <w:right w:val="none" w:sz="0" w:space="0" w:color="auto"/>
          </w:divBdr>
        </w:div>
        <w:div w:id="2024704721">
          <w:marLeft w:val="0"/>
          <w:marRight w:val="0"/>
          <w:marTop w:val="0"/>
          <w:marBottom w:val="0"/>
          <w:divBdr>
            <w:top w:val="none" w:sz="0" w:space="0" w:color="auto"/>
            <w:left w:val="none" w:sz="0" w:space="0" w:color="auto"/>
            <w:bottom w:val="none" w:sz="0" w:space="0" w:color="auto"/>
            <w:right w:val="none" w:sz="0" w:space="0" w:color="auto"/>
          </w:divBdr>
        </w:div>
        <w:div w:id="2024704722">
          <w:marLeft w:val="0"/>
          <w:marRight w:val="0"/>
          <w:marTop w:val="0"/>
          <w:marBottom w:val="0"/>
          <w:divBdr>
            <w:top w:val="none" w:sz="0" w:space="0" w:color="auto"/>
            <w:left w:val="none" w:sz="0" w:space="0" w:color="auto"/>
            <w:bottom w:val="none" w:sz="0" w:space="0" w:color="auto"/>
            <w:right w:val="none" w:sz="0" w:space="0" w:color="auto"/>
          </w:divBdr>
        </w:div>
        <w:div w:id="2024704723">
          <w:marLeft w:val="0"/>
          <w:marRight w:val="0"/>
          <w:marTop w:val="0"/>
          <w:marBottom w:val="0"/>
          <w:divBdr>
            <w:top w:val="none" w:sz="0" w:space="0" w:color="auto"/>
            <w:left w:val="none" w:sz="0" w:space="0" w:color="auto"/>
            <w:bottom w:val="none" w:sz="0" w:space="0" w:color="auto"/>
            <w:right w:val="none" w:sz="0" w:space="0" w:color="auto"/>
          </w:divBdr>
        </w:div>
        <w:div w:id="2024704725">
          <w:marLeft w:val="0"/>
          <w:marRight w:val="0"/>
          <w:marTop w:val="0"/>
          <w:marBottom w:val="0"/>
          <w:divBdr>
            <w:top w:val="none" w:sz="0" w:space="0" w:color="auto"/>
            <w:left w:val="none" w:sz="0" w:space="0" w:color="auto"/>
            <w:bottom w:val="none" w:sz="0" w:space="0" w:color="auto"/>
            <w:right w:val="none" w:sz="0" w:space="0" w:color="auto"/>
          </w:divBdr>
        </w:div>
        <w:div w:id="2024704726">
          <w:marLeft w:val="0"/>
          <w:marRight w:val="0"/>
          <w:marTop w:val="0"/>
          <w:marBottom w:val="0"/>
          <w:divBdr>
            <w:top w:val="none" w:sz="0" w:space="0" w:color="auto"/>
            <w:left w:val="none" w:sz="0" w:space="0" w:color="auto"/>
            <w:bottom w:val="none" w:sz="0" w:space="0" w:color="auto"/>
            <w:right w:val="none" w:sz="0" w:space="0" w:color="auto"/>
          </w:divBdr>
        </w:div>
        <w:div w:id="2024704727">
          <w:marLeft w:val="0"/>
          <w:marRight w:val="0"/>
          <w:marTop w:val="0"/>
          <w:marBottom w:val="0"/>
          <w:divBdr>
            <w:top w:val="none" w:sz="0" w:space="0" w:color="auto"/>
            <w:left w:val="none" w:sz="0" w:space="0" w:color="auto"/>
            <w:bottom w:val="none" w:sz="0" w:space="0" w:color="auto"/>
            <w:right w:val="none" w:sz="0" w:space="0" w:color="auto"/>
          </w:divBdr>
        </w:div>
        <w:div w:id="2024704728">
          <w:marLeft w:val="0"/>
          <w:marRight w:val="0"/>
          <w:marTop w:val="0"/>
          <w:marBottom w:val="0"/>
          <w:divBdr>
            <w:top w:val="none" w:sz="0" w:space="0" w:color="auto"/>
            <w:left w:val="none" w:sz="0" w:space="0" w:color="auto"/>
            <w:bottom w:val="none" w:sz="0" w:space="0" w:color="auto"/>
            <w:right w:val="none" w:sz="0" w:space="0" w:color="auto"/>
          </w:divBdr>
        </w:div>
        <w:div w:id="2024704729">
          <w:marLeft w:val="0"/>
          <w:marRight w:val="0"/>
          <w:marTop w:val="0"/>
          <w:marBottom w:val="0"/>
          <w:divBdr>
            <w:top w:val="none" w:sz="0" w:space="0" w:color="auto"/>
            <w:left w:val="none" w:sz="0" w:space="0" w:color="auto"/>
            <w:bottom w:val="none" w:sz="0" w:space="0" w:color="auto"/>
            <w:right w:val="none" w:sz="0" w:space="0" w:color="auto"/>
          </w:divBdr>
        </w:div>
        <w:div w:id="2024704730">
          <w:marLeft w:val="0"/>
          <w:marRight w:val="0"/>
          <w:marTop w:val="0"/>
          <w:marBottom w:val="0"/>
          <w:divBdr>
            <w:top w:val="none" w:sz="0" w:space="0" w:color="auto"/>
            <w:left w:val="none" w:sz="0" w:space="0" w:color="auto"/>
            <w:bottom w:val="none" w:sz="0" w:space="0" w:color="auto"/>
            <w:right w:val="none" w:sz="0" w:space="0" w:color="auto"/>
          </w:divBdr>
        </w:div>
        <w:div w:id="2024704731">
          <w:marLeft w:val="0"/>
          <w:marRight w:val="0"/>
          <w:marTop w:val="0"/>
          <w:marBottom w:val="0"/>
          <w:divBdr>
            <w:top w:val="none" w:sz="0" w:space="0" w:color="auto"/>
            <w:left w:val="none" w:sz="0" w:space="0" w:color="auto"/>
            <w:bottom w:val="none" w:sz="0" w:space="0" w:color="auto"/>
            <w:right w:val="none" w:sz="0" w:space="0" w:color="auto"/>
          </w:divBdr>
        </w:div>
        <w:div w:id="2024704732">
          <w:marLeft w:val="0"/>
          <w:marRight w:val="0"/>
          <w:marTop w:val="0"/>
          <w:marBottom w:val="0"/>
          <w:divBdr>
            <w:top w:val="none" w:sz="0" w:space="0" w:color="auto"/>
            <w:left w:val="none" w:sz="0" w:space="0" w:color="auto"/>
            <w:bottom w:val="none" w:sz="0" w:space="0" w:color="auto"/>
            <w:right w:val="none" w:sz="0" w:space="0" w:color="auto"/>
          </w:divBdr>
        </w:div>
        <w:div w:id="2024704733">
          <w:marLeft w:val="0"/>
          <w:marRight w:val="0"/>
          <w:marTop w:val="0"/>
          <w:marBottom w:val="0"/>
          <w:divBdr>
            <w:top w:val="none" w:sz="0" w:space="0" w:color="auto"/>
            <w:left w:val="none" w:sz="0" w:space="0" w:color="auto"/>
            <w:bottom w:val="none" w:sz="0" w:space="0" w:color="auto"/>
            <w:right w:val="none" w:sz="0" w:space="0" w:color="auto"/>
          </w:divBdr>
        </w:div>
        <w:div w:id="2024704734">
          <w:marLeft w:val="0"/>
          <w:marRight w:val="0"/>
          <w:marTop w:val="0"/>
          <w:marBottom w:val="0"/>
          <w:divBdr>
            <w:top w:val="none" w:sz="0" w:space="0" w:color="auto"/>
            <w:left w:val="none" w:sz="0" w:space="0" w:color="auto"/>
            <w:bottom w:val="none" w:sz="0" w:space="0" w:color="auto"/>
            <w:right w:val="none" w:sz="0" w:space="0" w:color="auto"/>
          </w:divBdr>
        </w:div>
        <w:div w:id="2024704735">
          <w:marLeft w:val="0"/>
          <w:marRight w:val="0"/>
          <w:marTop w:val="0"/>
          <w:marBottom w:val="0"/>
          <w:divBdr>
            <w:top w:val="none" w:sz="0" w:space="0" w:color="auto"/>
            <w:left w:val="none" w:sz="0" w:space="0" w:color="auto"/>
            <w:bottom w:val="none" w:sz="0" w:space="0" w:color="auto"/>
            <w:right w:val="none" w:sz="0" w:space="0" w:color="auto"/>
          </w:divBdr>
        </w:div>
        <w:div w:id="2024704736">
          <w:marLeft w:val="0"/>
          <w:marRight w:val="0"/>
          <w:marTop w:val="0"/>
          <w:marBottom w:val="0"/>
          <w:divBdr>
            <w:top w:val="none" w:sz="0" w:space="0" w:color="auto"/>
            <w:left w:val="none" w:sz="0" w:space="0" w:color="auto"/>
            <w:bottom w:val="none" w:sz="0" w:space="0" w:color="auto"/>
            <w:right w:val="none" w:sz="0" w:space="0" w:color="auto"/>
          </w:divBdr>
        </w:div>
        <w:div w:id="2024704737">
          <w:marLeft w:val="0"/>
          <w:marRight w:val="0"/>
          <w:marTop w:val="0"/>
          <w:marBottom w:val="0"/>
          <w:divBdr>
            <w:top w:val="none" w:sz="0" w:space="0" w:color="auto"/>
            <w:left w:val="none" w:sz="0" w:space="0" w:color="auto"/>
            <w:bottom w:val="none" w:sz="0" w:space="0" w:color="auto"/>
            <w:right w:val="none" w:sz="0" w:space="0" w:color="auto"/>
          </w:divBdr>
        </w:div>
        <w:div w:id="2024704738">
          <w:marLeft w:val="0"/>
          <w:marRight w:val="0"/>
          <w:marTop w:val="0"/>
          <w:marBottom w:val="0"/>
          <w:divBdr>
            <w:top w:val="none" w:sz="0" w:space="0" w:color="auto"/>
            <w:left w:val="none" w:sz="0" w:space="0" w:color="auto"/>
            <w:bottom w:val="none" w:sz="0" w:space="0" w:color="auto"/>
            <w:right w:val="none" w:sz="0" w:space="0" w:color="auto"/>
          </w:divBdr>
        </w:div>
        <w:div w:id="2024704739">
          <w:marLeft w:val="0"/>
          <w:marRight w:val="0"/>
          <w:marTop w:val="0"/>
          <w:marBottom w:val="0"/>
          <w:divBdr>
            <w:top w:val="none" w:sz="0" w:space="0" w:color="auto"/>
            <w:left w:val="none" w:sz="0" w:space="0" w:color="auto"/>
            <w:bottom w:val="none" w:sz="0" w:space="0" w:color="auto"/>
            <w:right w:val="none" w:sz="0" w:space="0" w:color="auto"/>
          </w:divBdr>
        </w:div>
        <w:div w:id="2024704741">
          <w:marLeft w:val="0"/>
          <w:marRight w:val="0"/>
          <w:marTop w:val="0"/>
          <w:marBottom w:val="0"/>
          <w:divBdr>
            <w:top w:val="none" w:sz="0" w:space="0" w:color="auto"/>
            <w:left w:val="none" w:sz="0" w:space="0" w:color="auto"/>
            <w:bottom w:val="none" w:sz="0" w:space="0" w:color="auto"/>
            <w:right w:val="none" w:sz="0" w:space="0" w:color="auto"/>
          </w:divBdr>
        </w:div>
        <w:div w:id="2024704742">
          <w:marLeft w:val="0"/>
          <w:marRight w:val="0"/>
          <w:marTop w:val="0"/>
          <w:marBottom w:val="0"/>
          <w:divBdr>
            <w:top w:val="none" w:sz="0" w:space="0" w:color="auto"/>
            <w:left w:val="none" w:sz="0" w:space="0" w:color="auto"/>
            <w:bottom w:val="none" w:sz="0" w:space="0" w:color="auto"/>
            <w:right w:val="none" w:sz="0" w:space="0" w:color="auto"/>
          </w:divBdr>
        </w:div>
        <w:div w:id="2024704743">
          <w:marLeft w:val="0"/>
          <w:marRight w:val="0"/>
          <w:marTop w:val="0"/>
          <w:marBottom w:val="0"/>
          <w:divBdr>
            <w:top w:val="none" w:sz="0" w:space="0" w:color="auto"/>
            <w:left w:val="none" w:sz="0" w:space="0" w:color="auto"/>
            <w:bottom w:val="none" w:sz="0" w:space="0" w:color="auto"/>
            <w:right w:val="none" w:sz="0" w:space="0" w:color="auto"/>
          </w:divBdr>
        </w:div>
        <w:div w:id="2024704744">
          <w:marLeft w:val="0"/>
          <w:marRight w:val="0"/>
          <w:marTop w:val="0"/>
          <w:marBottom w:val="0"/>
          <w:divBdr>
            <w:top w:val="none" w:sz="0" w:space="0" w:color="auto"/>
            <w:left w:val="none" w:sz="0" w:space="0" w:color="auto"/>
            <w:bottom w:val="none" w:sz="0" w:space="0" w:color="auto"/>
            <w:right w:val="none" w:sz="0" w:space="0" w:color="auto"/>
          </w:divBdr>
        </w:div>
        <w:div w:id="2024704746">
          <w:marLeft w:val="0"/>
          <w:marRight w:val="0"/>
          <w:marTop w:val="0"/>
          <w:marBottom w:val="0"/>
          <w:divBdr>
            <w:top w:val="none" w:sz="0" w:space="0" w:color="auto"/>
            <w:left w:val="none" w:sz="0" w:space="0" w:color="auto"/>
            <w:bottom w:val="none" w:sz="0" w:space="0" w:color="auto"/>
            <w:right w:val="none" w:sz="0" w:space="0" w:color="auto"/>
          </w:divBdr>
        </w:div>
        <w:div w:id="2024704747">
          <w:marLeft w:val="0"/>
          <w:marRight w:val="0"/>
          <w:marTop w:val="0"/>
          <w:marBottom w:val="0"/>
          <w:divBdr>
            <w:top w:val="none" w:sz="0" w:space="0" w:color="auto"/>
            <w:left w:val="none" w:sz="0" w:space="0" w:color="auto"/>
            <w:bottom w:val="none" w:sz="0" w:space="0" w:color="auto"/>
            <w:right w:val="none" w:sz="0" w:space="0" w:color="auto"/>
          </w:divBdr>
        </w:div>
        <w:div w:id="2024704748">
          <w:marLeft w:val="0"/>
          <w:marRight w:val="0"/>
          <w:marTop w:val="0"/>
          <w:marBottom w:val="0"/>
          <w:divBdr>
            <w:top w:val="none" w:sz="0" w:space="0" w:color="auto"/>
            <w:left w:val="none" w:sz="0" w:space="0" w:color="auto"/>
            <w:bottom w:val="none" w:sz="0" w:space="0" w:color="auto"/>
            <w:right w:val="none" w:sz="0" w:space="0" w:color="auto"/>
          </w:divBdr>
        </w:div>
        <w:div w:id="2024704749">
          <w:marLeft w:val="0"/>
          <w:marRight w:val="0"/>
          <w:marTop w:val="0"/>
          <w:marBottom w:val="0"/>
          <w:divBdr>
            <w:top w:val="none" w:sz="0" w:space="0" w:color="auto"/>
            <w:left w:val="none" w:sz="0" w:space="0" w:color="auto"/>
            <w:bottom w:val="none" w:sz="0" w:space="0" w:color="auto"/>
            <w:right w:val="none" w:sz="0" w:space="0" w:color="auto"/>
          </w:divBdr>
        </w:div>
        <w:div w:id="2024704750">
          <w:marLeft w:val="0"/>
          <w:marRight w:val="0"/>
          <w:marTop w:val="0"/>
          <w:marBottom w:val="0"/>
          <w:divBdr>
            <w:top w:val="none" w:sz="0" w:space="0" w:color="auto"/>
            <w:left w:val="none" w:sz="0" w:space="0" w:color="auto"/>
            <w:bottom w:val="none" w:sz="0" w:space="0" w:color="auto"/>
            <w:right w:val="none" w:sz="0" w:space="0" w:color="auto"/>
          </w:divBdr>
        </w:div>
        <w:div w:id="2024704751">
          <w:marLeft w:val="0"/>
          <w:marRight w:val="0"/>
          <w:marTop w:val="0"/>
          <w:marBottom w:val="0"/>
          <w:divBdr>
            <w:top w:val="none" w:sz="0" w:space="0" w:color="auto"/>
            <w:left w:val="none" w:sz="0" w:space="0" w:color="auto"/>
            <w:bottom w:val="none" w:sz="0" w:space="0" w:color="auto"/>
            <w:right w:val="none" w:sz="0" w:space="0" w:color="auto"/>
          </w:divBdr>
        </w:div>
        <w:div w:id="2024704752">
          <w:marLeft w:val="0"/>
          <w:marRight w:val="0"/>
          <w:marTop w:val="0"/>
          <w:marBottom w:val="0"/>
          <w:divBdr>
            <w:top w:val="none" w:sz="0" w:space="0" w:color="auto"/>
            <w:left w:val="none" w:sz="0" w:space="0" w:color="auto"/>
            <w:bottom w:val="none" w:sz="0" w:space="0" w:color="auto"/>
            <w:right w:val="none" w:sz="0" w:space="0" w:color="auto"/>
          </w:divBdr>
        </w:div>
        <w:div w:id="2024704753">
          <w:marLeft w:val="0"/>
          <w:marRight w:val="0"/>
          <w:marTop w:val="0"/>
          <w:marBottom w:val="0"/>
          <w:divBdr>
            <w:top w:val="none" w:sz="0" w:space="0" w:color="auto"/>
            <w:left w:val="none" w:sz="0" w:space="0" w:color="auto"/>
            <w:bottom w:val="none" w:sz="0" w:space="0" w:color="auto"/>
            <w:right w:val="none" w:sz="0" w:space="0" w:color="auto"/>
          </w:divBdr>
        </w:div>
        <w:div w:id="2024704754">
          <w:marLeft w:val="0"/>
          <w:marRight w:val="0"/>
          <w:marTop w:val="0"/>
          <w:marBottom w:val="0"/>
          <w:divBdr>
            <w:top w:val="none" w:sz="0" w:space="0" w:color="auto"/>
            <w:left w:val="none" w:sz="0" w:space="0" w:color="auto"/>
            <w:bottom w:val="none" w:sz="0" w:space="0" w:color="auto"/>
            <w:right w:val="none" w:sz="0" w:space="0" w:color="auto"/>
          </w:divBdr>
        </w:div>
        <w:div w:id="2024704755">
          <w:marLeft w:val="0"/>
          <w:marRight w:val="0"/>
          <w:marTop w:val="0"/>
          <w:marBottom w:val="0"/>
          <w:divBdr>
            <w:top w:val="none" w:sz="0" w:space="0" w:color="auto"/>
            <w:left w:val="none" w:sz="0" w:space="0" w:color="auto"/>
            <w:bottom w:val="none" w:sz="0" w:space="0" w:color="auto"/>
            <w:right w:val="none" w:sz="0" w:space="0" w:color="auto"/>
          </w:divBdr>
        </w:div>
        <w:div w:id="2024704756">
          <w:marLeft w:val="0"/>
          <w:marRight w:val="0"/>
          <w:marTop w:val="0"/>
          <w:marBottom w:val="0"/>
          <w:divBdr>
            <w:top w:val="none" w:sz="0" w:space="0" w:color="auto"/>
            <w:left w:val="none" w:sz="0" w:space="0" w:color="auto"/>
            <w:bottom w:val="none" w:sz="0" w:space="0" w:color="auto"/>
            <w:right w:val="none" w:sz="0" w:space="0" w:color="auto"/>
          </w:divBdr>
        </w:div>
        <w:div w:id="2024704757">
          <w:marLeft w:val="0"/>
          <w:marRight w:val="0"/>
          <w:marTop w:val="0"/>
          <w:marBottom w:val="0"/>
          <w:divBdr>
            <w:top w:val="none" w:sz="0" w:space="0" w:color="auto"/>
            <w:left w:val="none" w:sz="0" w:space="0" w:color="auto"/>
            <w:bottom w:val="none" w:sz="0" w:space="0" w:color="auto"/>
            <w:right w:val="none" w:sz="0" w:space="0" w:color="auto"/>
          </w:divBdr>
        </w:div>
        <w:div w:id="2024704758">
          <w:marLeft w:val="0"/>
          <w:marRight w:val="0"/>
          <w:marTop w:val="0"/>
          <w:marBottom w:val="0"/>
          <w:divBdr>
            <w:top w:val="none" w:sz="0" w:space="0" w:color="auto"/>
            <w:left w:val="none" w:sz="0" w:space="0" w:color="auto"/>
            <w:bottom w:val="none" w:sz="0" w:space="0" w:color="auto"/>
            <w:right w:val="none" w:sz="0" w:space="0" w:color="auto"/>
          </w:divBdr>
        </w:div>
        <w:div w:id="2024704759">
          <w:marLeft w:val="0"/>
          <w:marRight w:val="0"/>
          <w:marTop w:val="0"/>
          <w:marBottom w:val="0"/>
          <w:divBdr>
            <w:top w:val="none" w:sz="0" w:space="0" w:color="auto"/>
            <w:left w:val="none" w:sz="0" w:space="0" w:color="auto"/>
            <w:bottom w:val="none" w:sz="0" w:space="0" w:color="auto"/>
            <w:right w:val="none" w:sz="0" w:space="0" w:color="auto"/>
          </w:divBdr>
        </w:div>
        <w:div w:id="2024704760">
          <w:marLeft w:val="0"/>
          <w:marRight w:val="0"/>
          <w:marTop w:val="0"/>
          <w:marBottom w:val="0"/>
          <w:divBdr>
            <w:top w:val="none" w:sz="0" w:space="0" w:color="auto"/>
            <w:left w:val="none" w:sz="0" w:space="0" w:color="auto"/>
            <w:bottom w:val="none" w:sz="0" w:space="0" w:color="auto"/>
            <w:right w:val="none" w:sz="0" w:space="0" w:color="auto"/>
          </w:divBdr>
        </w:div>
        <w:div w:id="2024704761">
          <w:marLeft w:val="0"/>
          <w:marRight w:val="0"/>
          <w:marTop w:val="0"/>
          <w:marBottom w:val="0"/>
          <w:divBdr>
            <w:top w:val="none" w:sz="0" w:space="0" w:color="auto"/>
            <w:left w:val="none" w:sz="0" w:space="0" w:color="auto"/>
            <w:bottom w:val="none" w:sz="0" w:space="0" w:color="auto"/>
            <w:right w:val="none" w:sz="0" w:space="0" w:color="auto"/>
          </w:divBdr>
        </w:div>
        <w:div w:id="2024704762">
          <w:marLeft w:val="0"/>
          <w:marRight w:val="0"/>
          <w:marTop w:val="0"/>
          <w:marBottom w:val="0"/>
          <w:divBdr>
            <w:top w:val="none" w:sz="0" w:space="0" w:color="auto"/>
            <w:left w:val="none" w:sz="0" w:space="0" w:color="auto"/>
            <w:bottom w:val="none" w:sz="0" w:space="0" w:color="auto"/>
            <w:right w:val="none" w:sz="0" w:space="0" w:color="auto"/>
          </w:divBdr>
        </w:div>
        <w:div w:id="2024704763">
          <w:marLeft w:val="0"/>
          <w:marRight w:val="0"/>
          <w:marTop w:val="0"/>
          <w:marBottom w:val="0"/>
          <w:divBdr>
            <w:top w:val="none" w:sz="0" w:space="0" w:color="auto"/>
            <w:left w:val="none" w:sz="0" w:space="0" w:color="auto"/>
            <w:bottom w:val="none" w:sz="0" w:space="0" w:color="auto"/>
            <w:right w:val="none" w:sz="0" w:space="0" w:color="auto"/>
          </w:divBdr>
        </w:div>
        <w:div w:id="2024704764">
          <w:marLeft w:val="0"/>
          <w:marRight w:val="0"/>
          <w:marTop w:val="0"/>
          <w:marBottom w:val="0"/>
          <w:divBdr>
            <w:top w:val="none" w:sz="0" w:space="0" w:color="auto"/>
            <w:left w:val="none" w:sz="0" w:space="0" w:color="auto"/>
            <w:bottom w:val="none" w:sz="0" w:space="0" w:color="auto"/>
            <w:right w:val="none" w:sz="0" w:space="0" w:color="auto"/>
          </w:divBdr>
        </w:div>
        <w:div w:id="2024704765">
          <w:marLeft w:val="0"/>
          <w:marRight w:val="0"/>
          <w:marTop w:val="0"/>
          <w:marBottom w:val="0"/>
          <w:divBdr>
            <w:top w:val="none" w:sz="0" w:space="0" w:color="auto"/>
            <w:left w:val="none" w:sz="0" w:space="0" w:color="auto"/>
            <w:bottom w:val="none" w:sz="0" w:space="0" w:color="auto"/>
            <w:right w:val="none" w:sz="0" w:space="0" w:color="auto"/>
          </w:divBdr>
        </w:div>
        <w:div w:id="2024704766">
          <w:marLeft w:val="0"/>
          <w:marRight w:val="0"/>
          <w:marTop w:val="0"/>
          <w:marBottom w:val="0"/>
          <w:divBdr>
            <w:top w:val="none" w:sz="0" w:space="0" w:color="auto"/>
            <w:left w:val="none" w:sz="0" w:space="0" w:color="auto"/>
            <w:bottom w:val="none" w:sz="0" w:space="0" w:color="auto"/>
            <w:right w:val="none" w:sz="0" w:space="0" w:color="auto"/>
          </w:divBdr>
        </w:div>
        <w:div w:id="2024704767">
          <w:marLeft w:val="0"/>
          <w:marRight w:val="0"/>
          <w:marTop w:val="0"/>
          <w:marBottom w:val="0"/>
          <w:divBdr>
            <w:top w:val="none" w:sz="0" w:space="0" w:color="auto"/>
            <w:left w:val="none" w:sz="0" w:space="0" w:color="auto"/>
            <w:bottom w:val="none" w:sz="0" w:space="0" w:color="auto"/>
            <w:right w:val="none" w:sz="0" w:space="0" w:color="auto"/>
          </w:divBdr>
        </w:div>
        <w:div w:id="2024704768">
          <w:marLeft w:val="0"/>
          <w:marRight w:val="0"/>
          <w:marTop w:val="0"/>
          <w:marBottom w:val="0"/>
          <w:divBdr>
            <w:top w:val="none" w:sz="0" w:space="0" w:color="auto"/>
            <w:left w:val="none" w:sz="0" w:space="0" w:color="auto"/>
            <w:bottom w:val="none" w:sz="0" w:space="0" w:color="auto"/>
            <w:right w:val="none" w:sz="0" w:space="0" w:color="auto"/>
          </w:divBdr>
        </w:div>
        <w:div w:id="2024704769">
          <w:marLeft w:val="0"/>
          <w:marRight w:val="0"/>
          <w:marTop w:val="0"/>
          <w:marBottom w:val="0"/>
          <w:divBdr>
            <w:top w:val="none" w:sz="0" w:space="0" w:color="auto"/>
            <w:left w:val="none" w:sz="0" w:space="0" w:color="auto"/>
            <w:bottom w:val="none" w:sz="0" w:space="0" w:color="auto"/>
            <w:right w:val="none" w:sz="0" w:space="0" w:color="auto"/>
          </w:divBdr>
        </w:div>
        <w:div w:id="2024704770">
          <w:marLeft w:val="0"/>
          <w:marRight w:val="0"/>
          <w:marTop w:val="0"/>
          <w:marBottom w:val="0"/>
          <w:divBdr>
            <w:top w:val="none" w:sz="0" w:space="0" w:color="auto"/>
            <w:left w:val="none" w:sz="0" w:space="0" w:color="auto"/>
            <w:bottom w:val="none" w:sz="0" w:space="0" w:color="auto"/>
            <w:right w:val="none" w:sz="0" w:space="0" w:color="auto"/>
          </w:divBdr>
        </w:div>
        <w:div w:id="2024704771">
          <w:marLeft w:val="0"/>
          <w:marRight w:val="0"/>
          <w:marTop w:val="0"/>
          <w:marBottom w:val="0"/>
          <w:divBdr>
            <w:top w:val="none" w:sz="0" w:space="0" w:color="auto"/>
            <w:left w:val="none" w:sz="0" w:space="0" w:color="auto"/>
            <w:bottom w:val="none" w:sz="0" w:space="0" w:color="auto"/>
            <w:right w:val="none" w:sz="0" w:space="0" w:color="auto"/>
          </w:divBdr>
        </w:div>
        <w:div w:id="2024704772">
          <w:marLeft w:val="0"/>
          <w:marRight w:val="0"/>
          <w:marTop w:val="0"/>
          <w:marBottom w:val="0"/>
          <w:divBdr>
            <w:top w:val="none" w:sz="0" w:space="0" w:color="auto"/>
            <w:left w:val="none" w:sz="0" w:space="0" w:color="auto"/>
            <w:bottom w:val="none" w:sz="0" w:space="0" w:color="auto"/>
            <w:right w:val="none" w:sz="0" w:space="0" w:color="auto"/>
          </w:divBdr>
        </w:div>
        <w:div w:id="2024704773">
          <w:marLeft w:val="0"/>
          <w:marRight w:val="0"/>
          <w:marTop w:val="0"/>
          <w:marBottom w:val="0"/>
          <w:divBdr>
            <w:top w:val="none" w:sz="0" w:space="0" w:color="auto"/>
            <w:left w:val="none" w:sz="0" w:space="0" w:color="auto"/>
            <w:bottom w:val="none" w:sz="0" w:space="0" w:color="auto"/>
            <w:right w:val="none" w:sz="0" w:space="0" w:color="auto"/>
          </w:divBdr>
        </w:div>
        <w:div w:id="2024704774">
          <w:marLeft w:val="0"/>
          <w:marRight w:val="0"/>
          <w:marTop w:val="0"/>
          <w:marBottom w:val="0"/>
          <w:divBdr>
            <w:top w:val="none" w:sz="0" w:space="0" w:color="auto"/>
            <w:left w:val="none" w:sz="0" w:space="0" w:color="auto"/>
            <w:bottom w:val="none" w:sz="0" w:space="0" w:color="auto"/>
            <w:right w:val="none" w:sz="0" w:space="0" w:color="auto"/>
          </w:divBdr>
        </w:div>
        <w:div w:id="2024704776">
          <w:marLeft w:val="0"/>
          <w:marRight w:val="0"/>
          <w:marTop w:val="0"/>
          <w:marBottom w:val="0"/>
          <w:divBdr>
            <w:top w:val="none" w:sz="0" w:space="0" w:color="auto"/>
            <w:left w:val="none" w:sz="0" w:space="0" w:color="auto"/>
            <w:bottom w:val="none" w:sz="0" w:space="0" w:color="auto"/>
            <w:right w:val="none" w:sz="0" w:space="0" w:color="auto"/>
          </w:divBdr>
        </w:div>
        <w:div w:id="2024704777">
          <w:marLeft w:val="0"/>
          <w:marRight w:val="0"/>
          <w:marTop w:val="0"/>
          <w:marBottom w:val="0"/>
          <w:divBdr>
            <w:top w:val="none" w:sz="0" w:space="0" w:color="auto"/>
            <w:left w:val="none" w:sz="0" w:space="0" w:color="auto"/>
            <w:bottom w:val="none" w:sz="0" w:space="0" w:color="auto"/>
            <w:right w:val="none" w:sz="0" w:space="0" w:color="auto"/>
          </w:divBdr>
        </w:div>
        <w:div w:id="2024704778">
          <w:marLeft w:val="0"/>
          <w:marRight w:val="0"/>
          <w:marTop w:val="0"/>
          <w:marBottom w:val="0"/>
          <w:divBdr>
            <w:top w:val="none" w:sz="0" w:space="0" w:color="auto"/>
            <w:left w:val="none" w:sz="0" w:space="0" w:color="auto"/>
            <w:bottom w:val="none" w:sz="0" w:space="0" w:color="auto"/>
            <w:right w:val="none" w:sz="0" w:space="0" w:color="auto"/>
          </w:divBdr>
        </w:div>
        <w:div w:id="2024704779">
          <w:marLeft w:val="0"/>
          <w:marRight w:val="0"/>
          <w:marTop w:val="0"/>
          <w:marBottom w:val="0"/>
          <w:divBdr>
            <w:top w:val="none" w:sz="0" w:space="0" w:color="auto"/>
            <w:left w:val="none" w:sz="0" w:space="0" w:color="auto"/>
            <w:bottom w:val="none" w:sz="0" w:space="0" w:color="auto"/>
            <w:right w:val="none" w:sz="0" w:space="0" w:color="auto"/>
          </w:divBdr>
        </w:div>
        <w:div w:id="2024704780">
          <w:marLeft w:val="0"/>
          <w:marRight w:val="0"/>
          <w:marTop w:val="0"/>
          <w:marBottom w:val="0"/>
          <w:divBdr>
            <w:top w:val="none" w:sz="0" w:space="0" w:color="auto"/>
            <w:left w:val="none" w:sz="0" w:space="0" w:color="auto"/>
            <w:bottom w:val="none" w:sz="0" w:space="0" w:color="auto"/>
            <w:right w:val="none" w:sz="0" w:space="0" w:color="auto"/>
          </w:divBdr>
        </w:div>
        <w:div w:id="2024704781">
          <w:marLeft w:val="0"/>
          <w:marRight w:val="0"/>
          <w:marTop w:val="0"/>
          <w:marBottom w:val="0"/>
          <w:divBdr>
            <w:top w:val="none" w:sz="0" w:space="0" w:color="auto"/>
            <w:left w:val="none" w:sz="0" w:space="0" w:color="auto"/>
            <w:bottom w:val="none" w:sz="0" w:space="0" w:color="auto"/>
            <w:right w:val="none" w:sz="0" w:space="0" w:color="auto"/>
          </w:divBdr>
        </w:div>
        <w:div w:id="2024704782">
          <w:marLeft w:val="0"/>
          <w:marRight w:val="0"/>
          <w:marTop w:val="0"/>
          <w:marBottom w:val="0"/>
          <w:divBdr>
            <w:top w:val="none" w:sz="0" w:space="0" w:color="auto"/>
            <w:left w:val="none" w:sz="0" w:space="0" w:color="auto"/>
            <w:bottom w:val="none" w:sz="0" w:space="0" w:color="auto"/>
            <w:right w:val="none" w:sz="0" w:space="0" w:color="auto"/>
          </w:divBdr>
        </w:div>
        <w:div w:id="2024704783">
          <w:marLeft w:val="0"/>
          <w:marRight w:val="0"/>
          <w:marTop w:val="0"/>
          <w:marBottom w:val="0"/>
          <w:divBdr>
            <w:top w:val="none" w:sz="0" w:space="0" w:color="auto"/>
            <w:left w:val="none" w:sz="0" w:space="0" w:color="auto"/>
            <w:bottom w:val="none" w:sz="0" w:space="0" w:color="auto"/>
            <w:right w:val="none" w:sz="0" w:space="0" w:color="auto"/>
          </w:divBdr>
        </w:div>
        <w:div w:id="2024704784">
          <w:marLeft w:val="0"/>
          <w:marRight w:val="0"/>
          <w:marTop w:val="0"/>
          <w:marBottom w:val="0"/>
          <w:divBdr>
            <w:top w:val="none" w:sz="0" w:space="0" w:color="auto"/>
            <w:left w:val="none" w:sz="0" w:space="0" w:color="auto"/>
            <w:bottom w:val="none" w:sz="0" w:space="0" w:color="auto"/>
            <w:right w:val="none" w:sz="0" w:space="0" w:color="auto"/>
          </w:divBdr>
        </w:div>
        <w:div w:id="2024704786">
          <w:marLeft w:val="0"/>
          <w:marRight w:val="0"/>
          <w:marTop w:val="0"/>
          <w:marBottom w:val="0"/>
          <w:divBdr>
            <w:top w:val="none" w:sz="0" w:space="0" w:color="auto"/>
            <w:left w:val="none" w:sz="0" w:space="0" w:color="auto"/>
            <w:bottom w:val="none" w:sz="0" w:space="0" w:color="auto"/>
            <w:right w:val="none" w:sz="0" w:space="0" w:color="auto"/>
          </w:divBdr>
        </w:div>
        <w:div w:id="2024704787">
          <w:marLeft w:val="0"/>
          <w:marRight w:val="0"/>
          <w:marTop w:val="0"/>
          <w:marBottom w:val="0"/>
          <w:divBdr>
            <w:top w:val="none" w:sz="0" w:space="0" w:color="auto"/>
            <w:left w:val="none" w:sz="0" w:space="0" w:color="auto"/>
            <w:bottom w:val="none" w:sz="0" w:space="0" w:color="auto"/>
            <w:right w:val="none" w:sz="0" w:space="0" w:color="auto"/>
          </w:divBdr>
        </w:div>
        <w:div w:id="2024704788">
          <w:marLeft w:val="0"/>
          <w:marRight w:val="0"/>
          <w:marTop w:val="0"/>
          <w:marBottom w:val="0"/>
          <w:divBdr>
            <w:top w:val="none" w:sz="0" w:space="0" w:color="auto"/>
            <w:left w:val="none" w:sz="0" w:space="0" w:color="auto"/>
            <w:bottom w:val="none" w:sz="0" w:space="0" w:color="auto"/>
            <w:right w:val="none" w:sz="0" w:space="0" w:color="auto"/>
          </w:divBdr>
        </w:div>
        <w:div w:id="2024704789">
          <w:marLeft w:val="0"/>
          <w:marRight w:val="0"/>
          <w:marTop w:val="0"/>
          <w:marBottom w:val="0"/>
          <w:divBdr>
            <w:top w:val="none" w:sz="0" w:space="0" w:color="auto"/>
            <w:left w:val="none" w:sz="0" w:space="0" w:color="auto"/>
            <w:bottom w:val="none" w:sz="0" w:space="0" w:color="auto"/>
            <w:right w:val="none" w:sz="0" w:space="0" w:color="auto"/>
          </w:divBdr>
        </w:div>
        <w:div w:id="2024704790">
          <w:marLeft w:val="0"/>
          <w:marRight w:val="0"/>
          <w:marTop w:val="0"/>
          <w:marBottom w:val="0"/>
          <w:divBdr>
            <w:top w:val="none" w:sz="0" w:space="0" w:color="auto"/>
            <w:left w:val="none" w:sz="0" w:space="0" w:color="auto"/>
            <w:bottom w:val="none" w:sz="0" w:space="0" w:color="auto"/>
            <w:right w:val="none" w:sz="0" w:space="0" w:color="auto"/>
          </w:divBdr>
        </w:div>
        <w:div w:id="2024704791">
          <w:marLeft w:val="0"/>
          <w:marRight w:val="0"/>
          <w:marTop w:val="0"/>
          <w:marBottom w:val="0"/>
          <w:divBdr>
            <w:top w:val="none" w:sz="0" w:space="0" w:color="auto"/>
            <w:left w:val="none" w:sz="0" w:space="0" w:color="auto"/>
            <w:bottom w:val="none" w:sz="0" w:space="0" w:color="auto"/>
            <w:right w:val="none" w:sz="0" w:space="0" w:color="auto"/>
          </w:divBdr>
        </w:div>
        <w:div w:id="2024704792">
          <w:marLeft w:val="0"/>
          <w:marRight w:val="0"/>
          <w:marTop w:val="0"/>
          <w:marBottom w:val="0"/>
          <w:divBdr>
            <w:top w:val="none" w:sz="0" w:space="0" w:color="auto"/>
            <w:left w:val="none" w:sz="0" w:space="0" w:color="auto"/>
            <w:bottom w:val="none" w:sz="0" w:space="0" w:color="auto"/>
            <w:right w:val="none" w:sz="0" w:space="0" w:color="auto"/>
          </w:divBdr>
        </w:div>
        <w:div w:id="2024704793">
          <w:marLeft w:val="0"/>
          <w:marRight w:val="0"/>
          <w:marTop w:val="0"/>
          <w:marBottom w:val="0"/>
          <w:divBdr>
            <w:top w:val="none" w:sz="0" w:space="0" w:color="auto"/>
            <w:left w:val="none" w:sz="0" w:space="0" w:color="auto"/>
            <w:bottom w:val="none" w:sz="0" w:space="0" w:color="auto"/>
            <w:right w:val="none" w:sz="0" w:space="0" w:color="auto"/>
          </w:divBdr>
        </w:div>
        <w:div w:id="2024704794">
          <w:marLeft w:val="0"/>
          <w:marRight w:val="0"/>
          <w:marTop w:val="0"/>
          <w:marBottom w:val="0"/>
          <w:divBdr>
            <w:top w:val="none" w:sz="0" w:space="0" w:color="auto"/>
            <w:left w:val="none" w:sz="0" w:space="0" w:color="auto"/>
            <w:bottom w:val="none" w:sz="0" w:space="0" w:color="auto"/>
            <w:right w:val="none" w:sz="0" w:space="0" w:color="auto"/>
          </w:divBdr>
        </w:div>
        <w:div w:id="2024704795">
          <w:marLeft w:val="0"/>
          <w:marRight w:val="0"/>
          <w:marTop w:val="0"/>
          <w:marBottom w:val="0"/>
          <w:divBdr>
            <w:top w:val="none" w:sz="0" w:space="0" w:color="auto"/>
            <w:left w:val="none" w:sz="0" w:space="0" w:color="auto"/>
            <w:bottom w:val="none" w:sz="0" w:space="0" w:color="auto"/>
            <w:right w:val="none" w:sz="0" w:space="0" w:color="auto"/>
          </w:divBdr>
        </w:div>
        <w:div w:id="2024704796">
          <w:marLeft w:val="0"/>
          <w:marRight w:val="0"/>
          <w:marTop w:val="0"/>
          <w:marBottom w:val="0"/>
          <w:divBdr>
            <w:top w:val="none" w:sz="0" w:space="0" w:color="auto"/>
            <w:left w:val="none" w:sz="0" w:space="0" w:color="auto"/>
            <w:bottom w:val="none" w:sz="0" w:space="0" w:color="auto"/>
            <w:right w:val="none" w:sz="0" w:space="0" w:color="auto"/>
          </w:divBdr>
        </w:div>
        <w:div w:id="2024704797">
          <w:marLeft w:val="0"/>
          <w:marRight w:val="0"/>
          <w:marTop w:val="0"/>
          <w:marBottom w:val="0"/>
          <w:divBdr>
            <w:top w:val="none" w:sz="0" w:space="0" w:color="auto"/>
            <w:left w:val="none" w:sz="0" w:space="0" w:color="auto"/>
            <w:bottom w:val="none" w:sz="0" w:space="0" w:color="auto"/>
            <w:right w:val="none" w:sz="0" w:space="0" w:color="auto"/>
          </w:divBdr>
        </w:div>
        <w:div w:id="2024704798">
          <w:marLeft w:val="0"/>
          <w:marRight w:val="0"/>
          <w:marTop w:val="0"/>
          <w:marBottom w:val="0"/>
          <w:divBdr>
            <w:top w:val="none" w:sz="0" w:space="0" w:color="auto"/>
            <w:left w:val="none" w:sz="0" w:space="0" w:color="auto"/>
            <w:bottom w:val="none" w:sz="0" w:space="0" w:color="auto"/>
            <w:right w:val="none" w:sz="0" w:space="0" w:color="auto"/>
          </w:divBdr>
        </w:div>
        <w:div w:id="2024704799">
          <w:marLeft w:val="0"/>
          <w:marRight w:val="0"/>
          <w:marTop w:val="0"/>
          <w:marBottom w:val="0"/>
          <w:divBdr>
            <w:top w:val="none" w:sz="0" w:space="0" w:color="auto"/>
            <w:left w:val="none" w:sz="0" w:space="0" w:color="auto"/>
            <w:bottom w:val="none" w:sz="0" w:space="0" w:color="auto"/>
            <w:right w:val="none" w:sz="0" w:space="0" w:color="auto"/>
          </w:divBdr>
        </w:div>
        <w:div w:id="2024704800">
          <w:marLeft w:val="0"/>
          <w:marRight w:val="0"/>
          <w:marTop w:val="0"/>
          <w:marBottom w:val="0"/>
          <w:divBdr>
            <w:top w:val="none" w:sz="0" w:space="0" w:color="auto"/>
            <w:left w:val="none" w:sz="0" w:space="0" w:color="auto"/>
            <w:bottom w:val="none" w:sz="0" w:space="0" w:color="auto"/>
            <w:right w:val="none" w:sz="0" w:space="0" w:color="auto"/>
          </w:divBdr>
        </w:div>
        <w:div w:id="2024704801">
          <w:marLeft w:val="0"/>
          <w:marRight w:val="0"/>
          <w:marTop w:val="0"/>
          <w:marBottom w:val="0"/>
          <w:divBdr>
            <w:top w:val="none" w:sz="0" w:space="0" w:color="auto"/>
            <w:left w:val="none" w:sz="0" w:space="0" w:color="auto"/>
            <w:bottom w:val="none" w:sz="0" w:space="0" w:color="auto"/>
            <w:right w:val="none" w:sz="0" w:space="0" w:color="auto"/>
          </w:divBdr>
        </w:div>
        <w:div w:id="2024704802">
          <w:marLeft w:val="0"/>
          <w:marRight w:val="0"/>
          <w:marTop w:val="0"/>
          <w:marBottom w:val="0"/>
          <w:divBdr>
            <w:top w:val="none" w:sz="0" w:space="0" w:color="auto"/>
            <w:left w:val="none" w:sz="0" w:space="0" w:color="auto"/>
            <w:bottom w:val="none" w:sz="0" w:space="0" w:color="auto"/>
            <w:right w:val="none" w:sz="0" w:space="0" w:color="auto"/>
          </w:divBdr>
        </w:div>
        <w:div w:id="2024704803">
          <w:marLeft w:val="0"/>
          <w:marRight w:val="0"/>
          <w:marTop w:val="0"/>
          <w:marBottom w:val="0"/>
          <w:divBdr>
            <w:top w:val="none" w:sz="0" w:space="0" w:color="auto"/>
            <w:left w:val="none" w:sz="0" w:space="0" w:color="auto"/>
            <w:bottom w:val="none" w:sz="0" w:space="0" w:color="auto"/>
            <w:right w:val="none" w:sz="0" w:space="0" w:color="auto"/>
          </w:divBdr>
        </w:div>
        <w:div w:id="2024704804">
          <w:marLeft w:val="0"/>
          <w:marRight w:val="0"/>
          <w:marTop w:val="0"/>
          <w:marBottom w:val="0"/>
          <w:divBdr>
            <w:top w:val="none" w:sz="0" w:space="0" w:color="auto"/>
            <w:left w:val="none" w:sz="0" w:space="0" w:color="auto"/>
            <w:bottom w:val="none" w:sz="0" w:space="0" w:color="auto"/>
            <w:right w:val="none" w:sz="0" w:space="0" w:color="auto"/>
          </w:divBdr>
        </w:div>
        <w:div w:id="2024704805">
          <w:marLeft w:val="0"/>
          <w:marRight w:val="0"/>
          <w:marTop w:val="0"/>
          <w:marBottom w:val="0"/>
          <w:divBdr>
            <w:top w:val="none" w:sz="0" w:space="0" w:color="auto"/>
            <w:left w:val="none" w:sz="0" w:space="0" w:color="auto"/>
            <w:bottom w:val="none" w:sz="0" w:space="0" w:color="auto"/>
            <w:right w:val="none" w:sz="0" w:space="0" w:color="auto"/>
          </w:divBdr>
        </w:div>
        <w:div w:id="2024704806">
          <w:marLeft w:val="0"/>
          <w:marRight w:val="0"/>
          <w:marTop w:val="0"/>
          <w:marBottom w:val="0"/>
          <w:divBdr>
            <w:top w:val="none" w:sz="0" w:space="0" w:color="auto"/>
            <w:left w:val="none" w:sz="0" w:space="0" w:color="auto"/>
            <w:bottom w:val="none" w:sz="0" w:space="0" w:color="auto"/>
            <w:right w:val="none" w:sz="0" w:space="0" w:color="auto"/>
          </w:divBdr>
        </w:div>
        <w:div w:id="2024704807">
          <w:marLeft w:val="0"/>
          <w:marRight w:val="0"/>
          <w:marTop w:val="0"/>
          <w:marBottom w:val="0"/>
          <w:divBdr>
            <w:top w:val="none" w:sz="0" w:space="0" w:color="auto"/>
            <w:left w:val="none" w:sz="0" w:space="0" w:color="auto"/>
            <w:bottom w:val="none" w:sz="0" w:space="0" w:color="auto"/>
            <w:right w:val="none" w:sz="0" w:space="0" w:color="auto"/>
          </w:divBdr>
        </w:div>
        <w:div w:id="2024704808">
          <w:marLeft w:val="0"/>
          <w:marRight w:val="0"/>
          <w:marTop w:val="0"/>
          <w:marBottom w:val="0"/>
          <w:divBdr>
            <w:top w:val="none" w:sz="0" w:space="0" w:color="auto"/>
            <w:left w:val="none" w:sz="0" w:space="0" w:color="auto"/>
            <w:bottom w:val="none" w:sz="0" w:space="0" w:color="auto"/>
            <w:right w:val="none" w:sz="0" w:space="0" w:color="auto"/>
          </w:divBdr>
        </w:div>
        <w:div w:id="2024704809">
          <w:marLeft w:val="0"/>
          <w:marRight w:val="0"/>
          <w:marTop w:val="0"/>
          <w:marBottom w:val="0"/>
          <w:divBdr>
            <w:top w:val="none" w:sz="0" w:space="0" w:color="auto"/>
            <w:left w:val="none" w:sz="0" w:space="0" w:color="auto"/>
            <w:bottom w:val="none" w:sz="0" w:space="0" w:color="auto"/>
            <w:right w:val="none" w:sz="0" w:space="0" w:color="auto"/>
          </w:divBdr>
        </w:div>
        <w:div w:id="2024704811">
          <w:marLeft w:val="0"/>
          <w:marRight w:val="0"/>
          <w:marTop w:val="0"/>
          <w:marBottom w:val="0"/>
          <w:divBdr>
            <w:top w:val="none" w:sz="0" w:space="0" w:color="auto"/>
            <w:left w:val="none" w:sz="0" w:space="0" w:color="auto"/>
            <w:bottom w:val="none" w:sz="0" w:space="0" w:color="auto"/>
            <w:right w:val="none" w:sz="0" w:space="0" w:color="auto"/>
          </w:divBdr>
        </w:div>
        <w:div w:id="2024704812">
          <w:marLeft w:val="0"/>
          <w:marRight w:val="0"/>
          <w:marTop w:val="0"/>
          <w:marBottom w:val="0"/>
          <w:divBdr>
            <w:top w:val="none" w:sz="0" w:space="0" w:color="auto"/>
            <w:left w:val="none" w:sz="0" w:space="0" w:color="auto"/>
            <w:bottom w:val="none" w:sz="0" w:space="0" w:color="auto"/>
            <w:right w:val="none" w:sz="0" w:space="0" w:color="auto"/>
          </w:divBdr>
        </w:div>
        <w:div w:id="2024704813">
          <w:marLeft w:val="0"/>
          <w:marRight w:val="0"/>
          <w:marTop w:val="0"/>
          <w:marBottom w:val="0"/>
          <w:divBdr>
            <w:top w:val="none" w:sz="0" w:space="0" w:color="auto"/>
            <w:left w:val="none" w:sz="0" w:space="0" w:color="auto"/>
            <w:bottom w:val="none" w:sz="0" w:space="0" w:color="auto"/>
            <w:right w:val="none" w:sz="0" w:space="0" w:color="auto"/>
          </w:divBdr>
        </w:div>
        <w:div w:id="2024704814">
          <w:marLeft w:val="0"/>
          <w:marRight w:val="0"/>
          <w:marTop w:val="0"/>
          <w:marBottom w:val="0"/>
          <w:divBdr>
            <w:top w:val="none" w:sz="0" w:space="0" w:color="auto"/>
            <w:left w:val="none" w:sz="0" w:space="0" w:color="auto"/>
            <w:bottom w:val="none" w:sz="0" w:space="0" w:color="auto"/>
            <w:right w:val="none" w:sz="0" w:space="0" w:color="auto"/>
          </w:divBdr>
        </w:div>
        <w:div w:id="2024704815">
          <w:marLeft w:val="0"/>
          <w:marRight w:val="0"/>
          <w:marTop w:val="0"/>
          <w:marBottom w:val="0"/>
          <w:divBdr>
            <w:top w:val="none" w:sz="0" w:space="0" w:color="auto"/>
            <w:left w:val="none" w:sz="0" w:space="0" w:color="auto"/>
            <w:bottom w:val="none" w:sz="0" w:space="0" w:color="auto"/>
            <w:right w:val="none" w:sz="0" w:space="0" w:color="auto"/>
          </w:divBdr>
        </w:div>
        <w:div w:id="2024704816">
          <w:marLeft w:val="0"/>
          <w:marRight w:val="0"/>
          <w:marTop w:val="0"/>
          <w:marBottom w:val="0"/>
          <w:divBdr>
            <w:top w:val="none" w:sz="0" w:space="0" w:color="auto"/>
            <w:left w:val="none" w:sz="0" w:space="0" w:color="auto"/>
            <w:bottom w:val="none" w:sz="0" w:space="0" w:color="auto"/>
            <w:right w:val="none" w:sz="0" w:space="0" w:color="auto"/>
          </w:divBdr>
        </w:div>
        <w:div w:id="2024704817">
          <w:marLeft w:val="0"/>
          <w:marRight w:val="0"/>
          <w:marTop w:val="0"/>
          <w:marBottom w:val="0"/>
          <w:divBdr>
            <w:top w:val="none" w:sz="0" w:space="0" w:color="auto"/>
            <w:left w:val="none" w:sz="0" w:space="0" w:color="auto"/>
            <w:bottom w:val="none" w:sz="0" w:space="0" w:color="auto"/>
            <w:right w:val="none" w:sz="0" w:space="0" w:color="auto"/>
          </w:divBdr>
        </w:div>
        <w:div w:id="2024704818">
          <w:marLeft w:val="0"/>
          <w:marRight w:val="0"/>
          <w:marTop w:val="0"/>
          <w:marBottom w:val="0"/>
          <w:divBdr>
            <w:top w:val="none" w:sz="0" w:space="0" w:color="auto"/>
            <w:left w:val="none" w:sz="0" w:space="0" w:color="auto"/>
            <w:bottom w:val="none" w:sz="0" w:space="0" w:color="auto"/>
            <w:right w:val="none" w:sz="0" w:space="0" w:color="auto"/>
          </w:divBdr>
        </w:div>
        <w:div w:id="2024704819">
          <w:marLeft w:val="0"/>
          <w:marRight w:val="0"/>
          <w:marTop w:val="0"/>
          <w:marBottom w:val="0"/>
          <w:divBdr>
            <w:top w:val="none" w:sz="0" w:space="0" w:color="auto"/>
            <w:left w:val="none" w:sz="0" w:space="0" w:color="auto"/>
            <w:bottom w:val="none" w:sz="0" w:space="0" w:color="auto"/>
            <w:right w:val="none" w:sz="0" w:space="0" w:color="auto"/>
          </w:divBdr>
        </w:div>
        <w:div w:id="2024704820">
          <w:marLeft w:val="0"/>
          <w:marRight w:val="0"/>
          <w:marTop w:val="0"/>
          <w:marBottom w:val="0"/>
          <w:divBdr>
            <w:top w:val="none" w:sz="0" w:space="0" w:color="auto"/>
            <w:left w:val="none" w:sz="0" w:space="0" w:color="auto"/>
            <w:bottom w:val="none" w:sz="0" w:space="0" w:color="auto"/>
            <w:right w:val="none" w:sz="0" w:space="0" w:color="auto"/>
          </w:divBdr>
        </w:div>
        <w:div w:id="2024704821">
          <w:marLeft w:val="0"/>
          <w:marRight w:val="0"/>
          <w:marTop w:val="0"/>
          <w:marBottom w:val="0"/>
          <w:divBdr>
            <w:top w:val="none" w:sz="0" w:space="0" w:color="auto"/>
            <w:left w:val="none" w:sz="0" w:space="0" w:color="auto"/>
            <w:bottom w:val="none" w:sz="0" w:space="0" w:color="auto"/>
            <w:right w:val="none" w:sz="0" w:space="0" w:color="auto"/>
          </w:divBdr>
        </w:div>
        <w:div w:id="2024704822">
          <w:marLeft w:val="0"/>
          <w:marRight w:val="0"/>
          <w:marTop w:val="0"/>
          <w:marBottom w:val="0"/>
          <w:divBdr>
            <w:top w:val="none" w:sz="0" w:space="0" w:color="auto"/>
            <w:left w:val="none" w:sz="0" w:space="0" w:color="auto"/>
            <w:bottom w:val="none" w:sz="0" w:space="0" w:color="auto"/>
            <w:right w:val="none" w:sz="0" w:space="0" w:color="auto"/>
          </w:divBdr>
        </w:div>
        <w:div w:id="2024704823">
          <w:marLeft w:val="0"/>
          <w:marRight w:val="0"/>
          <w:marTop w:val="0"/>
          <w:marBottom w:val="0"/>
          <w:divBdr>
            <w:top w:val="none" w:sz="0" w:space="0" w:color="auto"/>
            <w:left w:val="none" w:sz="0" w:space="0" w:color="auto"/>
            <w:bottom w:val="none" w:sz="0" w:space="0" w:color="auto"/>
            <w:right w:val="none" w:sz="0" w:space="0" w:color="auto"/>
          </w:divBdr>
        </w:div>
        <w:div w:id="2024704824">
          <w:marLeft w:val="0"/>
          <w:marRight w:val="0"/>
          <w:marTop w:val="0"/>
          <w:marBottom w:val="0"/>
          <w:divBdr>
            <w:top w:val="none" w:sz="0" w:space="0" w:color="auto"/>
            <w:left w:val="none" w:sz="0" w:space="0" w:color="auto"/>
            <w:bottom w:val="none" w:sz="0" w:space="0" w:color="auto"/>
            <w:right w:val="none" w:sz="0" w:space="0" w:color="auto"/>
          </w:divBdr>
        </w:div>
        <w:div w:id="2024704825">
          <w:marLeft w:val="0"/>
          <w:marRight w:val="0"/>
          <w:marTop w:val="0"/>
          <w:marBottom w:val="0"/>
          <w:divBdr>
            <w:top w:val="none" w:sz="0" w:space="0" w:color="auto"/>
            <w:left w:val="none" w:sz="0" w:space="0" w:color="auto"/>
            <w:bottom w:val="none" w:sz="0" w:space="0" w:color="auto"/>
            <w:right w:val="none" w:sz="0" w:space="0" w:color="auto"/>
          </w:divBdr>
        </w:div>
        <w:div w:id="2024704826">
          <w:marLeft w:val="0"/>
          <w:marRight w:val="0"/>
          <w:marTop w:val="0"/>
          <w:marBottom w:val="0"/>
          <w:divBdr>
            <w:top w:val="none" w:sz="0" w:space="0" w:color="auto"/>
            <w:left w:val="none" w:sz="0" w:space="0" w:color="auto"/>
            <w:bottom w:val="none" w:sz="0" w:space="0" w:color="auto"/>
            <w:right w:val="none" w:sz="0" w:space="0" w:color="auto"/>
          </w:divBdr>
        </w:div>
        <w:div w:id="2024704827">
          <w:marLeft w:val="0"/>
          <w:marRight w:val="0"/>
          <w:marTop w:val="0"/>
          <w:marBottom w:val="0"/>
          <w:divBdr>
            <w:top w:val="none" w:sz="0" w:space="0" w:color="auto"/>
            <w:left w:val="none" w:sz="0" w:space="0" w:color="auto"/>
            <w:bottom w:val="none" w:sz="0" w:space="0" w:color="auto"/>
            <w:right w:val="none" w:sz="0" w:space="0" w:color="auto"/>
          </w:divBdr>
        </w:div>
        <w:div w:id="2024704828">
          <w:marLeft w:val="0"/>
          <w:marRight w:val="0"/>
          <w:marTop w:val="0"/>
          <w:marBottom w:val="0"/>
          <w:divBdr>
            <w:top w:val="none" w:sz="0" w:space="0" w:color="auto"/>
            <w:left w:val="none" w:sz="0" w:space="0" w:color="auto"/>
            <w:bottom w:val="none" w:sz="0" w:space="0" w:color="auto"/>
            <w:right w:val="none" w:sz="0" w:space="0" w:color="auto"/>
          </w:divBdr>
        </w:div>
        <w:div w:id="2024704829">
          <w:marLeft w:val="0"/>
          <w:marRight w:val="0"/>
          <w:marTop w:val="0"/>
          <w:marBottom w:val="0"/>
          <w:divBdr>
            <w:top w:val="none" w:sz="0" w:space="0" w:color="auto"/>
            <w:left w:val="none" w:sz="0" w:space="0" w:color="auto"/>
            <w:bottom w:val="none" w:sz="0" w:space="0" w:color="auto"/>
            <w:right w:val="none" w:sz="0" w:space="0" w:color="auto"/>
          </w:divBdr>
        </w:div>
        <w:div w:id="2024704830">
          <w:marLeft w:val="0"/>
          <w:marRight w:val="0"/>
          <w:marTop w:val="0"/>
          <w:marBottom w:val="0"/>
          <w:divBdr>
            <w:top w:val="none" w:sz="0" w:space="0" w:color="auto"/>
            <w:left w:val="none" w:sz="0" w:space="0" w:color="auto"/>
            <w:bottom w:val="none" w:sz="0" w:space="0" w:color="auto"/>
            <w:right w:val="none" w:sz="0" w:space="0" w:color="auto"/>
          </w:divBdr>
        </w:div>
        <w:div w:id="2024704831">
          <w:marLeft w:val="0"/>
          <w:marRight w:val="0"/>
          <w:marTop w:val="0"/>
          <w:marBottom w:val="0"/>
          <w:divBdr>
            <w:top w:val="none" w:sz="0" w:space="0" w:color="auto"/>
            <w:left w:val="none" w:sz="0" w:space="0" w:color="auto"/>
            <w:bottom w:val="none" w:sz="0" w:space="0" w:color="auto"/>
            <w:right w:val="none" w:sz="0" w:space="0" w:color="auto"/>
          </w:divBdr>
        </w:div>
        <w:div w:id="2024704832">
          <w:marLeft w:val="0"/>
          <w:marRight w:val="0"/>
          <w:marTop w:val="0"/>
          <w:marBottom w:val="0"/>
          <w:divBdr>
            <w:top w:val="none" w:sz="0" w:space="0" w:color="auto"/>
            <w:left w:val="none" w:sz="0" w:space="0" w:color="auto"/>
            <w:bottom w:val="none" w:sz="0" w:space="0" w:color="auto"/>
            <w:right w:val="none" w:sz="0" w:space="0" w:color="auto"/>
          </w:divBdr>
        </w:div>
        <w:div w:id="2024704834">
          <w:marLeft w:val="0"/>
          <w:marRight w:val="0"/>
          <w:marTop w:val="0"/>
          <w:marBottom w:val="0"/>
          <w:divBdr>
            <w:top w:val="none" w:sz="0" w:space="0" w:color="auto"/>
            <w:left w:val="none" w:sz="0" w:space="0" w:color="auto"/>
            <w:bottom w:val="none" w:sz="0" w:space="0" w:color="auto"/>
            <w:right w:val="none" w:sz="0" w:space="0" w:color="auto"/>
          </w:divBdr>
        </w:div>
        <w:div w:id="2024704835">
          <w:marLeft w:val="0"/>
          <w:marRight w:val="0"/>
          <w:marTop w:val="0"/>
          <w:marBottom w:val="0"/>
          <w:divBdr>
            <w:top w:val="none" w:sz="0" w:space="0" w:color="auto"/>
            <w:left w:val="none" w:sz="0" w:space="0" w:color="auto"/>
            <w:bottom w:val="none" w:sz="0" w:space="0" w:color="auto"/>
            <w:right w:val="none" w:sz="0" w:space="0" w:color="auto"/>
          </w:divBdr>
        </w:div>
        <w:div w:id="2024704836">
          <w:marLeft w:val="0"/>
          <w:marRight w:val="0"/>
          <w:marTop w:val="0"/>
          <w:marBottom w:val="0"/>
          <w:divBdr>
            <w:top w:val="none" w:sz="0" w:space="0" w:color="auto"/>
            <w:left w:val="none" w:sz="0" w:space="0" w:color="auto"/>
            <w:bottom w:val="none" w:sz="0" w:space="0" w:color="auto"/>
            <w:right w:val="none" w:sz="0" w:space="0" w:color="auto"/>
          </w:divBdr>
        </w:div>
        <w:div w:id="2024704837">
          <w:marLeft w:val="0"/>
          <w:marRight w:val="0"/>
          <w:marTop w:val="0"/>
          <w:marBottom w:val="0"/>
          <w:divBdr>
            <w:top w:val="none" w:sz="0" w:space="0" w:color="auto"/>
            <w:left w:val="none" w:sz="0" w:space="0" w:color="auto"/>
            <w:bottom w:val="none" w:sz="0" w:space="0" w:color="auto"/>
            <w:right w:val="none" w:sz="0" w:space="0" w:color="auto"/>
          </w:divBdr>
        </w:div>
        <w:div w:id="2024704838">
          <w:marLeft w:val="0"/>
          <w:marRight w:val="0"/>
          <w:marTop w:val="0"/>
          <w:marBottom w:val="0"/>
          <w:divBdr>
            <w:top w:val="none" w:sz="0" w:space="0" w:color="auto"/>
            <w:left w:val="none" w:sz="0" w:space="0" w:color="auto"/>
            <w:bottom w:val="none" w:sz="0" w:space="0" w:color="auto"/>
            <w:right w:val="none" w:sz="0" w:space="0" w:color="auto"/>
          </w:divBdr>
        </w:div>
        <w:div w:id="2024704839">
          <w:marLeft w:val="0"/>
          <w:marRight w:val="0"/>
          <w:marTop w:val="0"/>
          <w:marBottom w:val="0"/>
          <w:divBdr>
            <w:top w:val="none" w:sz="0" w:space="0" w:color="auto"/>
            <w:left w:val="none" w:sz="0" w:space="0" w:color="auto"/>
            <w:bottom w:val="none" w:sz="0" w:space="0" w:color="auto"/>
            <w:right w:val="none" w:sz="0" w:space="0" w:color="auto"/>
          </w:divBdr>
        </w:div>
        <w:div w:id="2024704841">
          <w:marLeft w:val="0"/>
          <w:marRight w:val="0"/>
          <w:marTop w:val="0"/>
          <w:marBottom w:val="0"/>
          <w:divBdr>
            <w:top w:val="none" w:sz="0" w:space="0" w:color="auto"/>
            <w:left w:val="none" w:sz="0" w:space="0" w:color="auto"/>
            <w:bottom w:val="none" w:sz="0" w:space="0" w:color="auto"/>
            <w:right w:val="none" w:sz="0" w:space="0" w:color="auto"/>
          </w:divBdr>
        </w:div>
        <w:div w:id="2024704842">
          <w:marLeft w:val="0"/>
          <w:marRight w:val="0"/>
          <w:marTop w:val="0"/>
          <w:marBottom w:val="0"/>
          <w:divBdr>
            <w:top w:val="none" w:sz="0" w:space="0" w:color="auto"/>
            <w:left w:val="none" w:sz="0" w:space="0" w:color="auto"/>
            <w:bottom w:val="none" w:sz="0" w:space="0" w:color="auto"/>
            <w:right w:val="none" w:sz="0" w:space="0" w:color="auto"/>
          </w:divBdr>
        </w:div>
        <w:div w:id="2024704843">
          <w:marLeft w:val="0"/>
          <w:marRight w:val="0"/>
          <w:marTop w:val="0"/>
          <w:marBottom w:val="0"/>
          <w:divBdr>
            <w:top w:val="none" w:sz="0" w:space="0" w:color="auto"/>
            <w:left w:val="none" w:sz="0" w:space="0" w:color="auto"/>
            <w:bottom w:val="none" w:sz="0" w:space="0" w:color="auto"/>
            <w:right w:val="none" w:sz="0" w:space="0" w:color="auto"/>
          </w:divBdr>
        </w:div>
        <w:div w:id="2024704844">
          <w:marLeft w:val="0"/>
          <w:marRight w:val="0"/>
          <w:marTop w:val="0"/>
          <w:marBottom w:val="0"/>
          <w:divBdr>
            <w:top w:val="none" w:sz="0" w:space="0" w:color="auto"/>
            <w:left w:val="none" w:sz="0" w:space="0" w:color="auto"/>
            <w:bottom w:val="none" w:sz="0" w:space="0" w:color="auto"/>
            <w:right w:val="none" w:sz="0" w:space="0" w:color="auto"/>
          </w:divBdr>
        </w:div>
        <w:div w:id="2024704845">
          <w:marLeft w:val="0"/>
          <w:marRight w:val="0"/>
          <w:marTop w:val="0"/>
          <w:marBottom w:val="0"/>
          <w:divBdr>
            <w:top w:val="none" w:sz="0" w:space="0" w:color="auto"/>
            <w:left w:val="none" w:sz="0" w:space="0" w:color="auto"/>
            <w:bottom w:val="none" w:sz="0" w:space="0" w:color="auto"/>
            <w:right w:val="none" w:sz="0" w:space="0" w:color="auto"/>
          </w:divBdr>
        </w:div>
        <w:div w:id="2024704846">
          <w:marLeft w:val="0"/>
          <w:marRight w:val="0"/>
          <w:marTop w:val="0"/>
          <w:marBottom w:val="0"/>
          <w:divBdr>
            <w:top w:val="none" w:sz="0" w:space="0" w:color="auto"/>
            <w:left w:val="none" w:sz="0" w:space="0" w:color="auto"/>
            <w:bottom w:val="none" w:sz="0" w:space="0" w:color="auto"/>
            <w:right w:val="none" w:sz="0" w:space="0" w:color="auto"/>
          </w:divBdr>
        </w:div>
        <w:div w:id="2024704847">
          <w:marLeft w:val="0"/>
          <w:marRight w:val="0"/>
          <w:marTop w:val="0"/>
          <w:marBottom w:val="0"/>
          <w:divBdr>
            <w:top w:val="none" w:sz="0" w:space="0" w:color="auto"/>
            <w:left w:val="none" w:sz="0" w:space="0" w:color="auto"/>
            <w:bottom w:val="none" w:sz="0" w:space="0" w:color="auto"/>
            <w:right w:val="none" w:sz="0" w:space="0" w:color="auto"/>
          </w:divBdr>
        </w:div>
        <w:div w:id="2024704848">
          <w:marLeft w:val="0"/>
          <w:marRight w:val="0"/>
          <w:marTop w:val="0"/>
          <w:marBottom w:val="0"/>
          <w:divBdr>
            <w:top w:val="none" w:sz="0" w:space="0" w:color="auto"/>
            <w:left w:val="none" w:sz="0" w:space="0" w:color="auto"/>
            <w:bottom w:val="none" w:sz="0" w:space="0" w:color="auto"/>
            <w:right w:val="none" w:sz="0" w:space="0" w:color="auto"/>
          </w:divBdr>
        </w:div>
        <w:div w:id="2024704849">
          <w:marLeft w:val="0"/>
          <w:marRight w:val="0"/>
          <w:marTop w:val="0"/>
          <w:marBottom w:val="0"/>
          <w:divBdr>
            <w:top w:val="none" w:sz="0" w:space="0" w:color="auto"/>
            <w:left w:val="none" w:sz="0" w:space="0" w:color="auto"/>
            <w:bottom w:val="none" w:sz="0" w:space="0" w:color="auto"/>
            <w:right w:val="none" w:sz="0" w:space="0" w:color="auto"/>
          </w:divBdr>
        </w:div>
        <w:div w:id="2024704850">
          <w:marLeft w:val="0"/>
          <w:marRight w:val="0"/>
          <w:marTop w:val="0"/>
          <w:marBottom w:val="0"/>
          <w:divBdr>
            <w:top w:val="none" w:sz="0" w:space="0" w:color="auto"/>
            <w:left w:val="none" w:sz="0" w:space="0" w:color="auto"/>
            <w:bottom w:val="none" w:sz="0" w:space="0" w:color="auto"/>
            <w:right w:val="none" w:sz="0" w:space="0" w:color="auto"/>
          </w:divBdr>
        </w:div>
        <w:div w:id="2024704851">
          <w:marLeft w:val="0"/>
          <w:marRight w:val="0"/>
          <w:marTop w:val="0"/>
          <w:marBottom w:val="0"/>
          <w:divBdr>
            <w:top w:val="none" w:sz="0" w:space="0" w:color="auto"/>
            <w:left w:val="none" w:sz="0" w:space="0" w:color="auto"/>
            <w:bottom w:val="none" w:sz="0" w:space="0" w:color="auto"/>
            <w:right w:val="none" w:sz="0" w:space="0" w:color="auto"/>
          </w:divBdr>
        </w:div>
        <w:div w:id="2024704852">
          <w:marLeft w:val="0"/>
          <w:marRight w:val="0"/>
          <w:marTop w:val="0"/>
          <w:marBottom w:val="0"/>
          <w:divBdr>
            <w:top w:val="none" w:sz="0" w:space="0" w:color="auto"/>
            <w:left w:val="none" w:sz="0" w:space="0" w:color="auto"/>
            <w:bottom w:val="none" w:sz="0" w:space="0" w:color="auto"/>
            <w:right w:val="none" w:sz="0" w:space="0" w:color="auto"/>
          </w:divBdr>
        </w:div>
        <w:div w:id="2024704853">
          <w:marLeft w:val="0"/>
          <w:marRight w:val="0"/>
          <w:marTop w:val="0"/>
          <w:marBottom w:val="0"/>
          <w:divBdr>
            <w:top w:val="none" w:sz="0" w:space="0" w:color="auto"/>
            <w:left w:val="none" w:sz="0" w:space="0" w:color="auto"/>
            <w:bottom w:val="none" w:sz="0" w:space="0" w:color="auto"/>
            <w:right w:val="none" w:sz="0" w:space="0" w:color="auto"/>
          </w:divBdr>
        </w:div>
        <w:div w:id="2024704854">
          <w:marLeft w:val="0"/>
          <w:marRight w:val="0"/>
          <w:marTop w:val="0"/>
          <w:marBottom w:val="0"/>
          <w:divBdr>
            <w:top w:val="none" w:sz="0" w:space="0" w:color="auto"/>
            <w:left w:val="none" w:sz="0" w:space="0" w:color="auto"/>
            <w:bottom w:val="none" w:sz="0" w:space="0" w:color="auto"/>
            <w:right w:val="none" w:sz="0" w:space="0" w:color="auto"/>
          </w:divBdr>
        </w:div>
        <w:div w:id="2024704855">
          <w:marLeft w:val="0"/>
          <w:marRight w:val="0"/>
          <w:marTop w:val="0"/>
          <w:marBottom w:val="0"/>
          <w:divBdr>
            <w:top w:val="none" w:sz="0" w:space="0" w:color="auto"/>
            <w:left w:val="none" w:sz="0" w:space="0" w:color="auto"/>
            <w:bottom w:val="none" w:sz="0" w:space="0" w:color="auto"/>
            <w:right w:val="none" w:sz="0" w:space="0" w:color="auto"/>
          </w:divBdr>
        </w:div>
        <w:div w:id="2024704856">
          <w:marLeft w:val="0"/>
          <w:marRight w:val="0"/>
          <w:marTop w:val="0"/>
          <w:marBottom w:val="0"/>
          <w:divBdr>
            <w:top w:val="none" w:sz="0" w:space="0" w:color="auto"/>
            <w:left w:val="none" w:sz="0" w:space="0" w:color="auto"/>
            <w:bottom w:val="none" w:sz="0" w:space="0" w:color="auto"/>
            <w:right w:val="none" w:sz="0" w:space="0" w:color="auto"/>
          </w:divBdr>
        </w:div>
        <w:div w:id="2024704857">
          <w:marLeft w:val="0"/>
          <w:marRight w:val="0"/>
          <w:marTop w:val="0"/>
          <w:marBottom w:val="0"/>
          <w:divBdr>
            <w:top w:val="none" w:sz="0" w:space="0" w:color="auto"/>
            <w:left w:val="none" w:sz="0" w:space="0" w:color="auto"/>
            <w:bottom w:val="none" w:sz="0" w:space="0" w:color="auto"/>
            <w:right w:val="none" w:sz="0" w:space="0" w:color="auto"/>
          </w:divBdr>
        </w:div>
        <w:div w:id="2024704858">
          <w:marLeft w:val="0"/>
          <w:marRight w:val="0"/>
          <w:marTop w:val="0"/>
          <w:marBottom w:val="0"/>
          <w:divBdr>
            <w:top w:val="none" w:sz="0" w:space="0" w:color="auto"/>
            <w:left w:val="none" w:sz="0" w:space="0" w:color="auto"/>
            <w:bottom w:val="none" w:sz="0" w:space="0" w:color="auto"/>
            <w:right w:val="none" w:sz="0" w:space="0" w:color="auto"/>
          </w:divBdr>
        </w:div>
        <w:div w:id="2024704859">
          <w:marLeft w:val="0"/>
          <w:marRight w:val="0"/>
          <w:marTop w:val="0"/>
          <w:marBottom w:val="0"/>
          <w:divBdr>
            <w:top w:val="none" w:sz="0" w:space="0" w:color="auto"/>
            <w:left w:val="none" w:sz="0" w:space="0" w:color="auto"/>
            <w:bottom w:val="none" w:sz="0" w:space="0" w:color="auto"/>
            <w:right w:val="none" w:sz="0" w:space="0" w:color="auto"/>
          </w:divBdr>
        </w:div>
        <w:div w:id="2024704860">
          <w:marLeft w:val="0"/>
          <w:marRight w:val="0"/>
          <w:marTop w:val="0"/>
          <w:marBottom w:val="0"/>
          <w:divBdr>
            <w:top w:val="none" w:sz="0" w:space="0" w:color="auto"/>
            <w:left w:val="none" w:sz="0" w:space="0" w:color="auto"/>
            <w:bottom w:val="none" w:sz="0" w:space="0" w:color="auto"/>
            <w:right w:val="none" w:sz="0" w:space="0" w:color="auto"/>
          </w:divBdr>
        </w:div>
        <w:div w:id="2024704861">
          <w:marLeft w:val="0"/>
          <w:marRight w:val="0"/>
          <w:marTop w:val="0"/>
          <w:marBottom w:val="0"/>
          <w:divBdr>
            <w:top w:val="none" w:sz="0" w:space="0" w:color="auto"/>
            <w:left w:val="none" w:sz="0" w:space="0" w:color="auto"/>
            <w:bottom w:val="none" w:sz="0" w:space="0" w:color="auto"/>
            <w:right w:val="none" w:sz="0" w:space="0" w:color="auto"/>
          </w:divBdr>
        </w:div>
        <w:div w:id="2024704862">
          <w:marLeft w:val="0"/>
          <w:marRight w:val="0"/>
          <w:marTop w:val="0"/>
          <w:marBottom w:val="0"/>
          <w:divBdr>
            <w:top w:val="none" w:sz="0" w:space="0" w:color="auto"/>
            <w:left w:val="none" w:sz="0" w:space="0" w:color="auto"/>
            <w:bottom w:val="none" w:sz="0" w:space="0" w:color="auto"/>
            <w:right w:val="none" w:sz="0" w:space="0" w:color="auto"/>
          </w:divBdr>
        </w:div>
        <w:div w:id="2024704863">
          <w:marLeft w:val="0"/>
          <w:marRight w:val="0"/>
          <w:marTop w:val="0"/>
          <w:marBottom w:val="0"/>
          <w:divBdr>
            <w:top w:val="none" w:sz="0" w:space="0" w:color="auto"/>
            <w:left w:val="none" w:sz="0" w:space="0" w:color="auto"/>
            <w:bottom w:val="none" w:sz="0" w:space="0" w:color="auto"/>
            <w:right w:val="none" w:sz="0" w:space="0" w:color="auto"/>
          </w:divBdr>
        </w:div>
        <w:div w:id="2024704864">
          <w:marLeft w:val="0"/>
          <w:marRight w:val="0"/>
          <w:marTop w:val="0"/>
          <w:marBottom w:val="0"/>
          <w:divBdr>
            <w:top w:val="none" w:sz="0" w:space="0" w:color="auto"/>
            <w:left w:val="none" w:sz="0" w:space="0" w:color="auto"/>
            <w:bottom w:val="none" w:sz="0" w:space="0" w:color="auto"/>
            <w:right w:val="none" w:sz="0" w:space="0" w:color="auto"/>
          </w:divBdr>
        </w:div>
        <w:div w:id="2024704865">
          <w:marLeft w:val="0"/>
          <w:marRight w:val="0"/>
          <w:marTop w:val="0"/>
          <w:marBottom w:val="0"/>
          <w:divBdr>
            <w:top w:val="none" w:sz="0" w:space="0" w:color="auto"/>
            <w:left w:val="none" w:sz="0" w:space="0" w:color="auto"/>
            <w:bottom w:val="none" w:sz="0" w:space="0" w:color="auto"/>
            <w:right w:val="none" w:sz="0" w:space="0" w:color="auto"/>
          </w:divBdr>
        </w:div>
        <w:div w:id="2024704866">
          <w:marLeft w:val="0"/>
          <w:marRight w:val="0"/>
          <w:marTop w:val="0"/>
          <w:marBottom w:val="0"/>
          <w:divBdr>
            <w:top w:val="none" w:sz="0" w:space="0" w:color="auto"/>
            <w:left w:val="none" w:sz="0" w:space="0" w:color="auto"/>
            <w:bottom w:val="none" w:sz="0" w:space="0" w:color="auto"/>
            <w:right w:val="none" w:sz="0" w:space="0" w:color="auto"/>
          </w:divBdr>
        </w:div>
        <w:div w:id="2024704867">
          <w:marLeft w:val="0"/>
          <w:marRight w:val="0"/>
          <w:marTop w:val="0"/>
          <w:marBottom w:val="0"/>
          <w:divBdr>
            <w:top w:val="none" w:sz="0" w:space="0" w:color="auto"/>
            <w:left w:val="none" w:sz="0" w:space="0" w:color="auto"/>
            <w:bottom w:val="none" w:sz="0" w:space="0" w:color="auto"/>
            <w:right w:val="none" w:sz="0" w:space="0" w:color="auto"/>
          </w:divBdr>
        </w:div>
        <w:div w:id="2024704868">
          <w:marLeft w:val="0"/>
          <w:marRight w:val="0"/>
          <w:marTop w:val="0"/>
          <w:marBottom w:val="0"/>
          <w:divBdr>
            <w:top w:val="none" w:sz="0" w:space="0" w:color="auto"/>
            <w:left w:val="none" w:sz="0" w:space="0" w:color="auto"/>
            <w:bottom w:val="none" w:sz="0" w:space="0" w:color="auto"/>
            <w:right w:val="none" w:sz="0" w:space="0" w:color="auto"/>
          </w:divBdr>
        </w:div>
        <w:div w:id="2024704869">
          <w:marLeft w:val="0"/>
          <w:marRight w:val="0"/>
          <w:marTop w:val="0"/>
          <w:marBottom w:val="0"/>
          <w:divBdr>
            <w:top w:val="none" w:sz="0" w:space="0" w:color="auto"/>
            <w:left w:val="none" w:sz="0" w:space="0" w:color="auto"/>
            <w:bottom w:val="none" w:sz="0" w:space="0" w:color="auto"/>
            <w:right w:val="none" w:sz="0" w:space="0" w:color="auto"/>
          </w:divBdr>
        </w:div>
        <w:div w:id="2024704870">
          <w:marLeft w:val="0"/>
          <w:marRight w:val="0"/>
          <w:marTop w:val="0"/>
          <w:marBottom w:val="0"/>
          <w:divBdr>
            <w:top w:val="none" w:sz="0" w:space="0" w:color="auto"/>
            <w:left w:val="none" w:sz="0" w:space="0" w:color="auto"/>
            <w:bottom w:val="none" w:sz="0" w:space="0" w:color="auto"/>
            <w:right w:val="none" w:sz="0" w:space="0" w:color="auto"/>
          </w:divBdr>
        </w:div>
        <w:div w:id="2024704871">
          <w:marLeft w:val="0"/>
          <w:marRight w:val="0"/>
          <w:marTop w:val="0"/>
          <w:marBottom w:val="0"/>
          <w:divBdr>
            <w:top w:val="none" w:sz="0" w:space="0" w:color="auto"/>
            <w:left w:val="none" w:sz="0" w:space="0" w:color="auto"/>
            <w:bottom w:val="none" w:sz="0" w:space="0" w:color="auto"/>
            <w:right w:val="none" w:sz="0" w:space="0" w:color="auto"/>
          </w:divBdr>
        </w:div>
        <w:div w:id="2024704872">
          <w:marLeft w:val="0"/>
          <w:marRight w:val="0"/>
          <w:marTop w:val="0"/>
          <w:marBottom w:val="0"/>
          <w:divBdr>
            <w:top w:val="none" w:sz="0" w:space="0" w:color="auto"/>
            <w:left w:val="none" w:sz="0" w:space="0" w:color="auto"/>
            <w:bottom w:val="none" w:sz="0" w:space="0" w:color="auto"/>
            <w:right w:val="none" w:sz="0" w:space="0" w:color="auto"/>
          </w:divBdr>
        </w:div>
        <w:div w:id="2024704873">
          <w:marLeft w:val="0"/>
          <w:marRight w:val="0"/>
          <w:marTop w:val="0"/>
          <w:marBottom w:val="0"/>
          <w:divBdr>
            <w:top w:val="none" w:sz="0" w:space="0" w:color="auto"/>
            <w:left w:val="none" w:sz="0" w:space="0" w:color="auto"/>
            <w:bottom w:val="none" w:sz="0" w:space="0" w:color="auto"/>
            <w:right w:val="none" w:sz="0" w:space="0" w:color="auto"/>
          </w:divBdr>
        </w:div>
        <w:div w:id="2024704874">
          <w:marLeft w:val="0"/>
          <w:marRight w:val="0"/>
          <w:marTop w:val="0"/>
          <w:marBottom w:val="0"/>
          <w:divBdr>
            <w:top w:val="none" w:sz="0" w:space="0" w:color="auto"/>
            <w:left w:val="none" w:sz="0" w:space="0" w:color="auto"/>
            <w:bottom w:val="none" w:sz="0" w:space="0" w:color="auto"/>
            <w:right w:val="none" w:sz="0" w:space="0" w:color="auto"/>
          </w:divBdr>
        </w:div>
        <w:div w:id="2024704875">
          <w:marLeft w:val="0"/>
          <w:marRight w:val="0"/>
          <w:marTop w:val="0"/>
          <w:marBottom w:val="0"/>
          <w:divBdr>
            <w:top w:val="none" w:sz="0" w:space="0" w:color="auto"/>
            <w:left w:val="none" w:sz="0" w:space="0" w:color="auto"/>
            <w:bottom w:val="none" w:sz="0" w:space="0" w:color="auto"/>
            <w:right w:val="none" w:sz="0" w:space="0" w:color="auto"/>
          </w:divBdr>
        </w:div>
        <w:div w:id="2024704876">
          <w:marLeft w:val="0"/>
          <w:marRight w:val="0"/>
          <w:marTop w:val="0"/>
          <w:marBottom w:val="0"/>
          <w:divBdr>
            <w:top w:val="none" w:sz="0" w:space="0" w:color="auto"/>
            <w:left w:val="none" w:sz="0" w:space="0" w:color="auto"/>
            <w:bottom w:val="none" w:sz="0" w:space="0" w:color="auto"/>
            <w:right w:val="none" w:sz="0" w:space="0" w:color="auto"/>
          </w:divBdr>
        </w:div>
        <w:div w:id="2024704877">
          <w:marLeft w:val="0"/>
          <w:marRight w:val="0"/>
          <w:marTop w:val="0"/>
          <w:marBottom w:val="0"/>
          <w:divBdr>
            <w:top w:val="none" w:sz="0" w:space="0" w:color="auto"/>
            <w:left w:val="none" w:sz="0" w:space="0" w:color="auto"/>
            <w:bottom w:val="none" w:sz="0" w:space="0" w:color="auto"/>
            <w:right w:val="none" w:sz="0" w:space="0" w:color="auto"/>
          </w:divBdr>
        </w:div>
        <w:div w:id="2024704878">
          <w:marLeft w:val="0"/>
          <w:marRight w:val="0"/>
          <w:marTop w:val="0"/>
          <w:marBottom w:val="0"/>
          <w:divBdr>
            <w:top w:val="none" w:sz="0" w:space="0" w:color="auto"/>
            <w:left w:val="none" w:sz="0" w:space="0" w:color="auto"/>
            <w:bottom w:val="none" w:sz="0" w:space="0" w:color="auto"/>
            <w:right w:val="none" w:sz="0" w:space="0" w:color="auto"/>
          </w:divBdr>
        </w:div>
        <w:div w:id="2024704879">
          <w:marLeft w:val="0"/>
          <w:marRight w:val="0"/>
          <w:marTop w:val="0"/>
          <w:marBottom w:val="0"/>
          <w:divBdr>
            <w:top w:val="none" w:sz="0" w:space="0" w:color="auto"/>
            <w:left w:val="none" w:sz="0" w:space="0" w:color="auto"/>
            <w:bottom w:val="none" w:sz="0" w:space="0" w:color="auto"/>
            <w:right w:val="none" w:sz="0" w:space="0" w:color="auto"/>
          </w:divBdr>
        </w:div>
        <w:div w:id="2024704880">
          <w:marLeft w:val="0"/>
          <w:marRight w:val="0"/>
          <w:marTop w:val="0"/>
          <w:marBottom w:val="0"/>
          <w:divBdr>
            <w:top w:val="none" w:sz="0" w:space="0" w:color="auto"/>
            <w:left w:val="none" w:sz="0" w:space="0" w:color="auto"/>
            <w:bottom w:val="none" w:sz="0" w:space="0" w:color="auto"/>
            <w:right w:val="none" w:sz="0" w:space="0" w:color="auto"/>
          </w:divBdr>
        </w:div>
        <w:div w:id="2024704881">
          <w:marLeft w:val="0"/>
          <w:marRight w:val="0"/>
          <w:marTop w:val="0"/>
          <w:marBottom w:val="0"/>
          <w:divBdr>
            <w:top w:val="none" w:sz="0" w:space="0" w:color="auto"/>
            <w:left w:val="none" w:sz="0" w:space="0" w:color="auto"/>
            <w:bottom w:val="none" w:sz="0" w:space="0" w:color="auto"/>
            <w:right w:val="none" w:sz="0" w:space="0" w:color="auto"/>
          </w:divBdr>
        </w:div>
        <w:div w:id="2024704882">
          <w:marLeft w:val="0"/>
          <w:marRight w:val="0"/>
          <w:marTop w:val="0"/>
          <w:marBottom w:val="0"/>
          <w:divBdr>
            <w:top w:val="none" w:sz="0" w:space="0" w:color="auto"/>
            <w:left w:val="none" w:sz="0" w:space="0" w:color="auto"/>
            <w:bottom w:val="none" w:sz="0" w:space="0" w:color="auto"/>
            <w:right w:val="none" w:sz="0" w:space="0" w:color="auto"/>
          </w:divBdr>
        </w:div>
        <w:div w:id="2024704883">
          <w:marLeft w:val="0"/>
          <w:marRight w:val="0"/>
          <w:marTop w:val="0"/>
          <w:marBottom w:val="0"/>
          <w:divBdr>
            <w:top w:val="none" w:sz="0" w:space="0" w:color="auto"/>
            <w:left w:val="none" w:sz="0" w:space="0" w:color="auto"/>
            <w:bottom w:val="none" w:sz="0" w:space="0" w:color="auto"/>
            <w:right w:val="none" w:sz="0" w:space="0" w:color="auto"/>
          </w:divBdr>
        </w:div>
        <w:div w:id="2024704884">
          <w:marLeft w:val="0"/>
          <w:marRight w:val="0"/>
          <w:marTop w:val="0"/>
          <w:marBottom w:val="0"/>
          <w:divBdr>
            <w:top w:val="none" w:sz="0" w:space="0" w:color="auto"/>
            <w:left w:val="none" w:sz="0" w:space="0" w:color="auto"/>
            <w:bottom w:val="none" w:sz="0" w:space="0" w:color="auto"/>
            <w:right w:val="none" w:sz="0" w:space="0" w:color="auto"/>
          </w:divBdr>
        </w:div>
        <w:div w:id="2024704885">
          <w:marLeft w:val="0"/>
          <w:marRight w:val="0"/>
          <w:marTop w:val="0"/>
          <w:marBottom w:val="0"/>
          <w:divBdr>
            <w:top w:val="none" w:sz="0" w:space="0" w:color="auto"/>
            <w:left w:val="none" w:sz="0" w:space="0" w:color="auto"/>
            <w:bottom w:val="none" w:sz="0" w:space="0" w:color="auto"/>
            <w:right w:val="none" w:sz="0" w:space="0" w:color="auto"/>
          </w:divBdr>
        </w:div>
        <w:div w:id="2024704886">
          <w:marLeft w:val="0"/>
          <w:marRight w:val="0"/>
          <w:marTop w:val="0"/>
          <w:marBottom w:val="0"/>
          <w:divBdr>
            <w:top w:val="none" w:sz="0" w:space="0" w:color="auto"/>
            <w:left w:val="none" w:sz="0" w:space="0" w:color="auto"/>
            <w:bottom w:val="none" w:sz="0" w:space="0" w:color="auto"/>
            <w:right w:val="none" w:sz="0" w:space="0" w:color="auto"/>
          </w:divBdr>
        </w:div>
        <w:div w:id="2024704887">
          <w:marLeft w:val="0"/>
          <w:marRight w:val="0"/>
          <w:marTop w:val="0"/>
          <w:marBottom w:val="0"/>
          <w:divBdr>
            <w:top w:val="none" w:sz="0" w:space="0" w:color="auto"/>
            <w:left w:val="none" w:sz="0" w:space="0" w:color="auto"/>
            <w:bottom w:val="none" w:sz="0" w:space="0" w:color="auto"/>
            <w:right w:val="none" w:sz="0" w:space="0" w:color="auto"/>
          </w:divBdr>
        </w:div>
        <w:div w:id="2024704888">
          <w:marLeft w:val="0"/>
          <w:marRight w:val="0"/>
          <w:marTop w:val="0"/>
          <w:marBottom w:val="0"/>
          <w:divBdr>
            <w:top w:val="none" w:sz="0" w:space="0" w:color="auto"/>
            <w:left w:val="none" w:sz="0" w:space="0" w:color="auto"/>
            <w:bottom w:val="none" w:sz="0" w:space="0" w:color="auto"/>
            <w:right w:val="none" w:sz="0" w:space="0" w:color="auto"/>
          </w:divBdr>
        </w:div>
        <w:div w:id="2024704889">
          <w:marLeft w:val="0"/>
          <w:marRight w:val="0"/>
          <w:marTop w:val="0"/>
          <w:marBottom w:val="0"/>
          <w:divBdr>
            <w:top w:val="none" w:sz="0" w:space="0" w:color="auto"/>
            <w:left w:val="none" w:sz="0" w:space="0" w:color="auto"/>
            <w:bottom w:val="none" w:sz="0" w:space="0" w:color="auto"/>
            <w:right w:val="none" w:sz="0" w:space="0" w:color="auto"/>
          </w:divBdr>
        </w:div>
        <w:div w:id="2024704891">
          <w:marLeft w:val="0"/>
          <w:marRight w:val="0"/>
          <w:marTop w:val="0"/>
          <w:marBottom w:val="0"/>
          <w:divBdr>
            <w:top w:val="none" w:sz="0" w:space="0" w:color="auto"/>
            <w:left w:val="none" w:sz="0" w:space="0" w:color="auto"/>
            <w:bottom w:val="none" w:sz="0" w:space="0" w:color="auto"/>
            <w:right w:val="none" w:sz="0" w:space="0" w:color="auto"/>
          </w:divBdr>
        </w:div>
        <w:div w:id="2024704892">
          <w:marLeft w:val="0"/>
          <w:marRight w:val="0"/>
          <w:marTop w:val="0"/>
          <w:marBottom w:val="0"/>
          <w:divBdr>
            <w:top w:val="none" w:sz="0" w:space="0" w:color="auto"/>
            <w:left w:val="none" w:sz="0" w:space="0" w:color="auto"/>
            <w:bottom w:val="none" w:sz="0" w:space="0" w:color="auto"/>
            <w:right w:val="none" w:sz="0" w:space="0" w:color="auto"/>
          </w:divBdr>
        </w:div>
        <w:div w:id="2024704893">
          <w:marLeft w:val="0"/>
          <w:marRight w:val="0"/>
          <w:marTop w:val="0"/>
          <w:marBottom w:val="0"/>
          <w:divBdr>
            <w:top w:val="none" w:sz="0" w:space="0" w:color="auto"/>
            <w:left w:val="none" w:sz="0" w:space="0" w:color="auto"/>
            <w:bottom w:val="none" w:sz="0" w:space="0" w:color="auto"/>
            <w:right w:val="none" w:sz="0" w:space="0" w:color="auto"/>
          </w:divBdr>
        </w:div>
        <w:div w:id="2024704894">
          <w:marLeft w:val="0"/>
          <w:marRight w:val="0"/>
          <w:marTop w:val="0"/>
          <w:marBottom w:val="0"/>
          <w:divBdr>
            <w:top w:val="none" w:sz="0" w:space="0" w:color="auto"/>
            <w:left w:val="none" w:sz="0" w:space="0" w:color="auto"/>
            <w:bottom w:val="none" w:sz="0" w:space="0" w:color="auto"/>
            <w:right w:val="none" w:sz="0" w:space="0" w:color="auto"/>
          </w:divBdr>
        </w:div>
        <w:div w:id="2024704895">
          <w:marLeft w:val="0"/>
          <w:marRight w:val="0"/>
          <w:marTop w:val="0"/>
          <w:marBottom w:val="0"/>
          <w:divBdr>
            <w:top w:val="none" w:sz="0" w:space="0" w:color="auto"/>
            <w:left w:val="none" w:sz="0" w:space="0" w:color="auto"/>
            <w:bottom w:val="none" w:sz="0" w:space="0" w:color="auto"/>
            <w:right w:val="none" w:sz="0" w:space="0" w:color="auto"/>
          </w:divBdr>
        </w:div>
        <w:div w:id="2024704896">
          <w:marLeft w:val="0"/>
          <w:marRight w:val="0"/>
          <w:marTop w:val="0"/>
          <w:marBottom w:val="0"/>
          <w:divBdr>
            <w:top w:val="none" w:sz="0" w:space="0" w:color="auto"/>
            <w:left w:val="none" w:sz="0" w:space="0" w:color="auto"/>
            <w:bottom w:val="none" w:sz="0" w:space="0" w:color="auto"/>
            <w:right w:val="none" w:sz="0" w:space="0" w:color="auto"/>
          </w:divBdr>
        </w:div>
        <w:div w:id="2024704897">
          <w:marLeft w:val="0"/>
          <w:marRight w:val="0"/>
          <w:marTop w:val="0"/>
          <w:marBottom w:val="0"/>
          <w:divBdr>
            <w:top w:val="none" w:sz="0" w:space="0" w:color="auto"/>
            <w:left w:val="none" w:sz="0" w:space="0" w:color="auto"/>
            <w:bottom w:val="none" w:sz="0" w:space="0" w:color="auto"/>
            <w:right w:val="none" w:sz="0" w:space="0" w:color="auto"/>
          </w:divBdr>
        </w:div>
        <w:div w:id="2024704898">
          <w:marLeft w:val="0"/>
          <w:marRight w:val="0"/>
          <w:marTop w:val="0"/>
          <w:marBottom w:val="0"/>
          <w:divBdr>
            <w:top w:val="none" w:sz="0" w:space="0" w:color="auto"/>
            <w:left w:val="none" w:sz="0" w:space="0" w:color="auto"/>
            <w:bottom w:val="none" w:sz="0" w:space="0" w:color="auto"/>
            <w:right w:val="none" w:sz="0" w:space="0" w:color="auto"/>
          </w:divBdr>
        </w:div>
        <w:div w:id="2024704899">
          <w:marLeft w:val="0"/>
          <w:marRight w:val="0"/>
          <w:marTop w:val="0"/>
          <w:marBottom w:val="0"/>
          <w:divBdr>
            <w:top w:val="none" w:sz="0" w:space="0" w:color="auto"/>
            <w:left w:val="none" w:sz="0" w:space="0" w:color="auto"/>
            <w:bottom w:val="none" w:sz="0" w:space="0" w:color="auto"/>
            <w:right w:val="none" w:sz="0" w:space="0" w:color="auto"/>
          </w:divBdr>
        </w:div>
        <w:div w:id="2024704900">
          <w:marLeft w:val="0"/>
          <w:marRight w:val="0"/>
          <w:marTop w:val="0"/>
          <w:marBottom w:val="0"/>
          <w:divBdr>
            <w:top w:val="none" w:sz="0" w:space="0" w:color="auto"/>
            <w:left w:val="none" w:sz="0" w:space="0" w:color="auto"/>
            <w:bottom w:val="none" w:sz="0" w:space="0" w:color="auto"/>
            <w:right w:val="none" w:sz="0" w:space="0" w:color="auto"/>
          </w:divBdr>
        </w:div>
        <w:div w:id="2024704902">
          <w:marLeft w:val="0"/>
          <w:marRight w:val="0"/>
          <w:marTop w:val="0"/>
          <w:marBottom w:val="0"/>
          <w:divBdr>
            <w:top w:val="none" w:sz="0" w:space="0" w:color="auto"/>
            <w:left w:val="none" w:sz="0" w:space="0" w:color="auto"/>
            <w:bottom w:val="none" w:sz="0" w:space="0" w:color="auto"/>
            <w:right w:val="none" w:sz="0" w:space="0" w:color="auto"/>
          </w:divBdr>
        </w:div>
        <w:div w:id="2024704903">
          <w:marLeft w:val="0"/>
          <w:marRight w:val="0"/>
          <w:marTop w:val="0"/>
          <w:marBottom w:val="0"/>
          <w:divBdr>
            <w:top w:val="none" w:sz="0" w:space="0" w:color="auto"/>
            <w:left w:val="none" w:sz="0" w:space="0" w:color="auto"/>
            <w:bottom w:val="none" w:sz="0" w:space="0" w:color="auto"/>
            <w:right w:val="none" w:sz="0" w:space="0" w:color="auto"/>
          </w:divBdr>
        </w:div>
        <w:div w:id="2024704904">
          <w:marLeft w:val="0"/>
          <w:marRight w:val="0"/>
          <w:marTop w:val="0"/>
          <w:marBottom w:val="0"/>
          <w:divBdr>
            <w:top w:val="none" w:sz="0" w:space="0" w:color="auto"/>
            <w:left w:val="none" w:sz="0" w:space="0" w:color="auto"/>
            <w:bottom w:val="none" w:sz="0" w:space="0" w:color="auto"/>
            <w:right w:val="none" w:sz="0" w:space="0" w:color="auto"/>
          </w:divBdr>
        </w:div>
        <w:div w:id="2024704905">
          <w:marLeft w:val="0"/>
          <w:marRight w:val="0"/>
          <w:marTop w:val="0"/>
          <w:marBottom w:val="0"/>
          <w:divBdr>
            <w:top w:val="none" w:sz="0" w:space="0" w:color="auto"/>
            <w:left w:val="none" w:sz="0" w:space="0" w:color="auto"/>
            <w:bottom w:val="none" w:sz="0" w:space="0" w:color="auto"/>
            <w:right w:val="none" w:sz="0" w:space="0" w:color="auto"/>
          </w:divBdr>
        </w:div>
        <w:div w:id="2024704906">
          <w:marLeft w:val="0"/>
          <w:marRight w:val="0"/>
          <w:marTop w:val="0"/>
          <w:marBottom w:val="0"/>
          <w:divBdr>
            <w:top w:val="none" w:sz="0" w:space="0" w:color="auto"/>
            <w:left w:val="none" w:sz="0" w:space="0" w:color="auto"/>
            <w:bottom w:val="none" w:sz="0" w:space="0" w:color="auto"/>
            <w:right w:val="none" w:sz="0" w:space="0" w:color="auto"/>
          </w:divBdr>
        </w:div>
        <w:div w:id="2024704907">
          <w:marLeft w:val="0"/>
          <w:marRight w:val="0"/>
          <w:marTop w:val="0"/>
          <w:marBottom w:val="0"/>
          <w:divBdr>
            <w:top w:val="none" w:sz="0" w:space="0" w:color="auto"/>
            <w:left w:val="none" w:sz="0" w:space="0" w:color="auto"/>
            <w:bottom w:val="none" w:sz="0" w:space="0" w:color="auto"/>
            <w:right w:val="none" w:sz="0" w:space="0" w:color="auto"/>
          </w:divBdr>
        </w:div>
        <w:div w:id="2024704908">
          <w:marLeft w:val="0"/>
          <w:marRight w:val="0"/>
          <w:marTop w:val="0"/>
          <w:marBottom w:val="0"/>
          <w:divBdr>
            <w:top w:val="none" w:sz="0" w:space="0" w:color="auto"/>
            <w:left w:val="none" w:sz="0" w:space="0" w:color="auto"/>
            <w:bottom w:val="none" w:sz="0" w:space="0" w:color="auto"/>
            <w:right w:val="none" w:sz="0" w:space="0" w:color="auto"/>
          </w:divBdr>
        </w:div>
        <w:div w:id="2024704909">
          <w:marLeft w:val="0"/>
          <w:marRight w:val="0"/>
          <w:marTop w:val="0"/>
          <w:marBottom w:val="0"/>
          <w:divBdr>
            <w:top w:val="none" w:sz="0" w:space="0" w:color="auto"/>
            <w:left w:val="none" w:sz="0" w:space="0" w:color="auto"/>
            <w:bottom w:val="none" w:sz="0" w:space="0" w:color="auto"/>
            <w:right w:val="none" w:sz="0" w:space="0" w:color="auto"/>
          </w:divBdr>
        </w:div>
        <w:div w:id="2024704910">
          <w:marLeft w:val="0"/>
          <w:marRight w:val="0"/>
          <w:marTop w:val="0"/>
          <w:marBottom w:val="0"/>
          <w:divBdr>
            <w:top w:val="none" w:sz="0" w:space="0" w:color="auto"/>
            <w:left w:val="none" w:sz="0" w:space="0" w:color="auto"/>
            <w:bottom w:val="none" w:sz="0" w:space="0" w:color="auto"/>
            <w:right w:val="none" w:sz="0" w:space="0" w:color="auto"/>
          </w:divBdr>
        </w:div>
        <w:div w:id="2024704912">
          <w:marLeft w:val="0"/>
          <w:marRight w:val="0"/>
          <w:marTop w:val="0"/>
          <w:marBottom w:val="0"/>
          <w:divBdr>
            <w:top w:val="none" w:sz="0" w:space="0" w:color="auto"/>
            <w:left w:val="none" w:sz="0" w:space="0" w:color="auto"/>
            <w:bottom w:val="none" w:sz="0" w:space="0" w:color="auto"/>
            <w:right w:val="none" w:sz="0" w:space="0" w:color="auto"/>
          </w:divBdr>
        </w:div>
        <w:div w:id="2024704913">
          <w:marLeft w:val="0"/>
          <w:marRight w:val="0"/>
          <w:marTop w:val="0"/>
          <w:marBottom w:val="0"/>
          <w:divBdr>
            <w:top w:val="none" w:sz="0" w:space="0" w:color="auto"/>
            <w:left w:val="none" w:sz="0" w:space="0" w:color="auto"/>
            <w:bottom w:val="none" w:sz="0" w:space="0" w:color="auto"/>
            <w:right w:val="none" w:sz="0" w:space="0" w:color="auto"/>
          </w:divBdr>
        </w:div>
        <w:div w:id="2024704914">
          <w:marLeft w:val="0"/>
          <w:marRight w:val="0"/>
          <w:marTop w:val="0"/>
          <w:marBottom w:val="0"/>
          <w:divBdr>
            <w:top w:val="none" w:sz="0" w:space="0" w:color="auto"/>
            <w:left w:val="none" w:sz="0" w:space="0" w:color="auto"/>
            <w:bottom w:val="none" w:sz="0" w:space="0" w:color="auto"/>
            <w:right w:val="none" w:sz="0" w:space="0" w:color="auto"/>
          </w:divBdr>
        </w:div>
        <w:div w:id="2024704915">
          <w:marLeft w:val="0"/>
          <w:marRight w:val="0"/>
          <w:marTop w:val="0"/>
          <w:marBottom w:val="0"/>
          <w:divBdr>
            <w:top w:val="none" w:sz="0" w:space="0" w:color="auto"/>
            <w:left w:val="none" w:sz="0" w:space="0" w:color="auto"/>
            <w:bottom w:val="none" w:sz="0" w:space="0" w:color="auto"/>
            <w:right w:val="none" w:sz="0" w:space="0" w:color="auto"/>
          </w:divBdr>
        </w:div>
        <w:div w:id="2024704916">
          <w:marLeft w:val="0"/>
          <w:marRight w:val="0"/>
          <w:marTop w:val="0"/>
          <w:marBottom w:val="0"/>
          <w:divBdr>
            <w:top w:val="none" w:sz="0" w:space="0" w:color="auto"/>
            <w:left w:val="none" w:sz="0" w:space="0" w:color="auto"/>
            <w:bottom w:val="none" w:sz="0" w:space="0" w:color="auto"/>
            <w:right w:val="none" w:sz="0" w:space="0" w:color="auto"/>
          </w:divBdr>
        </w:div>
        <w:div w:id="2024704917">
          <w:marLeft w:val="0"/>
          <w:marRight w:val="0"/>
          <w:marTop w:val="0"/>
          <w:marBottom w:val="0"/>
          <w:divBdr>
            <w:top w:val="none" w:sz="0" w:space="0" w:color="auto"/>
            <w:left w:val="none" w:sz="0" w:space="0" w:color="auto"/>
            <w:bottom w:val="none" w:sz="0" w:space="0" w:color="auto"/>
            <w:right w:val="none" w:sz="0" w:space="0" w:color="auto"/>
          </w:divBdr>
        </w:div>
        <w:div w:id="2024704918">
          <w:marLeft w:val="0"/>
          <w:marRight w:val="0"/>
          <w:marTop w:val="0"/>
          <w:marBottom w:val="0"/>
          <w:divBdr>
            <w:top w:val="none" w:sz="0" w:space="0" w:color="auto"/>
            <w:left w:val="none" w:sz="0" w:space="0" w:color="auto"/>
            <w:bottom w:val="none" w:sz="0" w:space="0" w:color="auto"/>
            <w:right w:val="none" w:sz="0" w:space="0" w:color="auto"/>
          </w:divBdr>
        </w:div>
        <w:div w:id="2024704919">
          <w:marLeft w:val="0"/>
          <w:marRight w:val="0"/>
          <w:marTop w:val="0"/>
          <w:marBottom w:val="0"/>
          <w:divBdr>
            <w:top w:val="none" w:sz="0" w:space="0" w:color="auto"/>
            <w:left w:val="none" w:sz="0" w:space="0" w:color="auto"/>
            <w:bottom w:val="none" w:sz="0" w:space="0" w:color="auto"/>
            <w:right w:val="none" w:sz="0" w:space="0" w:color="auto"/>
          </w:divBdr>
        </w:div>
        <w:div w:id="2024704920">
          <w:marLeft w:val="0"/>
          <w:marRight w:val="0"/>
          <w:marTop w:val="0"/>
          <w:marBottom w:val="0"/>
          <w:divBdr>
            <w:top w:val="none" w:sz="0" w:space="0" w:color="auto"/>
            <w:left w:val="none" w:sz="0" w:space="0" w:color="auto"/>
            <w:bottom w:val="none" w:sz="0" w:space="0" w:color="auto"/>
            <w:right w:val="none" w:sz="0" w:space="0" w:color="auto"/>
          </w:divBdr>
        </w:div>
        <w:div w:id="2024704921">
          <w:marLeft w:val="0"/>
          <w:marRight w:val="0"/>
          <w:marTop w:val="0"/>
          <w:marBottom w:val="0"/>
          <w:divBdr>
            <w:top w:val="none" w:sz="0" w:space="0" w:color="auto"/>
            <w:left w:val="none" w:sz="0" w:space="0" w:color="auto"/>
            <w:bottom w:val="none" w:sz="0" w:space="0" w:color="auto"/>
            <w:right w:val="none" w:sz="0" w:space="0" w:color="auto"/>
          </w:divBdr>
        </w:div>
        <w:div w:id="2024704922">
          <w:marLeft w:val="0"/>
          <w:marRight w:val="0"/>
          <w:marTop w:val="0"/>
          <w:marBottom w:val="0"/>
          <w:divBdr>
            <w:top w:val="none" w:sz="0" w:space="0" w:color="auto"/>
            <w:left w:val="none" w:sz="0" w:space="0" w:color="auto"/>
            <w:bottom w:val="none" w:sz="0" w:space="0" w:color="auto"/>
            <w:right w:val="none" w:sz="0" w:space="0" w:color="auto"/>
          </w:divBdr>
        </w:div>
        <w:div w:id="2024704923">
          <w:marLeft w:val="0"/>
          <w:marRight w:val="0"/>
          <w:marTop w:val="0"/>
          <w:marBottom w:val="0"/>
          <w:divBdr>
            <w:top w:val="none" w:sz="0" w:space="0" w:color="auto"/>
            <w:left w:val="none" w:sz="0" w:space="0" w:color="auto"/>
            <w:bottom w:val="none" w:sz="0" w:space="0" w:color="auto"/>
            <w:right w:val="none" w:sz="0" w:space="0" w:color="auto"/>
          </w:divBdr>
        </w:div>
        <w:div w:id="2024704924">
          <w:marLeft w:val="0"/>
          <w:marRight w:val="0"/>
          <w:marTop w:val="0"/>
          <w:marBottom w:val="0"/>
          <w:divBdr>
            <w:top w:val="none" w:sz="0" w:space="0" w:color="auto"/>
            <w:left w:val="none" w:sz="0" w:space="0" w:color="auto"/>
            <w:bottom w:val="none" w:sz="0" w:space="0" w:color="auto"/>
            <w:right w:val="none" w:sz="0" w:space="0" w:color="auto"/>
          </w:divBdr>
        </w:div>
        <w:div w:id="2024704925">
          <w:marLeft w:val="0"/>
          <w:marRight w:val="0"/>
          <w:marTop w:val="0"/>
          <w:marBottom w:val="0"/>
          <w:divBdr>
            <w:top w:val="none" w:sz="0" w:space="0" w:color="auto"/>
            <w:left w:val="none" w:sz="0" w:space="0" w:color="auto"/>
            <w:bottom w:val="none" w:sz="0" w:space="0" w:color="auto"/>
            <w:right w:val="none" w:sz="0" w:space="0" w:color="auto"/>
          </w:divBdr>
        </w:div>
        <w:div w:id="2024704926">
          <w:marLeft w:val="0"/>
          <w:marRight w:val="0"/>
          <w:marTop w:val="0"/>
          <w:marBottom w:val="0"/>
          <w:divBdr>
            <w:top w:val="none" w:sz="0" w:space="0" w:color="auto"/>
            <w:left w:val="none" w:sz="0" w:space="0" w:color="auto"/>
            <w:bottom w:val="none" w:sz="0" w:space="0" w:color="auto"/>
            <w:right w:val="none" w:sz="0" w:space="0" w:color="auto"/>
          </w:divBdr>
        </w:div>
        <w:div w:id="2024704927">
          <w:marLeft w:val="0"/>
          <w:marRight w:val="0"/>
          <w:marTop w:val="0"/>
          <w:marBottom w:val="0"/>
          <w:divBdr>
            <w:top w:val="none" w:sz="0" w:space="0" w:color="auto"/>
            <w:left w:val="none" w:sz="0" w:space="0" w:color="auto"/>
            <w:bottom w:val="none" w:sz="0" w:space="0" w:color="auto"/>
            <w:right w:val="none" w:sz="0" w:space="0" w:color="auto"/>
          </w:divBdr>
        </w:div>
        <w:div w:id="2024704928">
          <w:marLeft w:val="0"/>
          <w:marRight w:val="0"/>
          <w:marTop w:val="0"/>
          <w:marBottom w:val="0"/>
          <w:divBdr>
            <w:top w:val="none" w:sz="0" w:space="0" w:color="auto"/>
            <w:left w:val="none" w:sz="0" w:space="0" w:color="auto"/>
            <w:bottom w:val="none" w:sz="0" w:space="0" w:color="auto"/>
            <w:right w:val="none" w:sz="0" w:space="0" w:color="auto"/>
          </w:divBdr>
        </w:div>
        <w:div w:id="2024704929">
          <w:marLeft w:val="0"/>
          <w:marRight w:val="0"/>
          <w:marTop w:val="0"/>
          <w:marBottom w:val="0"/>
          <w:divBdr>
            <w:top w:val="none" w:sz="0" w:space="0" w:color="auto"/>
            <w:left w:val="none" w:sz="0" w:space="0" w:color="auto"/>
            <w:bottom w:val="none" w:sz="0" w:space="0" w:color="auto"/>
            <w:right w:val="none" w:sz="0" w:space="0" w:color="auto"/>
          </w:divBdr>
        </w:div>
        <w:div w:id="2024704930">
          <w:marLeft w:val="0"/>
          <w:marRight w:val="0"/>
          <w:marTop w:val="0"/>
          <w:marBottom w:val="0"/>
          <w:divBdr>
            <w:top w:val="none" w:sz="0" w:space="0" w:color="auto"/>
            <w:left w:val="none" w:sz="0" w:space="0" w:color="auto"/>
            <w:bottom w:val="none" w:sz="0" w:space="0" w:color="auto"/>
            <w:right w:val="none" w:sz="0" w:space="0" w:color="auto"/>
          </w:divBdr>
        </w:div>
        <w:div w:id="2024704931">
          <w:marLeft w:val="0"/>
          <w:marRight w:val="0"/>
          <w:marTop w:val="0"/>
          <w:marBottom w:val="0"/>
          <w:divBdr>
            <w:top w:val="none" w:sz="0" w:space="0" w:color="auto"/>
            <w:left w:val="none" w:sz="0" w:space="0" w:color="auto"/>
            <w:bottom w:val="none" w:sz="0" w:space="0" w:color="auto"/>
            <w:right w:val="none" w:sz="0" w:space="0" w:color="auto"/>
          </w:divBdr>
        </w:div>
        <w:div w:id="2024704932">
          <w:marLeft w:val="0"/>
          <w:marRight w:val="0"/>
          <w:marTop w:val="0"/>
          <w:marBottom w:val="0"/>
          <w:divBdr>
            <w:top w:val="none" w:sz="0" w:space="0" w:color="auto"/>
            <w:left w:val="none" w:sz="0" w:space="0" w:color="auto"/>
            <w:bottom w:val="none" w:sz="0" w:space="0" w:color="auto"/>
            <w:right w:val="none" w:sz="0" w:space="0" w:color="auto"/>
          </w:divBdr>
        </w:div>
        <w:div w:id="2024704934">
          <w:marLeft w:val="0"/>
          <w:marRight w:val="0"/>
          <w:marTop w:val="0"/>
          <w:marBottom w:val="0"/>
          <w:divBdr>
            <w:top w:val="none" w:sz="0" w:space="0" w:color="auto"/>
            <w:left w:val="none" w:sz="0" w:space="0" w:color="auto"/>
            <w:bottom w:val="none" w:sz="0" w:space="0" w:color="auto"/>
            <w:right w:val="none" w:sz="0" w:space="0" w:color="auto"/>
          </w:divBdr>
        </w:div>
        <w:div w:id="2024704935">
          <w:marLeft w:val="0"/>
          <w:marRight w:val="0"/>
          <w:marTop w:val="0"/>
          <w:marBottom w:val="0"/>
          <w:divBdr>
            <w:top w:val="none" w:sz="0" w:space="0" w:color="auto"/>
            <w:left w:val="none" w:sz="0" w:space="0" w:color="auto"/>
            <w:bottom w:val="none" w:sz="0" w:space="0" w:color="auto"/>
            <w:right w:val="none" w:sz="0" w:space="0" w:color="auto"/>
          </w:divBdr>
        </w:div>
        <w:div w:id="2024704936">
          <w:marLeft w:val="0"/>
          <w:marRight w:val="0"/>
          <w:marTop w:val="0"/>
          <w:marBottom w:val="0"/>
          <w:divBdr>
            <w:top w:val="none" w:sz="0" w:space="0" w:color="auto"/>
            <w:left w:val="none" w:sz="0" w:space="0" w:color="auto"/>
            <w:bottom w:val="none" w:sz="0" w:space="0" w:color="auto"/>
            <w:right w:val="none" w:sz="0" w:space="0" w:color="auto"/>
          </w:divBdr>
        </w:div>
        <w:div w:id="2024704937">
          <w:marLeft w:val="0"/>
          <w:marRight w:val="0"/>
          <w:marTop w:val="0"/>
          <w:marBottom w:val="0"/>
          <w:divBdr>
            <w:top w:val="none" w:sz="0" w:space="0" w:color="auto"/>
            <w:left w:val="none" w:sz="0" w:space="0" w:color="auto"/>
            <w:bottom w:val="none" w:sz="0" w:space="0" w:color="auto"/>
            <w:right w:val="none" w:sz="0" w:space="0" w:color="auto"/>
          </w:divBdr>
        </w:div>
        <w:div w:id="2024704938">
          <w:marLeft w:val="0"/>
          <w:marRight w:val="0"/>
          <w:marTop w:val="0"/>
          <w:marBottom w:val="0"/>
          <w:divBdr>
            <w:top w:val="none" w:sz="0" w:space="0" w:color="auto"/>
            <w:left w:val="none" w:sz="0" w:space="0" w:color="auto"/>
            <w:bottom w:val="none" w:sz="0" w:space="0" w:color="auto"/>
            <w:right w:val="none" w:sz="0" w:space="0" w:color="auto"/>
          </w:divBdr>
        </w:div>
        <w:div w:id="2024704939">
          <w:marLeft w:val="0"/>
          <w:marRight w:val="0"/>
          <w:marTop w:val="0"/>
          <w:marBottom w:val="0"/>
          <w:divBdr>
            <w:top w:val="none" w:sz="0" w:space="0" w:color="auto"/>
            <w:left w:val="none" w:sz="0" w:space="0" w:color="auto"/>
            <w:bottom w:val="none" w:sz="0" w:space="0" w:color="auto"/>
            <w:right w:val="none" w:sz="0" w:space="0" w:color="auto"/>
          </w:divBdr>
        </w:div>
        <w:div w:id="2024704940">
          <w:marLeft w:val="0"/>
          <w:marRight w:val="0"/>
          <w:marTop w:val="0"/>
          <w:marBottom w:val="0"/>
          <w:divBdr>
            <w:top w:val="none" w:sz="0" w:space="0" w:color="auto"/>
            <w:left w:val="none" w:sz="0" w:space="0" w:color="auto"/>
            <w:bottom w:val="none" w:sz="0" w:space="0" w:color="auto"/>
            <w:right w:val="none" w:sz="0" w:space="0" w:color="auto"/>
          </w:divBdr>
        </w:div>
        <w:div w:id="2024704942">
          <w:marLeft w:val="0"/>
          <w:marRight w:val="0"/>
          <w:marTop w:val="0"/>
          <w:marBottom w:val="0"/>
          <w:divBdr>
            <w:top w:val="none" w:sz="0" w:space="0" w:color="auto"/>
            <w:left w:val="none" w:sz="0" w:space="0" w:color="auto"/>
            <w:bottom w:val="none" w:sz="0" w:space="0" w:color="auto"/>
            <w:right w:val="none" w:sz="0" w:space="0" w:color="auto"/>
          </w:divBdr>
        </w:div>
        <w:div w:id="2024704943">
          <w:marLeft w:val="0"/>
          <w:marRight w:val="0"/>
          <w:marTop w:val="0"/>
          <w:marBottom w:val="0"/>
          <w:divBdr>
            <w:top w:val="none" w:sz="0" w:space="0" w:color="auto"/>
            <w:left w:val="none" w:sz="0" w:space="0" w:color="auto"/>
            <w:bottom w:val="none" w:sz="0" w:space="0" w:color="auto"/>
            <w:right w:val="none" w:sz="0" w:space="0" w:color="auto"/>
          </w:divBdr>
        </w:div>
        <w:div w:id="2024704944">
          <w:marLeft w:val="0"/>
          <w:marRight w:val="0"/>
          <w:marTop w:val="0"/>
          <w:marBottom w:val="0"/>
          <w:divBdr>
            <w:top w:val="none" w:sz="0" w:space="0" w:color="auto"/>
            <w:left w:val="none" w:sz="0" w:space="0" w:color="auto"/>
            <w:bottom w:val="none" w:sz="0" w:space="0" w:color="auto"/>
            <w:right w:val="none" w:sz="0" w:space="0" w:color="auto"/>
          </w:divBdr>
        </w:div>
        <w:div w:id="2024704945">
          <w:marLeft w:val="0"/>
          <w:marRight w:val="0"/>
          <w:marTop w:val="0"/>
          <w:marBottom w:val="0"/>
          <w:divBdr>
            <w:top w:val="none" w:sz="0" w:space="0" w:color="auto"/>
            <w:left w:val="none" w:sz="0" w:space="0" w:color="auto"/>
            <w:bottom w:val="none" w:sz="0" w:space="0" w:color="auto"/>
            <w:right w:val="none" w:sz="0" w:space="0" w:color="auto"/>
          </w:divBdr>
        </w:div>
        <w:div w:id="2024704946">
          <w:marLeft w:val="0"/>
          <w:marRight w:val="0"/>
          <w:marTop w:val="0"/>
          <w:marBottom w:val="0"/>
          <w:divBdr>
            <w:top w:val="none" w:sz="0" w:space="0" w:color="auto"/>
            <w:left w:val="none" w:sz="0" w:space="0" w:color="auto"/>
            <w:bottom w:val="none" w:sz="0" w:space="0" w:color="auto"/>
            <w:right w:val="none" w:sz="0" w:space="0" w:color="auto"/>
          </w:divBdr>
        </w:div>
        <w:div w:id="2024704947">
          <w:marLeft w:val="0"/>
          <w:marRight w:val="0"/>
          <w:marTop w:val="0"/>
          <w:marBottom w:val="0"/>
          <w:divBdr>
            <w:top w:val="none" w:sz="0" w:space="0" w:color="auto"/>
            <w:left w:val="none" w:sz="0" w:space="0" w:color="auto"/>
            <w:bottom w:val="none" w:sz="0" w:space="0" w:color="auto"/>
            <w:right w:val="none" w:sz="0" w:space="0" w:color="auto"/>
          </w:divBdr>
        </w:div>
        <w:div w:id="2024704948">
          <w:marLeft w:val="0"/>
          <w:marRight w:val="0"/>
          <w:marTop w:val="0"/>
          <w:marBottom w:val="0"/>
          <w:divBdr>
            <w:top w:val="none" w:sz="0" w:space="0" w:color="auto"/>
            <w:left w:val="none" w:sz="0" w:space="0" w:color="auto"/>
            <w:bottom w:val="none" w:sz="0" w:space="0" w:color="auto"/>
            <w:right w:val="none" w:sz="0" w:space="0" w:color="auto"/>
          </w:divBdr>
        </w:div>
        <w:div w:id="2024704949">
          <w:marLeft w:val="0"/>
          <w:marRight w:val="0"/>
          <w:marTop w:val="0"/>
          <w:marBottom w:val="0"/>
          <w:divBdr>
            <w:top w:val="none" w:sz="0" w:space="0" w:color="auto"/>
            <w:left w:val="none" w:sz="0" w:space="0" w:color="auto"/>
            <w:bottom w:val="none" w:sz="0" w:space="0" w:color="auto"/>
            <w:right w:val="none" w:sz="0" w:space="0" w:color="auto"/>
          </w:divBdr>
        </w:div>
        <w:div w:id="2024704950">
          <w:marLeft w:val="0"/>
          <w:marRight w:val="0"/>
          <w:marTop w:val="0"/>
          <w:marBottom w:val="0"/>
          <w:divBdr>
            <w:top w:val="none" w:sz="0" w:space="0" w:color="auto"/>
            <w:left w:val="none" w:sz="0" w:space="0" w:color="auto"/>
            <w:bottom w:val="none" w:sz="0" w:space="0" w:color="auto"/>
            <w:right w:val="none" w:sz="0" w:space="0" w:color="auto"/>
          </w:divBdr>
        </w:div>
        <w:div w:id="2024704951">
          <w:marLeft w:val="0"/>
          <w:marRight w:val="0"/>
          <w:marTop w:val="0"/>
          <w:marBottom w:val="0"/>
          <w:divBdr>
            <w:top w:val="none" w:sz="0" w:space="0" w:color="auto"/>
            <w:left w:val="none" w:sz="0" w:space="0" w:color="auto"/>
            <w:bottom w:val="none" w:sz="0" w:space="0" w:color="auto"/>
            <w:right w:val="none" w:sz="0" w:space="0" w:color="auto"/>
          </w:divBdr>
        </w:div>
        <w:div w:id="2024704952">
          <w:marLeft w:val="0"/>
          <w:marRight w:val="0"/>
          <w:marTop w:val="0"/>
          <w:marBottom w:val="0"/>
          <w:divBdr>
            <w:top w:val="none" w:sz="0" w:space="0" w:color="auto"/>
            <w:left w:val="none" w:sz="0" w:space="0" w:color="auto"/>
            <w:bottom w:val="none" w:sz="0" w:space="0" w:color="auto"/>
            <w:right w:val="none" w:sz="0" w:space="0" w:color="auto"/>
          </w:divBdr>
        </w:div>
        <w:div w:id="2024704953">
          <w:marLeft w:val="0"/>
          <w:marRight w:val="0"/>
          <w:marTop w:val="0"/>
          <w:marBottom w:val="0"/>
          <w:divBdr>
            <w:top w:val="none" w:sz="0" w:space="0" w:color="auto"/>
            <w:left w:val="none" w:sz="0" w:space="0" w:color="auto"/>
            <w:bottom w:val="none" w:sz="0" w:space="0" w:color="auto"/>
            <w:right w:val="none" w:sz="0" w:space="0" w:color="auto"/>
          </w:divBdr>
        </w:div>
        <w:div w:id="2024704954">
          <w:marLeft w:val="0"/>
          <w:marRight w:val="0"/>
          <w:marTop w:val="0"/>
          <w:marBottom w:val="0"/>
          <w:divBdr>
            <w:top w:val="none" w:sz="0" w:space="0" w:color="auto"/>
            <w:left w:val="none" w:sz="0" w:space="0" w:color="auto"/>
            <w:bottom w:val="none" w:sz="0" w:space="0" w:color="auto"/>
            <w:right w:val="none" w:sz="0" w:space="0" w:color="auto"/>
          </w:divBdr>
        </w:div>
        <w:div w:id="2024704955">
          <w:marLeft w:val="0"/>
          <w:marRight w:val="0"/>
          <w:marTop w:val="0"/>
          <w:marBottom w:val="0"/>
          <w:divBdr>
            <w:top w:val="none" w:sz="0" w:space="0" w:color="auto"/>
            <w:left w:val="none" w:sz="0" w:space="0" w:color="auto"/>
            <w:bottom w:val="none" w:sz="0" w:space="0" w:color="auto"/>
            <w:right w:val="none" w:sz="0" w:space="0" w:color="auto"/>
          </w:divBdr>
        </w:div>
        <w:div w:id="2024704956">
          <w:marLeft w:val="0"/>
          <w:marRight w:val="0"/>
          <w:marTop w:val="0"/>
          <w:marBottom w:val="0"/>
          <w:divBdr>
            <w:top w:val="none" w:sz="0" w:space="0" w:color="auto"/>
            <w:left w:val="none" w:sz="0" w:space="0" w:color="auto"/>
            <w:bottom w:val="none" w:sz="0" w:space="0" w:color="auto"/>
            <w:right w:val="none" w:sz="0" w:space="0" w:color="auto"/>
          </w:divBdr>
        </w:div>
        <w:div w:id="2024704957">
          <w:marLeft w:val="0"/>
          <w:marRight w:val="0"/>
          <w:marTop w:val="0"/>
          <w:marBottom w:val="0"/>
          <w:divBdr>
            <w:top w:val="none" w:sz="0" w:space="0" w:color="auto"/>
            <w:left w:val="none" w:sz="0" w:space="0" w:color="auto"/>
            <w:bottom w:val="none" w:sz="0" w:space="0" w:color="auto"/>
            <w:right w:val="none" w:sz="0" w:space="0" w:color="auto"/>
          </w:divBdr>
        </w:div>
        <w:div w:id="2024704958">
          <w:marLeft w:val="0"/>
          <w:marRight w:val="0"/>
          <w:marTop w:val="0"/>
          <w:marBottom w:val="0"/>
          <w:divBdr>
            <w:top w:val="none" w:sz="0" w:space="0" w:color="auto"/>
            <w:left w:val="none" w:sz="0" w:space="0" w:color="auto"/>
            <w:bottom w:val="none" w:sz="0" w:space="0" w:color="auto"/>
            <w:right w:val="none" w:sz="0" w:space="0" w:color="auto"/>
          </w:divBdr>
        </w:div>
        <w:div w:id="2024704959">
          <w:marLeft w:val="0"/>
          <w:marRight w:val="0"/>
          <w:marTop w:val="0"/>
          <w:marBottom w:val="0"/>
          <w:divBdr>
            <w:top w:val="none" w:sz="0" w:space="0" w:color="auto"/>
            <w:left w:val="none" w:sz="0" w:space="0" w:color="auto"/>
            <w:bottom w:val="none" w:sz="0" w:space="0" w:color="auto"/>
            <w:right w:val="none" w:sz="0" w:space="0" w:color="auto"/>
          </w:divBdr>
        </w:div>
        <w:div w:id="2024704960">
          <w:marLeft w:val="0"/>
          <w:marRight w:val="0"/>
          <w:marTop w:val="0"/>
          <w:marBottom w:val="0"/>
          <w:divBdr>
            <w:top w:val="none" w:sz="0" w:space="0" w:color="auto"/>
            <w:left w:val="none" w:sz="0" w:space="0" w:color="auto"/>
            <w:bottom w:val="none" w:sz="0" w:space="0" w:color="auto"/>
            <w:right w:val="none" w:sz="0" w:space="0" w:color="auto"/>
          </w:divBdr>
        </w:div>
        <w:div w:id="2024704961">
          <w:marLeft w:val="0"/>
          <w:marRight w:val="0"/>
          <w:marTop w:val="0"/>
          <w:marBottom w:val="0"/>
          <w:divBdr>
            <w:top w:val="none" w:sz="0" w:space="0" w:color="auto"/>
            <w:left w:val="none" w:sz="0" w:space="0" w:color="auto"/>
            <w:bottom w:val="none" w:sz="0" w:space="0" w:color="auto"/>
            <w:right w:val="none" w:sz="0" w:space="0" w:color="auto"/>
          </w:divBdr>
        </w:div>
        <w:div w:id="2024704962">
          <w:marLeft w:val="0"/>
          <w:marRight w:val="0"/>
          <w:marTop w:val="0"/>
          <w:marBottom w:val="0"/>
          <w:divBdr>
            <w:top w:val="none" w:sz="0" w:space="0" w:color="auto"/>
            <w:left w:val="none" w:sz="0" w:space="0" w:color="auto"/>
            <w:bottom w:val="none" w:sz="0" w:space="0" w:color="auto"/>
            <w:right w:val="none" w:sz="0" w:space="0" w:color="auto"/>
          </w:divBdr>
        </w:div>
        <w:div w:id="2024704963">
          <w:marLeft w:val="0"/>
          <w:marRight w:val="0"/>
          <w:marTop w:val="0"/>
          <w:marBottom w:val="0"/>
          <w:divBdr>
            <w:top w:val="none" w:sz="0" w:space="0" w:color="auto"/>
            <w:left w:val="none" w:sz="0" w:space="0" w:color="auto"/>
            <w:bottom w:val="none" w:sz="0" w:space="0" w:color="auto"/>
            <w:right w:val="none" w:sz="0" w:space="0" w:color="auto"/>
          </w:divBdr>
        </w:div>
        <w:div w:id="2024704964">
          <w:marLeft w:val="0"/>
          <w:marRight w:val="0"/>
          <w:marTop w:val="0"/>
          <w:marBottom w:val="0"/>
          <w:divBdr>
            <w:top w:val="none" w:sz="0" w:space="0" w:color="auto"/>
            <w:left w:val="none" w:sz="0" w:space="0" w:color="auto"/>
            <w:bottom w:val="none" w:sz="0" w:space="0" w:color="auto"/>
            <w:right w:val="none" w:sz="0" w:space="0" w:color="auto"/>
          </w:divBdr>
        </w:div>
        <w:div w:id="2024704965">
          <w:marLeft w:val="0"/>
          <w:marRight w:val="0"/>
          <w:marTop w:val="0"/>
          <w:marBottom w:val="0"/>
          <w:divBdr>
            <w:top w:val="none" w:sz="0" w:space="0" w:color="auto"/>
            <w:left w:val="none" w:sz="0" w:space="0" w:color="auto"/>
            <w:bottom w:val="none" w:sz="0" w:space="0" w:color="auto"/>
            <w:right w:val="none" w:sz="0" w:space="0" w:color="auto"/>
          </w:divBdr>
        </w:div>
        <w:div w:id="2024704966">
          <w:marLeft w:val="0"/>
          <w:marRight w:val="0"/>
          <w:marTop w:val="0"/>
          <w:marBottom w:val="0"/>
          <w:divBdr>
            <w:top w:val="none" w:sz="0" w:space="0" w:color="auto"/>
            <w:left w:val="none" w:sz="0" w:space="0" w:color="auto"/>
            <w:bottom w:val="none" w:sz="0" w:space="0" w:color="auto"/>
            <w:right w:val="none" w:sz="0" w:space="0" w:color="auto"/>
          </w:divBdr>
        </w:div>
        <w:div w:id="2024704967">
          <w:marLeft w:val="0"/>
          <w:marRight w:val="0"/>
          <w:marTop w:val="0"/>
          <w:marBottom w:val="0"/>
          <w:divBdr>
            <w:top w:val="none" w:sz="0" w:space="0" w:color="auto"/>
            <w:left w:val="none" w:sz="0" w:space="0" w:color="auto"/>
            <w:bottom w:val="none" w:sz="0" w:space="0" w:color="auto"/>
            <w:right w:val="none" w:sz="0" w:space="0" w:color="auto"/>
          </w:divBdr>
        </w:div>
        <w:div w:id="2024704968">
          <w:marLeft w:val="0"/>
          <w:marRight w:val="0"/>
          <w:marTop w:val="0"/>
          <w:marBottom w:val="0"/>
          <w:divBdr>
            <w:top w:val="none" w:sz="0" w:space="0" w:color="auto"/>
            <w:left w:val="none" w:sz="0" w:space="0" w:color="auto"/>
            <w:bottom w:val="none" w:sz="0" w:space="0" w:color="auto"/>
            <w:right w:val="none" w:sz="0" w:space="0" w:color="auto"/>
          </w:divBdr>
        </w:div>
        <w:div w:id="2024704969">
          <w:marLeft w:val="0"/>
          <w:marRight w:val="0"/>
          <w:marTop w:val="0"/>
          <w:marBottom w:val="0"/>
          <w:divBdr>
            <w:top w:val="none" w:sz="0" w:space="0" w:color="auto"/>
            <w:left w:val="none" w:sz="0" w:space="0" w:color="auto"/>
            <w:bottom w:val="none" w:sz="0" w:space="0" w:color="auto"/>
            <w:right w:val="none" w:sz="0" w:space="0" w:color="auto"/>
          </w:divBdr>
        </w:div>
        <w:div w:id="2024704970">
          <w:marLeft w:val="0"/>
          <w:marRight w:val="0"/>
          <w:marTop w:val="0"/>
          <w:marBottom w:val="0"/>
          <w:divBdr>
            <w:top w:val="none" w:sz="0" w:space="0" w:color="auto"/>
            <w:left w:val="none" w:sz="0" w:space="0" w:color="auto"/>
            <w:bottom w:val="none" w:sz="0" w:space="0" w:color="auto"/>
            <w:right w:val="none" w:sz="0" w:space="0" w:color="auto"/>
          </w:divBdr>
        </w:div>
        <w:div w:id="2024704971">
          <w:marLeft w:val="0"/>
          <w:marRight w:val="0"/>
          <w:marTop w:val="0"/>
          <w:marBottom w:val="0"/>
          <w:divBdr>
            <w:top w:val="none" w:sz="0" w:space="0" w:color="auto"/>
            <w:left w:val="none" w:sz="0" w:space="0" w:color="auto"/>
            <w:bottom w:val="none" w:sz="0" w:space="0" w:color="auto"/>
            <w:right w:val="none" w:sz="0" w:space="0" w:color="auto"/>
          </w:divBdr>
        </w:div>
        <w:div w:id="2024704972">
          <w:marLeft w:val="0"/>
          <w:marRight w:val="0"/>
          <w:marTop w:val="0"/>
          <w:marBottom w:val="0"/>
          <w:divBdr>
            <w:top w:val="none" w:sz="0" w:space="0" w:color="auto"/>
            <w:left w:val="none" w:sz="0" w:space="0" w:color="auto"/>
            <w:bottom w:val="none" w:sz="0" w:space="0" w:color="auto"/>
            <w:right w:val="none" w:sz="0" w:space="0" w:color="auto"/>
          </w:divBdr>
        </w:div>
        <w:div w:id="2024704973">
          <w:marLeft w:val="0"/>
          <w:marRight w:val="0"/>
          <w:marTop w:val="0"/>
          <w:marBottom w:val="0"/>
          <w:divBdr>
            <w:top w:val="none" w:sz="0" w:space="0" w:color="auto"/>
            <w:left w:val="none" w:sz="0" w:space="0" w:color="auto"/>
            <w:bottom w:val="none" w:sz="0" w:space="0" w:color="auto"/>
            <w:right w:val="none" w:sz="0" w:space="0" w:color="auto"/>
          </w:divBdr>
        </w:div>
        <w:div w:id="2024704975">
          <w:marLeft w:val="0"/>
          <w:marRight w:val="0"/>
          <w:marTop w:val="0"/>
          <w:marBottom w:val="0"/>
          <w:divBdr>
            <w:top w:val="none" w:sz="0" w:space="0" w:color="auto"/>
            <w:left w:val="none" w:sz="0" w:space="0" w:color="auto"/>
            <w:bottom w:val="none" w:sz="0" w:space="0" w:color="auto"/>
            <w:right w:val="none" w:sz="0" w:space="0" w:color="auto"/>
          </w:divBdr>
        </w:div>
        <w:div w:id="2024704976">
          <w:marLeft w:val="0"/>
          <w:marRight w:val="0"/>
          <w:marTop w:val="0"/>
          <w:marBottom w:val="0"/>
          <w:divBdr>
            <w:top w:val="none" w:sz="0" w:space="0" w:color="auto"/>
            <w:left w:val="none" w:sz="0" w:space="0" w:color="auto"/>
            <w:bottom w:val="none" w:sz="0" w:space="0" w:color="auto"/>
            <w:right w:val="none" w:sz="0" w:space="0" w:color="auto"/>
          </w:divBdr>
        </w:div>
        <w:div w:id="2024704977">
          <w:marLeft w:val="0"/>
          <w:marRight w:val="0"/>
          <w:marTop w:val="0"/>
          <w:marBottom w:val="0"/>
          <w:divBdr>
            <w:top w:val="none" w:sz="0" w:space="0" w:color="auto"/>
            <w:left w:val="none" w:sz="0" w:space="0" w:color="auto"/>
            <w:bottom w:val="none" w:sz="0" w:space="0" w:color="auto"/>
            <w:right w:val="none" w:sz="0" w:space="0" w:color="auto"/>
          </w:divBdr>
        </w:div>
        <w:div w:id="2024704978">
          <w:marLeft w:val="0"/>
          <w:marRight w:val="0"/>
          <w:marTop w:val="0"/>
          <w:marBottom w:val="0"/>
          <w:divBdr>
            <w:top w:val="none" w:sz="0" w:space="0" w:color="auto"/>
            <w:left w:val="none" w:sz="0" w:space="0" w:color="auto"/>
            <w:bottom w:val="none" w:sz="0" w:space="0" w:color="auto"/>
            <w:right w:val="none" w:sz="0" w:space="0" w:color="auto"/>
          </w:divBdr>
        </w:div>
        <w:div w:id="2024704979">
          <w:marLeft w:val="0"/>
          <w:marRight w:val="0"/>
          <w:marTop w:val="0"/>
          <w:marBottom w:val="0"/>
          <w:divBdr>
            <w:top w:val="none" w:sz="0" w:space="0" w:color="auto"/>
            <w:left w:val="none" w:sz="0" w:space="0" w:color="auto"/>
            <w:bottom w:val="none" w:sz="0" w:space="0" w:color="auto"/>
            <w:right w:val="none" w:sz="0" w:space="0" w:color="auto"/>
          </w:divBdr>
        </w:div>
        <w:div w:id="2024704980">
          <w:marLeft w:val="0"/>
          <w:marRight w:val="0"/>
          <w:marTop w:val="0"/>
          <w:marBottom w:val="0"/>
          <w:divBdr>
            <w:top w:val="none" w:sz="0" w:space="0" w:color="auto"/>
            <w:left w:val="none" w:sz="0" w:space="0" w:color="auto"/>
            <w:bottom w:val="none" w:sz="0" w:space="0" w:color="auto"/>
            <w:right w:val="none" w:sz="0" w:space="0" w:color="auto"/>
          </w:divBdr>
        </w:div>
        <w:div w:id="2024704981">
          <w:marLeft w:val="0"/>
          <w:marRight w:val="0"/>
          <w:marTop w:val="0"/>
          <w:marBottom w:val="0"/>
          <w:divBdr>
            <w:top w:val="none" w:sz="0" w:space="0" w:color="auto"/>
            <w:left w:val="none" w:sz="0" w:space="0" w:color="auto"/>
            <w:bottom w:val="none" w:sz="0" w:space="0" w:color="auto"/>
            <w:right w:val="none" w:sz="0" w:space="0" w:color="auto"/>
          </w:divBdr>
        </w:div>
        <w:div w:id="2024704982">
          <w:marLeft w:val="0"/>
          <w:marRight w:val="0"/>
          <w:marTop w:val="0"/>
          <w:marBottom w:val="0"/>
          <w:divBdr>
            <w:top w:val="none" w:sz="0" w:space="0" w:color="auto"/>
            <w:left w:val="none" w:sz="0" w:space="0" w:color="auto"/>
            <w:bottom w:val="none" w:sz="0" w:space="0" w:color="auto"/>
            <w:right w:val="none" w:sz="0" w:space="0" w:color="auto"/>
          </w:divBdr>
        </w:div>
        <w:div w:id="2024704983">
          <w:marLeft w:val="0"/>
          <w:marRight w:val="0"/>
          <w:marTop w:val="0"/>
          <w:marBottom w:val="0"/>
          <w:divBdr>
            <w:top w:val="none" w:sz="0" w:space="0" w:color="auto"/>
            <w:left w:val="none" w:sz="0" w:space="0" w:color="auto"/>
            <w:bottom w:val="none" w:sz="0" w:space="0" w:color="auto"/>
            <w:right w:val="none" w:sz="0" w:space="0" w:color="auto"/>
          </w:divBdr>
        </w:div>
        <w:div w:id="2024704984">
          <w:marLeft w:val="0"/>
          <w:marRight w:val="0"/>
          <w:marTop w:val="0"/>
          <w:marBottom w:val="0"/>
          <w:divBdr>
            <w:top w:val="none" w:sz="0" w:space="0" w:color="auto"/>
            <w:left w:val="none" w:sz="0" w:space="0" w:color="auto"/>
            <w:bottom w:val="none" w:sz="0" w:space="0" w:color="auto"/>
            <w:right w:val="none" w:sz="0" w:space="0" w:color="auto"/>
          </w:divBdr>
        </w:div>
        <w:div w:id="2024704985">
          <w:marLeft w:val="0"/>
          <w:marRight w:val="0"/>
          <w:marTop w:val="0"/>
          <w:marBottom w:val="0"/>
          <w:divBdr>
            <w:top w:val="none" w:sz="0" w:space="0" w:color="auto"/>
            <w:left w:val="none" w:sz="0" w:space="0" w:color="auto"/>
            <w:bottom w:val="none" w:sz="0" w:space="0" w:color="auto"/>
            <w:right w:val="none" w:sz="0" w:space="0" w:color="auto"/>
          </w:divBdr>
        </w:div>
        <w:div w:id="2024704986">
          <w:marLeft w:val="0"/>
          <w:marRight w:val="0"/>
          <w:marTop w:val="0"/>
          <w:marBottom w:val="0"/>
          <w:divBdr>
            <w:top w:val="none" w:sz="0" w:space="0" w:color="auto"/>
            <w:left w:val="none" w:sz="0" w:space="0" w:color="auto"/>
            <w:bottom w:val="none" w:sz="0" w:space="0" w:color="auto"/>
            <w:right w:val="none" w:sz="0" w:space="0" w:color="auto"/>
          </w:divBdr>
        </w:div>
        <w:div w:id="2024704987">
          <w:marLeft w:val="0"/>
          <w:marRight w:val="0"/>
          <w:marTop w:val="0"/>
          <w:marBottom w:val="0"/>
          <w:divBdr>
            <w:top w:val="none" w:sz="0" w:space="0" w:color="auto"/>
            <w:left w:val="none" w:sz="0" w:space="0" w:color="auto"/>
            <w:bottom w:val="none" w:sz="0" w:space="0" w:color="auto"/>
            <w:right w:val="none" w:sz="0" w:space="0" w:color="auto"/>
          </w:divBdr>
        </w:div>
        <w:div w:id="2024704989">
          <w:marLeft w:val="0"/>
          <w:marRight w:val="0"/>
          <w:marTop w:val="0"/>
          <w:marBottom w:val="0"/>
          <w:divBdr>
            <w:top w:val="none" w:sz="0" w:space="0" w:color="auto"/>
            <w:left w:val="none" w:sz="0" w:space="0" w:color="auto"/>
            <w:bottom w:val="none" w:sz="0" w:space="0" w:color="auto"/>
            <w:right w:val="none" w:sz="0" w:space="0" w:color="auto"/>
          </w:divBdr>
        </w:div>
        <w:div w:id="2024704990">
          <w:marLeft w:val="0"/>
          <w:marRight w:val="0"/>
          <w:marTop w:val="0"/>
          <w:marBottom w:val="0"/>
          <w:divBdr>
            <w:top w:val="none" w:sz="0" w:space="0" w:color="auto"/>
            <w:left w:val="none" w:sz="0" w:space="0" w:color="auto"/>
            <w:bottom w:val="none" w:sz="0" w:space="0" w:color="auto"/>
            <w:right w:val="none" w:sz="0" w:space="0" w:color="auto"/>
          </w:divBdr>
        </w:div>
        <w:div w:id="2024704991">
          <w:marLeft w:val="0"/>
          <w:marRight w:val="0"/>
          <w:marTop w:val="0"/>
          <w:marBottom w:val="0"/>
          <w:divBdr>
            <w:top w:val="none" w:sz="0" w:space="0" w:color="auto"/>
            <w:left w:val="none" w:sz="0" w:space="0" w:color="auto"/>
            <w:bottom w:val="none" w:sz="0" w:space="0" w:color="auto"/>
            <w:right w:val="none" w:sz="0" w:space="0" w:color="auto"/>
          </w:divBdr>
        </w:div>
        <w:div w:id="2024704992">
          <w:marLeft w:val="0"/>
          <w:marRight w:val="0"/>
          <w:marTop w:val="0"/>
          <w:marBottom w:val="0"/>
          <w:divBdr>
            <w:top w:val="none" w:sz="0" w:space="0" w:color="auto"/>
            <w:left w:val="none" w:sz="0" w:space="0" w:color="auto"/>
            <w:bottom w:val="none" w:sz="0" w:space="0" w:color="auto"/>
            <w:right w:val="none" w:sz="0" w:space="0" w:color="auto"/>
          </w:divBdr>
        </w:div>
        <w:div w:id="2024704993">
          <w:marLeft w:val="0"/>
          <w:marRight w:val="0"/>
          <w:marTop w:val="0"/>
          <w:marBottom w:val="0"/>
          <w:divBdr>
            <w:top w:val="none" w:sz="0" w:space="0" w:color="auto"/>
            <w:left w:val="none" w:sz="0" w:space="0" w:color="auto"/>
            <w:bottom w:val="none" w:sz="0" w:space="0" w:color="auto"/>
            <w:right w:val="none" w:sz="0" w:space="0" w:color="auto"/>
          </w:divBdr>
        </w:div>
        <w:div w:id="2024704994">
          <w:marLeft w:val="0"/>
          <w:marRight w:val="0"/>
          <w:marTop w:val="0"/>
          <w:marBottom w:val="0"/>
          <w:divBdr>
            <w:top w:val="none" w:sz="0" w:space="0" w:color="auto"/>
            <w:left w:val="none" w:sz="0" w:space="0" w:color="auto"/>
            <w:bottom w:val="none" w:sz="0" w:space="0" w:color="auto"/>
            <w:right w:val="none" w:sz="0" w:space="0" w:color="auto"/>
          </w:divBdr>
        </w:div>
        <w:div w:id="2024704995">
          <w:marLeft w:val="0"/>
          <w:marRight w:val="0"/>
          <w:marTop w:val="0"/>
          <w:marBottom w:val="0"/>
          <w:divBdr>
            <w:top w:val="none" w:sz="0" w:space="0" w:color="auto"/>
            <w:left w:val="none" w:sz="0" w:space="0" w:color="auto"/>
            <w:bottom w:val="none" w:sz="0" w:space="0" w:color="auto"/>
            <w:right w:val="none" w:sz="0" w:space="0" w:color="auto"/>
          </w:divBdr>
        </w:div>
        <w:div w:id="2024704996">
          <w:marLeft w:val="0"/>
          <w:marRight w:val="0"/>
          <w:marTop w:val="0"/>
          <w:marBottom w:val="0"/>
          <w:divBdr>
            <w:top w:val="none" w:sz="0" w:space="0" w:color="auto"/>
            <w:left w:val="none" w:sz="0" w:space="0" w:color="auto"/>
            <w:bottom w:val="none" w:sz="0" w:space="0" w:color="auto"/>
            <w:right w:val="none" w:sz="0" w:space="0" w:color="auto"/>
          </w:divBdr>
        </w:div>
        <w:div w:id="2024704998">
          <w:marLeft w:val="0"/>
          <w:marRight w:val="0"/>
          <w:marTop w:val="0"/>
          <w:marBottom w:val="0"/>
          <w:divBdr>
            <w:top w:val="none" w:sz="0" w:space="0" w:color="auto"/>
            <w:left w:val="none" w:sz="0" w:space="0" w:color="auto"/>
            <w:bottom w:val="none" w:sz="0" w:space="0" w:color="auto"/>
            <w:right w:val="none" w:sz="0" w:space="0" w:color="auto"/>
          </w:divBdr>
        </w:div>
        <w:div w:id="2024704999">
          <w:marLeft w:val="0"/>
          <w:marRight w:val="0"/>
          <w:marTop w:val="0"/>
          <w:marBottom w:val="0"/>
          <w:divBdr>
            <w:top w:val="none" w:sz="0" w:space="0" w:color="auto"/>
            <w:left w:val="none" w:sz="0" w:space="0" w:color="auto"/>
            <w:bottom w:val="none" w:sz="0" w:space="0" w:color="auto"/>
            <w:right w:val="none" w:sz="0" w:space="0" w:color="auto"/>
          </w:divBdr>
        </w:div>
        <w:div w:id="2024705000">
          <w:marLeft w:val="0"/>
          <w:marRight w:val="0"/>
          <w:marTop w:val="0"/>
          <w:marBottom w:val="0"/>
          <w:divBdr>
            <w:top w:val="none" w:sz="0" w:space="0" w:color="auto"/>
            <w:left w:val="none" w:sz="0" w:space="0" w:color="auto"/>
            <w:bottom w:val="none" w:sz="0" w:space="0" w:color="auto"/>
            <w:right w:val="none" w:sz="0" w:space="0" w:color="auto"/>
          </w:divBdr>
        </w:div>
        <w:div w:id="2024705001">
          <w:marLeft w:val="0"/>
          <w:marRight w:val="0"/>
          <w:marTop w:val="0"/>
          <w:marBottom w:val="0"/>
          <w:divBdr>
            <w:top w:val="none" w:sz="0" w:space="0" w:color="auto"/>
            <w:left w:val="none" w:sz="0" w:space="0" w:color="auto"/>
            <w:bottom w:val="none" w:sz="0" w:space="0" w:color="auto"/>
            <w:right w:val="none" w:sz="0" w:space="0" w:color="auto"/>
          </w:divBdr>
        </w:div>
        <w:div w:id="2024705002">
          <w:marLeft w:val="0"/>
          <w:marRight w:val="0"/>
          <w:marTop w:val="0"/>
          <w:marBottom w:val="0"/>
          <w:divBdr>
            <w:top w:val="none" w:sz="0" w:space="0" w:color="auto"/>
            <w:left w:val="none" w:sz="0" w:space="0" w:color="auto"/>
            <w:bottom w:val="none" w:sz="0" w:space="0" w:color="auto"/>
            <w:right w:val="none" w:sz="0" w:space="0" w:color="auto"/>
          </w:divBdr>
        </w:div>
        <w:div w:id="2024705003">
          <w:marLeft w:val="0"/>
          <w:marRight w:val="0"/>
          <w:marTop w:val="0"/>
          <w:marBottom w:val="0"/>
          <w:divBdr>
            <w:top w:val="none" w:sz="0" w:space="0" w:color="auto"/>
            <w:left w:val="none" w:sz="0" w:space="0" w:color="auto"/>
            <w:bottom w:val="none" w:sz="0" w:space="0" w:color="auto"/>
            <w:right w:val="none" w:sz="0" w:space="0" w:color="auto"/>
          </w:divBdr>
        </w:div>
        <w:div w:id="2024705004">
          <w:marLeft w:val="0"/>
          <w:marRight w:val="0"/>
          <w:marTop w:val="0"/>
          <w:marBottom w:val="0"/>
          <w:divBdr>
            <w:top w:val="none" w:sz="0" w:space="0" w:color="auto"/>
            <w:left w:val="none" w:sz="0" w:space="0" w:color="auto"/>
            <w:bottom w:val="none" w:sz="0" w:space="0" w:color="auto"/>
            <w:right w:val="none" w:sz="0" w:space="0" w:color="auto"/>
          </w:divBdr>
        </w:div>
        <w:div w:id="2024705005">
          <w:marLeft w:val="0"/>
          <w:marRight w:val="0"/>
          <w:marTop w:val="0"/>
          <w:marBottom w:val="0"/>
          <w:divBdr>
            <w:top w:val="none" w:sz="0" w:space="0" w:color="auto"/>
            <w:left w:val="none" w:sz="0" w:space="0" w:color="auto"/>
            <w:bottom w:val="none" w:sz="0" w:space="0" w:color="auto"/>
            <w:right w:val="none" w:sz="0" w:space="0" w:color="auto"/>
          </w:divBdr>
        </w:div>
        <w:div w:id="2024705006">
          <w:marLeft w:val="0"/>
          <w:marRight w:val="0"/>
          <w:marTop w:val="0"/>
          <w:marBottom w:val="0"/>
          <w:divBdr>
            <w:top w:val="none" w:sz="0" w:space="0" w:color="auto"/>
            <w:left w:val="none" w:sz="0" w:space="0" w:color="auto"/>
            <w:bottom w:val="none" w:sz="0" w:space="0" w:color="auto"/>
            <w:right w:val="none" w:sz="0" w:space="0" w:color="auto"/>
          </w:divBdr>
        </w:div>
        <w:div w:id="2024705007">
          <w:marLeft w:val="0"/>
          <w:marRight w:val="0"/>
          <w:marTop w:val="0"/>
          <w:marBottom w:val="0"/>
          <w:divBdr>
            <w:top w:val="none" w:sz="0" w:space="0" w:color="auto"/>
            <w:left w:val="none" w:sz="0" w:space="0" w:color="auto"/>
            <w:bottom w:val="none" w:sz="0" w:space="0" w:color="auto"/>
            <w:right w:val="none" w:sz="0" w:space="0" w:color="auto"/>
          </w:divBdr>
        </w:div>
        <w:div w:id="2024705008">
          <w:marLeft w:val="0"/>
          <w:marRight w:val="0"/>
          <w:marTop w:val="0"/>
          <w:marBottom w:val="0"/>
          <w:divBdr>
            <w:top w:val="none" w:sz="0" w:space="0" w:color="auto"/>
            <w:left w:val="none" w:sz="0" w:space="0" w:color="auto"/>
            <w:bottom w:val="none" w:sz="0" w:space="0" w:color="auto"/>
            <w:right w:val="none" w:sz="0" w:space="0" w:color="auto"/>
          </w:divBdr>
        </w:div>
        <w:div w:id="2024705009">
          <w:marLeft w:val="0"/>
          <w:marRight w:val="0"/>
          <w:marTop w:val="0"/>
          <w:marBottom w:val="0"/>
          <w:divBdr>
            <w:top w:val="none" w:sz="0" w:space="0" w:color="auto"/>
            <w:left w:val="none" w:sz="0" w:space="0" w:color="auto"/>
            <w:bottom w:val="none" w:sz="0" w:space="0" w:color="auto"/>
            <w:right w:val="none" w:sz="0" w:space="0" w:color="auto"/>
          </w:divBdr>
        </w:div>
        <w:div w:id="2024705010">
          <w:marLeft w:val="0"/>
          <w:marRight w:val="0"/>
          <w:marTop w:val="0"/>
          <w:marBottom w:val="0"/>
          <w:divBdr>
            <w:top w:val="none" w:sz="0" w:space="0" w:color="auto"/>
            <w:left w:val="none" w:sz="0" w:space="0" w:color="auto"/>
            <w:bottom w:val="none" w:sz="0" w:space="0" w:color="auto"/>
            <w:right w:val="none" w:sz="0" w:space="0" w:color="auto"/>
          </w:divBdr>
        </w:div>
        <w:div w:id="2024705011">
          <w:marLeft w:val="0"/>
          <w:marRight w:val="0"/>
          <w:marTop w:val="0"/>
          <w:marBottom w:val="0"/>
          <w:divBdr>
            <w:top w:val="none" w:sz="0" w:space="0" w:color="auto"/>
            <w:left w:val="none" w:sz="0" w:space="0" w:color="auto"/>
            <w:bottom w:val="none" w:sz="0" w:space="0" w:color="auto"/>
            <w:right w:val="none" w:sz="0" w:space="0" w:color="auto"/>
          </w:divBdr>
        </w:div>
        <w:div w:id="2024705012">
          <w:marLeft w:val="0"/>
          <w:marRight w:val="0"/>
          <w:marTop w:val="0"/>
          <w:marBottom w:val="0"/>
          <w:divBdr>
            <w:top w:val="none" w:sz="0" w:space="0" w:color="auto"/>
            <w:left w:val="none" w:sz="0" w:space="0" w:color="auto"/>
            <w:bottom w:val="none" w:sz="0" w:space="0" w:color="auto"/>
            <w:right w:val="none" w:sz="0" w:space="0" w:color="auto"/>
          </w:divBdr>
        </w:div>
        <w:div w:id="2024705013">
          <w:marLeft w:val="0"/>
          <w:marRight w:val="0"/>
          <w:marTop w:val="0"/>
          <w:marBottom w:val="0"/>
          <w:divBdr>
            <w:top w:val="none" w:sz="0" w:space="0" w:color="auto"/>
            <w:left w:val="none" w:sz="0" w:space="0" w:color="auto"/>
            <w:bottom w:val="none" w:sz="0" w:space="0" w:color="auto"/>
            <w:right w:val="none" w:sz="0" w:space="0" w:color="auto"/>
          </w:divBdr>
        </w:div>
        <w:div w:id="2024705014">
          <w:marLeft w:val="0"/>
          <w:marRight w:val="0"/>
          <w:marTop w:val="0"/>
          <w:marBottom w:val="0"/>
          <w:divBdr>
            <w:top w:val="none" w:sz="0" w:space="0" w:color="auto"/>
            <w:left w:val="none" w:sz="0" w:space="0" w:color="auto"/>
            <w:bottom w:val="none" w:sz="0" w:space="0" w:color="auto"/>
            <w:right w:val="none" w:sz="0" w:space="0" w:color="auto"/>
          </w:divBdr>
        </w:div>
        <w:div w:id="2024705015">
          <w:marLeft w:val="0"/>
          <w:marRight w:val="0"/>
          <w:marTop w:val="0"/>
          <w:marBottom w:val="0"/>
          <w:divBdr>
            <w:top w:val="none" w:sz="0" w:space="0" w:color="auto"/>
            <w:left w:val="none" w:sz="0" w:space="0" w:color="auto"/>
            <w:bottom w:val="none" w:sz="0" w:space="0" w:color="auto"/>
            <w:right w:val="none" w:sz="0" w:space="0" w:color="auto"/>
          </w:divBdr>
        </w:div>
        <w:div w:id="2024705016">
          <w:marLeft w:val="0"/>
          <w:marRight w:val="0"/>
          <w:marTop w:val="0"/>
          <w:marBottom w:val="0"/>
          <w:divBdr>
            <w:top w:val="none" w:sz="0" w:space="0" w:color="auto"/>
            <w:left w:val="none" w:sz="0" w:space="0" w:color="auto"/>
            <w:bottom w:val="none" w:sz="0" w:space="0" w:color="auto"/>
            <w:right w:val="none" w:sz="0" w:space="0" w:color="auto"/>
          </w:divBdr>
        </w:div>
        <w:div w:id="2024705017">
          <w:marLeft w:val="0"/>
          <w:marRight w:val="0"/>
          <w:marTop w:val="0"/>
          <w:marBottom w:val="0"/>
          <w:divBdr>
            <w:top w:val="none" w:sz="0" w:space="0" w:color="auto"/>
            <w:left w:val="none" w:sz="0" w:space="0" w:color="auto"/>
            <w:bottom w:val="none" w:sz="0" w:space="0" w:color="auto"/>
            <w:right w:val="none" w:sz="0" w:space="0" w:color="auto"/>
          </w:divBdr>
        </w:div>
        <w:div w:id="2024705018">
          <w:marLeft w:val="0"/>
          <w:marRight w:val="0"/>
          <w:marTop w:val="0"/>
          <w:marBottom w:val="0"/>
          <w:divBdr>
            <w:top w:val="none" w:sz="0" w:space="0" w:color="auto"/>
            <w:left w:val="none" w:sz="0" w:space="0" w:color="auto"/>
            <w:bottom w:val="none" w:sz="0" w:space="0" w:color="auto"/>
            <w:right w:val="none" w:sz="0" w:space="0" w:color="auto"/>
          </w:divBdr>
        </w:div>
        <w:div w:id="2024705019">
          <w:marLeft w:val="0"/>
          <w:marRight w:val="0"/>
          <w:marTop w:val="0"/>
          <w:marBottom w:val="0"/>
          <w:divBdr>
            <w:top w:val="none" w:sz="0" w:space="0" w:color="auto"/>
            <w:left w:val="none" w:sz="0" w:space="0" w:color="auto"/>
            <w:bottom w:val="none" w:sz="0" w:space="0" w:color="auto"/>
            <w:right w:val="none" w:sz="0" w:space="0" w:color="auto"/>
          </w:divBdr>
        </w:div>
        <w:div w:id="2024705020">
          <w:marLeft w:val="0"/>
          <w:marRight w:val="0"/>
          <w:marTop w:val="0"/>
          <w:marBottom w:val="0"/>
          <w:divBdr>
            <w:top w:val="none" w:sz="0" w:space="0" w:color="auto"/>
            <w:left w:val="none" w:sz="0" w:space="0" w:color="auto"/>
            <w:bottom w:val="none" w:sz="0" w:space="0" w:color="auto"/>
            <w:right w:val="none" w:sz="0" w:space="0" w:color="auto"/>
          </w:divBdr>
        </w:div>
        <w:div w:id="2024705021">
          <w:marLeft w:val="0"/>
          <w:marRight w:val="0"/>
          <w:marTop w:val="0"/>
          <w:marBottom w:val="0"/>
          <w:divBdr>
            <w:top w:val="none" w:sz="0" w:space="0" w:color="auto"/>
            <w:left w:val="none" w:sz="0" w:space="0" w:color="auto"/>
            <w:bottom w:val="none" w:sz="0" w:space="0" w:color="auto"/>
            <w:right w:val="none" w:sz="0" w:space="0" w:color="auto"/>
          </w:divBdr>
        </w:div>
        <w:div w:id="2024705022">
          <w:marLeft w:val="0"/>
          <w:marRight w:val="0"/>
          <w:marTop w:val="0"/>
          <w:marBottom w:val="0"/>
          <w:divBdr>
            <w:top w:val="none" w:sz="0" w:space="0" w:color="auto"/>
            <w:left w:val="none" w:sz="0" w:space="0" w:color="auto"/>
            <w:bottom w:val="none" w:sz="0" w:space="0" w:color="auto"/>
            <w:right w:val="none" w:sz="0" w:space="0" w:color="auto"/>
          </w:divBdr>
        </w:div>
        <w:div w:id="2024705023">
          <w:marLeft w:val="0"/>
          <w:marRight w:val="0"/>
          <w:marTop w:val="0"/>
          <w:marBottom w:val="0"/>
          <w:divBdr>
            <w:top w:val="none" w:sz="0" w:space="0" w:color="auto"/>
            <w:left w:val="none" w:sz="0" w:space="0" w:color="auto"/>
            <w:bottom w:val="none" w:sz="0" w:space="0" w:color="auto"/>
            <w:right w:val="none" w:sz="0" w:space="0" w:color="auto"/>
          </w:divBdr>
        </w:div>
        <w:div w:id="2024705024">
          <w:marLeft w:val="0"/>
          <w:marRight w:val="0"/>
          <w:marTop w:val="0"/>
          <w:marBottom w:val="0"/>
          <w:divBdr>
            <w:top w:val="none" w:sz="0" w:space="0" w:color="auto"/>
            <w:left w:val="none" w:sz="0" w:space="0" w:color="auto"/>
            <w:bottom w:val="none" w:sz="0" w:space="0" w:color="auto"/>
            <w:right w:val="none" w:sz="0" w:space="0" w:color="auto"/>
          </w:divBdr>
        </w:div>
        <w:div w:id="2024705025">
          <w:marLeft w:val="0"/>
          <w:marRight w:val="0"/>
          <w:marTop w:val="0"/>
          <w:marBottom w:val="0"/>
          <w:divBdr>
            <w:top w:val="none" w:sz="0" w:space="0" w:color="auto"/>
            <w:left w:val="none" w:sz="0" w:space="0" w:color="auto"/>
            <w:bottom w:val="none" w:sz="0" w:space="0" w:color="auto"/>
            <w:right w:val="none" w:sz="0" w:space="0" w:color="auto"/>
          </w:divBdr>
        </w:div>
        <w:div w:id="2024705026">
          <w:marLeft w:val="0"/>
          <w:marRight w:val="0"/>
          <w:marTop w:val="0"/>
          <w:marBottom w:val="0"/>
          <w:divBdr>
            <w:top w:val="none" w:sz="0" w:space="0" w:color="auto"/>
            <w:left w:val="none" w:sz="0" w:space="0" w:color="auto"/>
            <w:bottom w:val="none" w:sz="0" w:space="0" w:color="auto"/>
            <w:right w:val="none" w:sz="0" w:space="0" w:color="auto"/>
          </w:divBdr>
        </w:div>
        <w:div w:id="2024705027">
          <w:marLeft w:val="0"/>
          <w:marRight w:val="0"/>
          <w:marTop w:val="0"/>
          <w:marBottom w:val="0"/>
          <w:divBdr>
            <w:top w:val="none" w:sz="0" w:space="0" w:color="auto"/>
            <w:left w:val="none" w:sz="0" w:space="0" w:color="auto"/>
            <w:bottom w:val="none" w:sz="0" w:space="0" w:color="auto"/>
            <w:right w:val="none" w:sz="0" w:space="0" w:color="auto"/>
          </w:divBdr>
        </w:div>
        <w:div w:id="2024705028">
          <w:marLeft w:val="0"/>
          <w:marRight w:val="0"/>
          <w:marTop w:val="0"/>
          <w:marBottom w:val="0"/>
          <w:divBdr>
            <w:top w:val="none" w:sz="0" w:space="0" w:color="auto"/>
            <w:left w:val="none" w:sz="0" w:space="0" w:color="auto"/>
            <w:bottom w:val="none" w:sz="0" w:space="0" w:color="auto"/>
            <w:right w:val="none" w:sz="0" w:space="0" w:color="auto"/>
          </w:divBdr>
        </w:div>
        <w:div w:id="2024705029">
          <w:marLeft w:val="0"/>
          <w:marRight w:val="0"/>
          <w:marTop w:val="0"/>
          <w:marBottom w:val="0"/>
          <w:divBdr>
            <w:top w:val="none" w:sz="0" w:space="0" w:color="auto"/>
            <w:left w:val="none" w:sz="0" w:space="0" w:color="auto"/>
            <w:bottom w:val="none" w:sz="0" w:space="0" w:color="auto"/>
            <w:right w:val="none" w:sz="0" w:space="0" w:color="auto"/>
          </w:divBdr>
        </w:div>
        <w:div w:id="2024705030">
          <w:marLeft w:val="0"/>
          <w:marRight w:val="0"/>
          <w:marTop w:val="0"/>
          <w:marBottom w:val="0"/>
          <w:divBdr>
            <w:top w:val="none" w:sz="0" w:space="0" w:color="auto"/>
            <w:left w:val="none" w:sz="0" w:space="0" w:color="auto"/>
            <w:bottom w:val="none" w:sz="0" w:space="0" w:color="auto"/>
            <w:right w:val="none" w:sz="0" w:space="0" w:color="auto"/>
          </w:divBdr>
        </w:div>
        <w:div w:id="2024705031">
          <w:marLeft w:val="0"/>
          <w:marRight w:val="0"/>
          <w:marTop w:val="0"/>
          <w:marBottom w:val="0"/>
          <w:divBdr>
            <w:top w:val="none" w:sz="0" w:space="0" w:color="auto"/>
            <w:left w:val="none" w:sz="0" w:space="0" w:color="auto"/>
            <w:bottom w:val="none" w:sz="0" w:space="0" w:color="auto"/>
            <w:right w:val="none" w:sz="0" w:space="0" w:color="auto"/>
          </w:divBdr>
        </w:div>
        <w:div w:id="2024705032">
          <w:marLeft w:val="0"/>
          <w:marRight w:val="0"/>
          <w:marTop w:val="0"/>
          <w:marBottom w:val="0"/>
          <w:divBdr>
            <w:top w:val="none" w:sz="0" w:space="0" w:color="auto"/>
            <w:left w:val="none" w:sz="0" w:space="0" w:color="auto"/>
            <w:bottom w:val="none" w:sz="0" w:space="0" w:color="auto"/>
            <w:right w:val="none" w:sz="0" w:space="0" w:color="auto"/>
          </w:divBdr>
        </w:div>
        <w:div w:id="2024705033">
          <w:marLeft w:val="0"/>
          <w:marRight w:val="0"/>
          <w:marTop w:val="0"/>
          <w:marBottom w:val="0"/>
          <w:divBdr>
            <w:top w:val="none" w:sz="0" w:space="0" w:color="auto"/>
            <w:left w:val="none" w:sz="0" w:space="0" w:color="auto"/>
            <w:bottom w:val="none" w:sz="0" w:space="0" w:color="auto"/>
            <w:right w:val="none" w:sz="0" w:space="0" w:color="auto"/>
          </w:divBdr>
        </w:div>
        <w:div w:id="2024705034">
          <w:marLeft w:val="0"/>
          <w:marRight w:val="0"/>
          <w:marTop w:val="0"/>
          <w:marBottom w:val="0"/>
          <w:divBdr>
            <w:top w:val="none" w:sz="0" w:space="0" w:color="auto"/>
            <w:left w:val="none" w:sz="0" w:space="0" w:color="auto"/>
            <w:bottom w:val="none" w:sz="0" w:space="0" w:color="auto"/>
            <w:right w:val="none" w:sz="0" w:space="0" w:color="auto"/>
          </w:divBdr>
        </w:div>
        <w:div w:id="2024705035">
          <w:marLeft w:val="0"/>
          <w:marRight w:val="0"/>
          <w:marTop w:val="0"/>
          <w:marBottom w:val="0"/>
          <w:divBdr>
            <w:top w:val="none" w:sz="0" w:space="0" w:color="auto"/>
            <w:left w:val="none" w:sz="0" w:space="0" w:color="auto"/>
            <w:bottom w:val="none" w:sz="0" w:space="0" w:color="auto"/>
            <w:right w:val="none" w:sz="0" w:space="0" w:color="auto"/>
          </w:divBdr>
        </w:div>
        <w:div w:id="2024705036">
          <w:marLeft w:val="0"/>
          <w:marRight w:val="0"/>
          <w:marTop w:val="0"/>
          <w:marBottom w:val="0"/>
          <w:divBdr>
            <w:top w:val="none" w:sz="0" w:space="0" w:color="auto"/>
            <w:left w:val="none" w:sz="0" w:space="0" w:color="auto"/>
            <w:bottom w:val="none" w:sz="0" w:space="0" w:color="auto"/>
            <w:right w:val="none" w:sz="0" w:space="0" w:color="auto"/>
          </w:divBdr>
        </w:div>
        <w:div w:id="2024705037">
          <w:marLeft w:val="0"/>
          <w:marRight w:val="0"/>
          <w:marTop w:val="0"/>
          <w:marBottom w:val="0"/>
          <w:divBdr>
            <w:top w:val="none" w:sz="0" w:space="0" w:color="auto"/>
            <w:left w:val="none" w:sz="0" w:space="0" w:color="auto"/>
            <w:bottom w:val="none" w:sz="0" w:space="0" w:color="auto"/>
            <w:right w:val="none" w:sz="0" w:space="0" w:color="auto"/>
          </w:divBdr>
        </w:div>
        <w:div w:id="2024705038">
          <w:marLeft w:val="0"/>
          <w:marRight w:val="0"/>
          <w:marTop w:val="0"/>
          <w:marBottom w:val="0"/>
          <w:divBdr>
            <w:top w:val="none" w:sz="0" w:space="0" w:color="auto"/>
            <w:left w:val="none" w:sz="0" w:space="0" w:color="auto"/>
            <w:bottom w:val="none" w:sz="0" w:space="0" w:color="auto"/>
            <w:right w:val="none" w:sz="0" w:space="0" w:color="auto"/>
          </w:divBdr>
        </w:div>
        <w:div w:id="2024705039">
          <w:marLeft w:val="0"/>
          <w:marRight w:val="0"/>
          <w:marTop w:val="0"/>
          <w:marBottom w:val="0"/>
          <w:divBdr>
            <w:top w:val="none" w:sz="0" w:space="0" w:color="auto"/>
            <w:left w:val="none" w:sz="0" w:space="0" w:color="auto"/>
            <w:bottom w:val="none" w:sz="0" w:space="0" w:color="auto"/>
            <w:right w:val="none" w:sz="0" w:space="0" w:color="auto"/>
          </w:divBdr>
        </w:div>
        <w:div w:id="2024705040">
          <w:marLeft w:val="0"/>
          <w:marRight w:val="0"/>
          <w:marTop w:val="0"/>
          <w:marBottom w:val="0"/>
          <w:divBdr>
            <w:top w:val="none" w:sz="0" w:space="0" w:color="auto"/>
            <w:left w:val="none" w:sz="0" w:space="0" w:color="auto"/>
            <w:bottom w:val="none" w:sz="0" w:space="0" w:color="auto"/>
            <w:right w:val="none" w:sz="0" w:space="0" w:color="auto"/>
          </w:divBdr>
        </w:div>
        <w:div w:id="2024705041">
          <w:marLeft w:val="0"/>
          <w:marRight w:val="0"/>
          <w:marTop w:val="0"/>
          <w:marBottom w:val="0"/>
          <w:divBdr>
            <w:top w:val="none" w:sz="0" w:space="0" w:color="auto"/>
            <w:left w:val="none" w:sz="0" w:space="0" w:color="auto"/>
            <w:bottom w:val="none" w:sz="0" w:space="0" w:color="auto"/>
            <w:right w:val="none" w:sz="0" w:space="0" w:color="auto"/>
          </w:divBdr>
        </w:div>
        <w:div w:id="2024705042">
          <w:marLeft w:val="0"/>
          <w:marRight w:val="0"/>
          <w:marTop w:val="0"/>
          <w:marBottom w:val="0"/>
          <w:divBdr>
            <w:top w:val="none" w:sz="0" w:space="0" w:color="auto"/>
            <w:left w:val="none" w:sz="0" w:space="0" w:color="auto"/>
            <w:bottom w:val="none" w:sz="0" w:space="0" w:color="auto"/>
            <w:right w:val="none" w:sz="0" w:space="0" w:color="auto"/>
          </w:divBdr>
        </w:div>
        <w:div w:id="2024705043">
          <w:marLeft w:val="0"/>
          <w:marRight w:val="0"/>
          <w:marTop w:val="0"/>
          <w:marBottom w:val="0"/>
          <w:divBdr>
            <w:top w:val="none" w:sz="0" w:space="0" w:color="auto"/>
            <w:left w:val="none" w:sz="0" w:space="0" w:color="auto"/>
            <w:bottom w:val="none" w:sz="0" w:space="0" w:color="auto"/>
            <w:right w:val="none" w:sz="0" w:space="0" w:color="auto"/>
          </w:divBdr>
        </w:div>
        <w:div w:id="2024705044">
          <w:marLeft w:val="0"/>
          <w:marRight w:val="0"/>
          <w:marTop w:val="0"/>
          <w:marBottom w:val="0"/>
          <w:divBdr>
            <w:top w:val="none" w:sz="0" w:space="0" w:color="auto"/>
            <w:left w:val="none" w:sz="0" w:space="0" w:color="auto"/>
            <w:bottom w:val="none" w:sz="0" w:space="0" w:color="auto"/>
            <w:right w:val="none" w:sz="0" w:space="0" w:color="auto"/>
          </w:divBdr>
        </w:div>
        <w:div w:id="2024705045">
          <w:marLeft w:val="0"/>
          <w:marRight w:val="0"/>
          <w:marTop w:val="0"/>
          <w:marBottom w:val="0"/>
          <w:divBdr>
            <w:top w:val="none" w:sz="0" w:space="0" w:color="auto"/>
            <w:left w:val="none" w:sz="0" w:space="0" w:color="auto"/>
            <w:bottom w:val="none" w:sz="0" w:space="0" w:color="auto"/>
            <w:right w:val="none" w:sz="0" w:space="0" w:color="auto"/>
          </w:divBdr>
        </w:div>
        <w:div w:id="2024705046">
          <w:marLeft w:val="0"/>
          <w:marRight w:val="0"/>
          <w:marTop w:val="0"/>
          <w:marBottom w:val="0"/>
          <w:divBdr>
            <w:top w:val="none" w:sz="0" w:space="0" w:color="auto"/>
            <w:left w:val="none" w:sz="0" w:space="0" w:color="auto"/>
            <w:bottom w:val="none" w:sz="0" w:space="0" w:color="auto"/>
            <w:right w:val="none" w:sz="0" w:space="0" w:color="auto"/>
          </w:divBdr>
        </w:div>
        <w:div w:id="2024705047">
          <w:marLeft w:val="0"/>
          <w:marRight w:val="0"/>
          <w:marTop w:val="0"/>
          <w:marBottom w:val="0"/>
          <w:divBdr>
            <w:top w:val="none" w:sz="0" w:space="0" w:color="auto"/>
            <w:left w:val="none" w:sz="0" w:space="0" w:color="auto"/>
            <w:bottom w:val="none" w:sz="0" w:space="0" w:color="auto"/>
            <w:right w:val="none" w:sz="0" w:space="0" w:color="auto"/>
          </w:divBdr>
        </w:div>
        <w:div w:id="2024705048">
          <w:marLeft w:val="0"/>
          <w:marRight w:val="0"/>
          <w:marTop w:val="0"/>
          <w:marBottom w:val="0"/>
          <w:divBdr>
            <w:top w:val="none" w:sz="0" w:space="0" w:color="auto"/>
            <w:left w:val="none" w:sz="0" w:space="0" w:color="auto"/>
            <w:bottom w:val="none" w:sz="0" w:space="0" w:color="auto"/>
            <w:right w:val="none" w:sz="0" w:space="0" w:color="auto"/>
          </w:divBdr>
        </w:div>
        <w:div w:id="2024705049">
          <w:marLeft w:val="0"/>
          <w:marRight w:val="0"/>
          <w:marTop w:val="0"/>
          <w:marBottom w:val="0"/>
          <w:divBdr>
            <w:top w:val="none" w:sz="0" w:space="0" w:color="auto"/>
            <w:left w:val="none" w:sz="0" w:space="0" w:color="auto"/>
            <w:bottom w:val="none" w:sz="0" w:space="0" w:color="auto"/>
            <w:right w:val="none" w:sz="0" w:space="0" w:color="auto"/>
          </w:divBdr>
        </w:div>
        <w:div w:id="2024705050">
          <w:marLeft w:val="0"/>
          <w:marRight w:val="0"/>
          <w:marTop w:val="0"/>
          <w:marBottom w:val="0"/>
          <w:divBdr>
            <w:top w:val="none" w:sz="0" w:space="0" w:color="auto"/>
            <w:left w:val="none" w:sz="0" w:space="0" w:color="auto"/>
            <w:bottom w:val="none" w:sz="0" w:space="0" w:color="auto"/>
            <w:right w:val="none" w:sz="0" w:space="0" w:color="auto"/>
          </w:divBdr>
        </w:div>
        <w:div w:id="2024705051">
          <w:marLeft w:val="0"/>
          <w:marRight w:val="0"/>
          <w:marTop w:val="0"/>
          <w:marBottom w:val="0"/>
          <w:divBdr>
            <w:top w:val="none" w:sz="0" w:space="0" w:color="auto"/>
            <w:left w:val="none" w:sz="0" w:space="0" w:color="auto"/>
            <w:bottom w:val="none" w:sz="0" w:space="0" w:color="auto"/>
            <w:right w:val="none" w:sz="0" w:space="0" w:color="auto"/>
          </w:divBdr>
        </w:div>
        <w:div w:id="2024705052">
          <w:marLeft w:val="0"/>
          <w:marRight w:val="0"/>
          <w:marTop w:val="0"/>
          <w:marBottom w:val="0"/>
          <w:divBdr>
            <w:top w:val="none" w:sz="0" w:space="0" w:color="auto"/>
            <w:left w:val="none" w:sz="0" w:space="0" w:color="auto"/>
            <w:bottom w:val="none" w:sz="0" w:space="0" w:color="auto"/>
            <w:right w:val="none" w:sz="0" w:space="0" w:color="auto"/>
          </w:divBdr>
        </w:div>
        <w:div w:id="2024705053">
          <w:marLeft w:val="0"/>
          <w:marRight w:val="0"/>
          <w:marTop w:val="0"/>
          <w:marBottom w:val="0"/>
          <w:divBdr>
            <w:top w:val="none" w:sz="0" w:space="0" w:color="auto"/>
            <w:left w:val="none" w:sz="0" w:space="0" w:color="auto"/>
            <w:bottom w:val="none" w:sz="0" w:space="0" w:color="auto"/>
            <w:right w:val="none" w:sz="0" w:space="0" w:color="auto"/>
          </w:divBdr>
        </w:div>
        <w:div w:id="2024705056">
          <w:marLeft w:val="0"/>
          <w:marRight w:val="0"/>
          <w:marTop w:val="0"/>
          <w:marBottom w:val="0"/>
          <w:divBdr>
            <w:top w:val="none" w:sz="0" w:space="0" w:color="auto"/>
            <w:left w:val="none" w:sz="0" w:space="0" w:color="auto"/>
            <w:bottom w:val="none" w:sz="0" w:space="0" w:color="auto"/>
            <w:right w:val="none" w:sz="0" w:space="0" w:color="auto"/>
          </w:divBdr>
        </w:div>
        <w:div w:id="2024705057">
          <w:marLeft w:val="0"/>
          <w:marRight w:val="0"/>
          <w:marTop w:val="0"/>
          <w:marBottom w:val="0"/>
          <w:divBdr>
            <w:top w:val="none" w:sz="0" w:space="0" w:color="auto"/>
            <w:left w:val="none" w:sz="0" w:space="0" w:color="auto"/>
            <w:bottom w:val="none" w:sz="0" w:space="0" w:color="auto"/>
            <w:right w:val="none" w:sz="0" w:space="0" w:color="auto"/>
          </w:divBdr>
        </w:div>
        <w:div w:id="2024705058">
          <w:marLeft w:val="0"/>
          <w:marRight w:val="0"/>
          <w:marTop w:val="0"/>
          <w:marBottom w:val="0"/>
          <w:divBdr>
            <w:top w:val="none" w:sz="0" w:space="0" w:color="auto"/>
            <w:left w:val="none" w:sz="0" w:space="0" w:color="auto"/>
            <w:bottom w:val="none" w:sz="0" w:space="0" w:color="auto"/>
            <w:right w:val="none" w:sz="0" w:space="0" w:color="auto"/>
          </w:divBdr>
        </w:div>
        <w:div w:id="2024705059">
          <w:marLeft w:val="0"/>
          <w:marRight w:val="0"/>
          <w:marTop w:val="0"/>
          <w:marBottom w:val="0"/>
          <w:divBdr>
            <w:top w:val="none" w:sz="0" w:space="0" w:color="auto"/>
            <w:left w:val="none" w:sz="0" w:space="0" w:color="auto"/>
            <w:bottom w:val="none" w:sz="0" w:space="0" w:color="auto"/>
            <w:right w:val="none" w:sz="0" w:space="0" w:color="auto"/>
          </w:divBdr>
        </w:div>
        <w:div w:id="2024705060">
          <w:marLeft w:val="0"/>
          <w:marRight w:val="0"/>
          <w:marTop w:val="0"/>
          <w:marBottom w:val="0"/>
          <w:divBdr>
            <w:top w:val="none" w:sz="0" w:space="0" w:color="auto"/>
            <w:left w:val="none" w:sz="0" w:space="0" w:color="auto"/>
            <w:bottom w:val="none" w:sz="0" w:space="0" w:color="auto"/>
            <w:right w:val="none" w:sz="0" w:space="0" w:color="auto"/>
          </w:divBdr>
        </w:div>
        <w:div w:id="2024705061">
          <w:marLeft w:val="0"/>
          <w:marRight w:val="0"/>
          <w:marTop w:val="0"/>
          <w:marBottom w:val="0"/>
          <w:divBdr>
            <w:top w:val="none" w:sz="0" w:space="0" w:color="auto"/>
            <w:left w:val="none" w:sz="0" w:space="0" w:color="auto"/>
            <w:bottom w:val="none" w:sz="0" w:space="0" w:color="auto"/>
            <w:right w:val="none" w:sz="0" w:space="0" w:color="auto"/>
          </w:divBdr>
        </w:div>
        <w:div w:id="2024705062">
          <w:marLeft w:val="0"/>
          <w:marRight w:val="0"/>
          <w:marTop w:val="0"/>
          <w:marBottom w:val="0"/>
          <w:divBdr>
            <w:top w:val="none" w:sz="0" w:space="0" w:color="auto"/>
            <w:left w:val="none" w:sz="0" w:space="0" w:color="auto"/>
            <w:bottom w:val="none" w:sz="0" w:space="0" w:color="auto"/>
            <w:right w:val="none" w:sz="0" w:space="0" w:color="auto"/>
          </w:divBdr>
        </w:div>
        <w:div w:id="2024705063">
          <w:marLeft w:val="0"/>
          <w:marRight w:val="0"/>
          <w:marTop w:val="0"/>
          <w:marBottom w:val="0"/>
          <w:divBdr>
            <w:top w:val="none" w:sz="0" w:space="0" w:color="auto"/>
            <w:left w:val="none" w:sz="0" w:space="0" w:color="auto"/>
            <w:bottom w:val="none" w:sz="0" w:space="0" w:color="auto"/>
            <w:right w:val="none" w:sz="0" w:space="0" w:color="auto"/>
          </w:divBdr>
        </w:div>
        <w:div w:id="2024705064">
          <w:marLeft w:val="0"/>
          <w:marRight w:val="0"/>
          <w:marTop w:val="0"/>
          <w:marBottom w:val="0"/>
          <w:divBdr>
            <w:top w:val="none" w:sz="0" w:space="0" w:color="auto"/>
            <w:left w:val="none" w:sz="0" w:space="0" w:color="auto"/>
            <w:bottom w:val="none" w:sz="0" w:space="0" w:color="auto"/>
            <w:right w:val="none" w:sz="0" w:space="0" w:color="auto"/>
          </w:divBdr>
        </w:div>
        <w:div w:id="2024705065">
          <w:marLeft w:val="0"/>
          <w:marRight w:val="0"/>
          <w:marTop w:val="0"/>
          <w:marBottom w:val="0"/>
          <w:divBdr>
            <w:top w:val="none" w:sz="0" w:space="0" w:color="auto"/>
            <w:left w:val="none" w:sz="0" w:space="0" w:color="auto"/>
            <w:bottom w:val="none" w:sz="0" w:space="0" w:color="auto"/>
            <w:right w:val="none" w:sz="0" w:space="0" w:color="auto"/>
          </w:divBdr>
        </w:div>
        <w:div w:id="2024705066">
          <w:marLeft w:val="0"/>
          <w:marRight w:val="0"/>
          <w:marTop w:val="0"/>
          <w:marBottom w:val="0"/>
          <w:divBdr>
            <w:top w:val="none" w:sz="0" w:space="0" w:color="auto"/>
            <w:left w:val="none" w:sz="0" w:space="0" w:color="auto"/>
            <w:bottom w:val="none" w:sz="0" w:space="0" w:color="auto"/>
            <w:right w:val="none" w:sz="0" w:space="0" w:color="auto"/>
          </w:divBdr>
        </w:div>
        <w:div w:id="2024705067">
          <w:marLeft w:val="0"/>
          <w:marRight w:val="0"/>
          <w:marTop w:val="0"/>
          <w:marBottom w:val="0"/>
          <w:divBdr>
            <w:top w:val="none" w:sz="0" w:space="0" w:color="auto"/>
            <w:left w:val="none" w:sz="0" w:space="0" w:color="auto"/>
            <w:bottom w:val="none" w:sz="0" w:space="0" w:color="auto"/>
            <w:right w:val="none" w:sz="0" w:space="0" w:color="auto"/>
          </w:divBdr>
        </w:div>
        <w:div w:id="2024705068">
          <w:marLeft w:val="0"/>
          <w:marRight w:val="0"/>
          <w:marTop w:val="0"/>
          <w:marBottom w:val="0"/>
          <w:divBdr>
            <w:top w:val="none" w:sz="0" w:space="0" w:color="auto"/>
            <w:left w:val="none" w:sz="0" w:space="0" w:color="auto"/>
            <w:bottom w:val="none" w:sz="0" w:space="0" w:color="auto"/>
            <w:right w:val="none" w:sz="0" w:space="0" w:color="auto"/>
          </w:divBdr>
        </w:div>
        <w:div w:id="2024705069">
          <w:marLeft w:val="0"/>
          <w:marRight w:val="0"/>
          <w:marTop w:val="0"/>
          <w:marBottom w:val="0"/>
          <w:divBdr>
            <w:top w:val="none" w:sz="0" w:space="0" w:color="auto"/>
            <w:left w:val="none" w:sz="0" w:space="0" w:color="auto"/>
            <w:bottom w:val="none" w:sz="0" w:space="0" w:color="auto"/>
            <w:right w:val="none" w:sz="0" w:space="0" w:color="auto"/>
          </w:divBdr>
        </w:div>
        <w:div w:id="2024705070">
          <w:marLeft w:val="0"/>
          <w:marRight w:val="0"/>
          <w:marTop w:val="0"/>
          <w:marBottom w:val="0"/>
          <w:divBdr>
            <w:top w:val="none" w:sz="0" w:space="0" w:color="auto"/>
            <w:left w:val="none" w:sz="0" w:space="0" w:color="auto"/>
            <w:bottom w:val="none" w:sz="0" w:space="0" w:color="auto"/>
            <w:right w:val="none" w:sz="0" w:space="0" w:color="auto"/>
          </w:divBdr>
        </w:div>
        <w:div w:id="2024705071">
          <w:marLeft w:val="0"/>
          <w:marRight w:val="0"/>
          <w:marTop w:val="0"/>
          <w:marBottom w:val="0"/>
          <w:divBdr>
            <w:top w:val="none" w:sz="0" w:space="0" w:color="auto"/>
            <w:left w:val="none" w:sz="0" w:space="0" w:color="auto"/>
            <w:bottom w:val="none" w:sz="0" w:space="0" w:color="auto"/>
            <w:right w:val="none" w:sz="0" w:space="0" w:color="auto"/>
          </w:divBdr>
        </w:div>
        <w:div w:id="2024705072">
          <w:marLeft w:val="0"/>
          <w:marRight w:val="0"/>
          <w:marTop w:val="0"/>
          <w:marBottom w:val="0"/>
          <w:divBdr>
            <w:top w:val="none" w:sz="0" w:space="0" w:color="auto"/>
            <w:left w:val="none" w:sz="0" w:space="0" w:color="auto"/>
            <w:bottom w:val="none" w:sz="0" w:space="0" w:color="auto"/>
            <w:right w:val="none" w:sz="0" w:space="0" w:color="auto"/>
          </w:divBdr>
        </w:div>
        <w:div w:id="2024705074">
          <w:marLeft w:val="0"/>
          <w:marRight w:val="0"/>
          <w:marTop w:val="0"/>
          <w:marBottom w:val="0"/>
          <w:divBdr>
            <w:top w:val="none" w:sz="0" w:space="0" w:color="auto"/>
            <w:left w:val="none" w:sz="0" w:space="0" w:color="auto"/>
            <w:bottom w:val="none" w:sz="0" w:space="0" w:color="auto"/>
            <w:right w:val="none" w:sz="0" w:space="0" w:color="auto"/>
          </w:divBdr>
        </w:div>
        <w:div w:id="2024705075">
          <w:marLeft w:val="0"/>
          <w:marRight w:val="0"/>
          <w:marTop w:val="0"/>
          <w:marBottom w:val="0"/>
          <w:divBdr>
            <w:top w:val="none" w:sz="0" w:space="0" w:color="auto"/>
            <w:left w:val="none" w:sz="0" w:space="0" w:color="auto"/>
            <w:bottom w:val="none" w:sz="0" w:space="0" w:color="auto"/>
            <w:right w:val="none" w:sz="0" w:space="0" w:color="auto"/>
          </w:divBdr>
        </w:div>
        <w:div w:id="2024705076">
          <w:marLeft w:val="0"/>
          <w:marRight w:val="0"/>
          <w:marTop w:val="0"/>
          <w:marBottom w:val="0"/>
          <w:divBdr>
            <w:top w:val="none" w:sz="0" w:space="0" w:color="auto"/>
            <w:left w:val="none" w:sz="0" w:space="0" w:color="auto"/>
            <w:bottom w:val="none" w:sz="0" w:space="0" w:color="auto"/>
            <w:right w:val="none" w:sz="0" w:space="0" w:color="auto"/>
          </w:divBdr>
        </w:div>
        <w:div w:id="2024705077">
          <w:marLeft w:val="0"/>
          <w:marRight w:val="0"/>
          <w:marTop w:val="0"/>
          <w:marBottom w:val="0"/>
          <w:divBdr>
            <w:top w:val="none" w:sz="0" w:space="0" w:color="auto"/>
            <w:left w:val="none" w:sz="0" w:space="0" w:color="auto"/>
            <w:bottom w:val="none" w:sz="0" w:space="0" w:color="auto"/>
            <w:right w:val="none" w:sz="0" w:space="0" w:color="auto"/>
          </w:divBdr>
        </w:div>
        <w:div w:id="2024705078">
          <w:marLeft w:val="0"/>
          <w:marRight w:val="0"/>
          <w:marTop w:val="0"/>
          <w:marBottom w:val="0"/>
          <w:divBdr>
            <w:top w:val="none" w:sz="0" w:space="0" w:color="auto"/>
            <w:left w:val="none" w:sz="0" w:space="0" w:color="auto"/>
            <w:bottom w:val="none" w:sz="0" w:space="0" w:color="auto"/>
            <w:right w:val="none" w:sz="0" w:space="0" w:color="auto"/>
          </w:divBdr>
        </w:div>
        <w:div w:id="2024705079">
          <w:marLeft w:val="0"/>
          <w:marRight w:val="0"/>
          <w:marTop w:val="0"/>
          <w:marBottom w:val="0"/>
          <w:divBdr>
            <w:top w:val="none" w:sz="0" w:space="0" w:color="auto"/>
            <w:left w:val="none" w:sz="0" w:space="0" w:color="auto"/>
            <w:bottom w:val="none" w:sz="0" w:space="0" w:color="auto"/>
            <w:right w:val="none" w:sz="0" w:space="0" w:color="auto"/>
          </w:divBdr>
        </w:div>
        <w:div w:id="2024705080">
          <w:marLeft w:val="0"/>
          <w:marRight w:val="0"/>
          <w:marTop w:val="0"/>
          <w:marBottom w:val="0"/>
          <w:divBdr>
            <w:top w:val="none" w:sz="0" w:space="0" w:color="auto"/>
            <w:left w:val="none" w:sz="0" w:space="0" w:color="auto"/>
            <w:bottom w:val="none" w:sz="0" w:space="0" w:color="auto"/>
            <w:right w:val="none" w:sz="0" w:space="0" w:color="auto"/>
          </w:divBdr>
        </w:div>
        <w:div w:id="2024705081">
          <w:marLeft w:val="0"/>
          <w:marRight w:val="0"/>
          <w:marTop w:val="0"/>
          <w:marBottom w:val="0"/>
          <w:divBdr>
            <w:top w:val="none" w:sz="0" w:space="0" w:color="auto"/>
            <w:left w:val="none" w:sz="0" w:space="0" w:color="auto"/>
            <w:bottom w:val="none" w:sz="0" w:space="0" w:color="auto"/>
            <w:right w:val="none" w:sz="0" w:space="0" w:color="auto"/>
          </w:divBdr>
        </w:div>
        <w:div w:id="2024705082">
          <w:marLeft w:val="0"/>
          <w:marRight w:val="0"/>
          <w:marTop w:val="0"/>
          <w:marBottom w:val="0"/>
          <w:divBdr>
            <w:top w:val="none" w:sz="0" w:space="0" w:color="auto"/>
            <w:left w:val="none" w:sz="0" w:space="0" w:color="auto"/>
            <w:bottom w:val="none" w:sz="0" w:space="0" w:color="auto"/>
            <w:right w:val="none" w:sz="0" w:space="0" w:color="auto"/>
          </w:divBdr>
        </w:div>
        <w:div w:id="2024705083">
          <w:marLeft w:val="0"/>
          <w:marRight w:val="0"/>
          <w:marTop w:val="0"/>
          <w:marBottom w:val="0"/>
          <w:divBdr>
            <w:top w:val="none" w:sz="0" w:space="0" w:color="auto"/>
            <w:left w:val="none" w:sz="0" w:space="0" w:color="auto"/>
            <w:bottom w:val="none" w:sz="0" w:space="0" w:color="auto"/>
            <w:right w:val="none" w:sz="0" w:space="0" w:color="auto"/>
          </w:divBdr>
        </w:div>
        <w:div w:id="2024705084">
          <w:marLeft w:val="0"/>
          <w:marRight w:val="0"/>
          <w:marTop w:val="0"/>
          <w:marBottom w:val="0"/>
          <w:divBdr>
            <w:top w:val="none" w:sz="0" w:space="0" w:color="auto"/>
            <w:left w:val="none" w:sz="0" w:space="0" w:color="auto"/>
            <w:bottom w:val="none" w:sz="0" w:space="0" w:color="auto"/>
            <w:right w:val="none" w:sz="0" w:space="0" w:color="auto"/>
          </w:divBdr>
        </w:div>
        <w:div w:id="2024705085">
          <w:marLeft w:val="0"/>
          <w:marRight w:val="0"/>
          <w:marTop w:val="0"/>
          <w:marBottom w:val="0"/>
          <w:divBdr>
            <w:top w:val="none" w:sz="0" w:space="0" w:color="auto"/>
            <w:left w:val="none" w:sz="0" w:space="0" w:color="auto"/>
            <w:bottom w:val="none" w:sz="0" w:space="0" w:color="auto"/>
            <w:right w:val="none" w:sz="0" w:space="0" w:color="auto"/>
          </w:divBdr>
        </w:div>
        <w:div w:id="2024705086">
          <w:marLeft w:val="0"/>
          <w:marRight w:val="0"/>
          <w:marTop w:val="0"/>
          <w:marBottom w:val="0"/>
          <w:divBdr>
            <w:top w:val="none" w:sz="0" w:space="0" w:color="auto"/>
            <w:left w:val="none" w:sz="0" w:space="0" w:color="auto"/>
            <w:bottom w:val="none" w:sz="0" w:space="0" w:color="auto"/>
            <w:right w:val="none" w:sz="0" w:space="0" w:color="auto"/>
          </w:divBdr>
        </w:div>
        <w:div w:id="2024705087">
          <w:marLeft w:val="0"/>
          <w:marRight w:val="0"/>
          <w:marTop w:val="0"/>
          <w:marBottom w:val="0"/>
          <w:divBdr>
            <w:top w:val="none" w:sz="0" w:space="0" w:color="auto"/>
            <w:left w:val="none" w:sz="0" w:space="0" w:color="auto"/>
            <w:bottom w:val="none" w:sz="0" w:space="0" w:color="auto"/>
            <w:right w:val="none" w:sz="0" w:space="0" w:color="auto"/>
          </w:divBdr>
        </w:div>
        <w:div w:id="2024705088">
          <w:marLeft w:val="0"/>
          <w:marRight w:val="0"/>
          <w:marTop w:val="0"/>
          <w:marBottom w:val="0"/>
          <w:divBdr>
            <w:top w:val="none" w:sz="0" w:space="0" w:color="auto"/>
            <w:left w:val="none" w:sz="0" w:space="0" w:color="auto"/>
            <w:bottom w:val="none" w:sz="0" w:space="0" w:color="auto"/>
            <w:right w:val="none" w:sz="0" w:space="0" w:color="auto"/>
          </w:divBdr>
        </w:div>
        <w:div w:id="2024705089">
          <w:marLeft w:val="0"/>
          <w:marRight w:val="0"/>
          <w:marTop w:val="0"/>
          <w:marBottom w:val="0"/>
          <w:divBdr>
            <w:top w:val="none" w:sz="0" w:space="0" w:color="auto"/>
            <w:left w:val="none" w:sz="0" w:space="0" w:color="auto"/>
            <w:bottom w:val="none" w:sz="0" w:space="0" w:color="auto"/>
            <w:right w:val="none" w:sz="0" w:space="0" w:color="auto"/>
          </w:divBdr>
        </w:div>
        <w:div w:id="2024705090">
          <w:marLeft w:val="0"/>
          <w:marRight w:val="0"/>
          <w:marTop w:val="0"/>
          <w:marBottom w:val="0"/>
          <w:divBdr>
            <w:top w:val="none" w:sz="0" w:space="0" w:color="auto"/>
            <w:left w:val="none" w:sz="0" w:space="0" w:color="auto"/>
            <w:bottom w:val="none" w:sz="0" w:space="0" w:color="auto"/>
            <w:right w:val="none" w:sz="0" w:space="0" w:color="auto"/>
          </w:divBdr>
        </w:div>
        <w:div w:id="2024705091">
          <w:marLeft w:val="0"/>
          <w:marRight w:val="0"/>
          <w:marTop w:val="0"/>
          <w:marBottom w:val="0"/>
          <w:divBdr>
            <w:top w:val="none" w:sz="0" w:space="0" w:color="auto"/>
            <w:left w:val="none" w:sz="0" w:space="0" w:color="auto"/>
            <w:bottom w:val="none" w:sz="0" w:space="0" w:color="auto"/>
            <w:right w:val="none" w:sz="0" w:space="0" w:color="auto"/>
          </w:divBdr>
        </w:div>
        <w:div w:id="2024705092">
          <w:marLeft w:val="0"/>
          <w:marRight w:val="0"/>
          <w:marTop w:val="0"/>
          <w:marBottom w:val="0"/>
          <w:divBdr>
            <w:top w:val="none" w:sz="0" w:space="0" w:color="auto"/>
            <w:left w:val="none" w:sz="0" w:space="0" w:color="auto"/>
            <w:bottom w:val="none" w:sz="0" w:space="0" w:color="auto"/>
            <w:right w:val="none" w:sz="0" w:space="0" w:color="auto"/>
          </w:divBdr>
        </w:div>
        <w:div w:id="2024705093">
          <w:marLeft w:val="0"/>
          <w:marRight w:val="0"/>
          <w:marTop w:val="0"/>
          <w:marBottom w:val="0"/>
          <w:divBdr>
            <w:top w:val="none" w:sz="0" w:space="0" w:color="auto"/>
            <w:left w:val="none" w:sz="0" w:space="0" w:color="auto"/>
            <w:bottom w:val="none" w:sz="0" w:space="0" w:color="auto"/>
            <w:right w:val="none" w:sz="0" w:space="0" w:color="auto"/>
          </w:divBdr>
        </w:div>
        <w:div w:id="2024705094">
          <w:marLeft w:val="0"/>
          <w:marRight w:val="0"/>
          <w:marTop w:val="0"/>
          <w:marBottom w:val="0"/>
          <w:divBdr>
            <w:top w:val="none" w:sz="0" w:space="0" w:color="auto"/>
            <w:left w:val="none" w:sz="0" w:space="0" w:color="auto"/>
            <w:bottom w:val="none" w:sz="0" w:space="0" w:color="auto"/>
            <w:right w:val="none" w:sz="0" w:space="0" w:color="auto"/>
          </w:divBdr>
        </w:div>
        <w:div w:id="2024705095">
          <w:marLeft w:val="0"/>
          <w:marRight w:val="0"/>
          <w:marTop w:val="0"/>
          <w:marBottom w:val="0"/>
          <w:divBdr>
            <w:top w:val="none" w:sz="0" w:space="0" w:color="auto"/>
            <w:left w:val="none" w:sz="0" w:space="0" w:color="auto"/>
            <w:bottom w:val="none" w:sz="0" w:space="0" w:color="auto"/>
            <w:right w:val="none" w:sz="0" w:space="0" w:color="auto"/>
          </w:divBdr>
        </w:div>
        <w:div w:id="2024705096">
          <w:marLeft w:val="0"/>
          <w:marRight w:val="0"/>
          <w:marTop w:val="0"/>
          <w:marBottom w:val="0"/>
          <w:divBdr>
            <w:top w:val="none" w:sz="0" w:space="0" w:color="auto"/>
            <w:left w:val="none" w:sz="0" w:space="0" w:color="auto"/>
            <w:bottom w:val="none" w:sz="0" w:space="0" w:color="auto"/>
            <w:right w:val="none" w:sz="0" w:space="0" w:color="auto"/>
          </w:divBdr>
        </w:div>
        <w:div w:id="2024705098">
          <w:marLeft w:val="0"/>
          <w:marRight w:val="0"/>
          <w:marTop w:val="0"/>
          <w:marBottom w:val="0"/>
          <w:divBdr>
            <w:top w:val="none" w:sz="0" w:space="0" w:color="auto"/>
            <w:left w:val="none" w:sz="0" w:space="0" w:color="auto"/>
            <w:bottom w:val="none" w:sz="0" w:space="0" w:color="auto"/>
            <w:right w:val="none" w:sz="0" w:space="0" w:color="auto"/>
          </w:divBdr>
        </w:div>
        <w:div w:id="2024705099">
          <w:marLeft w:val="0"/>
          <w:marRight w:val="0"/>
          <w:marTop w:val="0"/>
          <w:marBottom w:val="0"/>
          <w:divBdr>
            <w:top w:val="none" w:sz="0" w:space="0" w:color="auto"/>
            <w:left w:val="none" w:sz="0" w:space="0" w:color="auto"/>
            <w:bottom w:val="none" w:sz="0" w:space="0" w:color="auto"/>
            <w:right w:val="none" w:sz="0" w:space="0" w:color="auto"/>
          </w:divBdr>
        </w:div>
        <w:div w:id="2024705100">
          <w:marLeft w:val="0"/>
          <w:marRight w:val="0"/>
          <w:marTop w:val="0"/>
          <w:marBottom w:val="0"/>
          <w:divBdr>
            <w:top w:val="none" w:sz="0" w:space="0" w:color="auto"/>
            <w:left w:val="none" w:sz="0" w:space="0" w:color="auto"/>
            <w:bottom w:val="none" w:sz="0" w:space="0" w:color="auto"/>
            <w:right w:val="none" w:sz="0" w:space="0" w:color="auto"/>
          </w:divBdr>
        </w:div>
        <w:div w:id="2024705103">
          <w:marLeft w:val="0"/>
          <w:marRight w:val="0"/>
          <w:marTop w:val="0"/>
          <w:marBottom w:val="0"/>
          <w:divBdr>
            <w:top w:val="none" w:sz="0" w:space="0" w:color="auto"/>
            <w:left w:val="none" w:sz="0" w:space="0" w:color="auto"/>
            <w:bottom w:val="none" w:sz="0" w:space="0" w:color="auto"/>
            <w:right w:val="none" w:sz="0" w:space="0" w:color="auto"/>
          </w:divBdr>
        </w:div>
        <w:div w:id="2024705104">
          <w:marLeft w:val="0"/>
          <w:marRight w:val="0"/>
          <w:marTop w:val="0"/>
          <w:marBottom w:val="0"/>
          <w:divBdr>
            <w:top w:val="none" w:sz="0" w:space="0" w:color="auto"/>
            <w:left w:val="none" w:sz="0" w:space="0" w:color="auto"/>
            <w:bottom w:val="none" w:sz="0" w:space="0" w:color="auto"/>
            <w:right w:val="none" w:sz="0" w:space="0" w:color="auto"/>
          </w:divBdr>
        </w:div>
        <w:div w:id="2024705105">
          <w:marLeft w:val="0"/>
          <w:marRight w:val="0"/>
          <w:marTop w:val="0"/>
          <w:marBottom w:val="0"/>
          <w:divBdr>
            <w:top w:val="none" w:sz="0" w:space="0" w:color="auto"/>
            <w:left w:val="none" w:sz="0" w:space="0" w:color="auto"/>
            <w:bottom w:val="none" w:sz="0" w:space="0" w:color="auto"/>
            <w:right w:val="none" w:sz="0" w:space="0" w:color="auto"/>
          </w:divBdr>
        </w:div>
        <w:div w:id="2024705106">
          <w:marLeft w:val="0"/>
          <w:marRight w:val="0"/>
          <w:marTop w:val="0"/>
          <w:marBottom w:val="0"/>
          <w:divBdr>
            <w:top w:val="none" w:sz="0" w:space="0" w:color="auto"/>
            <w:left w:val="none" w:sz="0" w:space="0" w:color="auto"/>
            <w:bottom w:val="none" w:sz="0" w:space="0" w:color="auto"/>
            <w:right w:val="none" w:sz="0" w:space="0" w:color="auto"/>
          </w:divBdr>
        </w:div>
        <w:div w:id="2024705107">
          <w:marLeft w:val="0"/>
          <w:marRight w:val="0"/>
          <w:marTop w:val="0"/>
          <w:marBottom w:val="0"/>
          <w:divBdr>
            <w:top w:val="none" w:sz="0" w:space="0" w:color="auto"/>
            <w:left w:val="none" w:sz="0" w:space="0" w:color="auto"/>
            <w:bottom w:val="none" w:sz="0" w:space="0" w:color="auto"/>
            <w:right w:val="none" w:sz="0" w:space="0" w:color="auto"/>
          </w:divBdr>
        </w:div>
        <w:div w:id="2024705108">
          <w:marLeft w:val="0"/>
          <w:marRight w:val="0"/>
          <w:marTop w:val="0"/>
          <w:marBottom w:val="0"/>
          <w:divBdr>
            <w:top w:val="none" w:sz="0" w:space="0" w:color="auto"/>
            <w:left w:val="none" w:sz="0" w:space="0" w:color="auto"/>
            <w:bottom w:val="none" w:sz="0" w:space="0" w:color="auto"/>
            <w:right w:val="none" w:sz="0" w:space="0" w:color="auto"/>
          </w:divBdr>
        </w:div>
        <w:div w:id="2024705109">
          <w:marLeft w:val="0"/>
          <w:marRight w:val="0"/>
          <w:marTop w:val="0"/>
          <w:marBottom w:val="0"/>
          <w:divBdr>
            <w:top w:val="none" w:sz="0" w:space="0" w:color="auto"/>
            <w:left w:val="none" w:sz="0" w:space="0" w:color="auto"/>
            <w:bottom w:val="none" w:sz="0" w:space="0" w:color="auto"/>
            <w:right w:val="none" w:sz="0" w:space="0" w:color="auto"/>
          </w:divBdr>
        </w:div>
        <w:div w:id="2024705110">
          <w:marLeft w:val="0"/>
          <w:marRight w:val="0"/>
          <w:marTop w:val="0"/>
          <w:marBottom w:val="0"/>
          <w:divBdr>
            <w:top w:val="none" w:sz="0" w:space="0" w:color="auto"/>
            <w:left w:val="none" w:sz="0" w:space="0" w:color="auto"/>
            <w:bottom w:val="none" w:sz="0" w:space="0" w:color="auto"/>
            <w:right w:val="none" w:sz="0" w:space="0" w:color="auto"/>
          </w:divBdr>
        </w:div>
        <w:div w:id="2024705111">
          <w:marLeft w:val="0"/>
          <w:marRight w:val="0"/>
          <w:marTop w:val="0"/>
          <w:marBottom w:val="0"/>
          <w:divBdr>
            <w:top w:val="none" w:sz="0" w:space="0" w:color="auto"/>
            <w:left w:val="none" w:sz="0" w:space="0" w:color="auto"/>
            <w:bottom w:val="none" w:sz="0" w:space="0" w:color="auto"/>
            <w:right w:val="none" w:sz="0" w:space="0" w:color="auto"/>
          </w:divBdr>
        </w:div>
        <w:div w:id="2024705112">
          <w:marLeft w:val="0"/>
          <w:marRight w:val="0"/>
          <w:marTop w:val="0"/>
          <w:marBottom w:val="0"/>
          <w:divBdr>
            <w:top w:val="none" w:sz="0" w:space="0" w:color="auto"/>
            <w:left w:val="none" w:sz="0" w:space="0" w:color="auto"/>
            <w:bottom w:val="none" w:sz="0" w:space="0" w:color="auto"/>
            <w:right w:val="none" w:sz="0" w:space="0" w:color="auto"/>
          </w:divBdr>
        </w:div>
        <w:div w:id="2024705113">
          <w:marLeft w:val="0"/>
          <w:marRight w:val="0"/>
          <w:marTop w:val="0"/>
          <w:marBottom w:val="0"/>
          <w:divBdr>
            <w:top w:val="none" w:sz="0" w:space="0" w:color="auto"/>
            <w:left w:val="none" w:sz="0" w:space="0" w:color="auto"/>
            <w:bottom w:val="none" w:sz="0" w:space="0" w:color="auto"/>
            <w:right w:val="none" w:sz="0" w:space="0" w:color="auto"/>
          </w:divBdr>
        </w:div>
        <w:div w:id="2024705114">
          <w:marLeft w:val="0"/>
          <w:marRight w:val="0"/>
          <w:marTop w:val="0"/>
          <w:marBottom w:val="0"/>
          <w:divBdr>
            <w:top w:val="none" w:sz="0" w:space="0" w:color="auto"/>
            <w:left w:val="none" w:sz="0" w:space="0" w:color="auto"/>
            <w:bottom w:val="none" w:sz="0" w:space="0" w:color="auto"/>
            <w:right w:val="none" w:sz="0" w:space="0" w:color="auto"/>
          </w:divBdr>
        </w:div>
        <w:div w:id="2024705115">
          <w:marLeft w:val="0"/>
          <w:marRight w:val="0"/>
          <w:marTop w:val="0"/>
          <w:marBottom w:val="0"/>
          <w:divBdr>
            <w:top w:val="none" w:sz="0" w:space="0" w:color="auto"/>
            <w:left w:val="none" w:sz="0" w:space="0" w:color="auto"/>
            <w:bottom w:val="none" w:sz="0" w:space="0" w:color="auto"/>
            <w:right w:val="none" w:sz="0" w:space="0" w:color="auto"/>
          </w:divBdr>
        </w:div>
        <w:div w:id="2024705116">
          <w:marLeft w:val="0"/>
          <w:marRight w:val="0"/>
          <w:marTop w:val="0"/>
          <w:marBottom w:val="0"/>
          <w:divBdr>
            <w:top w:val="none" w:sz="0" w:space="0" w:color="auto"/>
            <w:left w:val="none" w:sz="0" w:space="0" w:color="auto"/>
            <w:bottom w:val="none" w:sz="0" w:space="0" w:color="auto"/>
            <w:right w:val="none" w:sz="0" w:space="0" w:color="auto"/>
          </w:divBdr>
        </w:div>
        <w:div w:id="2024705117">
          <w:marLeft w:val="0"/>
          <w:marRight w:val="0"/>
          <w:marTop w:val="0"/>
          <w:marBottom w:val="0"/>
          <w:divBdr>
            <w:top w:val="none" w:sz="0" w:space="0" w:color="auto"/>
            <w:left w:val="none" w:sz="0" w:space="0" w:color="auto"/>
            <w:bottom w:val="none" w:sz="0" w:space="0" w:color="auto"/>
            <w:right w:val="none" w:sz="0" w:space="0" w:color="auto"/>
          </w:divBdr>
        </w:div>
        <w:div w:id="2024705118">
          <w:marLeft w:val="0"/>
          <w:marRight w:val="0"/>
          <w:marTop w:val="0"/>
          <w:marBottom w:val="0"/>
          <w:divBdr>
            <w:top w:val="none" w:sz="0" w:space="0" w:color="auto"/>
            <w:left w:val="none" w:sz="0" w:space="0" w:color="auto"/>
            <w:bottom w:val="none" w:sz="0" w:space="0" w:color="auto"/>
            <w:right w:val="none" w:sz="0" w:space="0" w:color="auto"/>
          </w:divBdr>
        </w:div>
        <w:div w:id="2024705119">
          <w:marLeft w:val="0"/>
          <w:marRight w:val="0"/>
          <w:marTop w:val="0"/>
          <w:marBottom w:val="0"/>
          <w:divBdr>
            <w:top w:val="none" w:sz="0" w:space="0" w:color="auto"/>
            <w:left w:val="none" w:sz="0" w:space="0" w:color="auto"/>
            <w:bottom w:val="none" w:sz="0" w:space="0" w:color="auto"/>
            <w:right w:val="none" w:sz="0" w:space="0" w:color="auto"/>
          </w:divBdr>
        </w:div>
        <w:div w:id="2024705120">
          <w:marLeft w:val="0"/>
          <w:marRight w:val="0"/>
          <w:marTop w:val="0"/>
          <w:marBottom w:val="0"/>
          <w:divBdr>
            <w:top w:val="none" w:sz="0" w:space="0" w:color="auto"/>
            <w:left w:val="none" w:sz="0" w:space="0" w:color="auto"/>
            <w:bottom w:val="none" w:sz="0" w:space="0" w:color="auto"/>
            <w:right w:val="none" w:sz="0" w:space="0" w:color="auto"/>
          </w:divBdr>
        </w:div>
        <w:div w:id="2024705121">
          <w:marLeft w:val="0"/>
          <w:marRight w:val="0"/>
          <w:marTop w:val="0"/>
          <w:marBottom w:val="0"/>
          <w:divBdr>
            <w:top w:val="none" w:sz="0" w:space="0" w:color="auto"/>
            <w:left w:val="none" w:sz="0" w:space="0" w:color="auto"/>
            <w:bottom w:val="none" w:sz="0" w:space="0" w:color="auto"/>
            <w:right w:val="none" w:sz="0" w:space="0" w:color="auto"/>
          </w:divBdr>
        </w:div>
        <w:div w:id="2024705122">
          <w:marLeft w:val="0"/>
          <w:marRight w:val="0"/>
          <w:marTop w:val="0"/>
          <w:marBottom w:val="0"/>
          <w:divBdr>
            <w:top w:val="none" w:sz="0" w:space="0" w:color="auto"/>
            <w:left w:val="none" w:sz="0" w:space="0" w:color="auto"/>
            <w:bottom w:val="none" w:sz="0" w:space="0" w:color="auto"/>
            <w:right w:val="none" w:sz="0" w:space="0" w:color="auto"/>
          </w:divBdr>
        </w:div>
        <w:div w:id="2024705123">
          <w:marLeft w:val="0"/>
          <w:marRight w:val="0"/>
          <w:marTop w:val="0"/>
          <w:marBottom w:val="0"/>
          <w:divBdr>
            <w:top w:val="none" w:sz="0" w:space="0" w:color="auto"/>
            <w:left w:val="none" w:sz="0" w:space="0" w:color="auto"/>
            <w:bottom w:val="none" w:sz="0" w:space="0" w:color="auto"/>
            <w:right w:val="none" w:sz="0" w:space="0" w:color="auto"/>
          </w:divBdr>
        </w:div>
        <w:div w:id="2024705124">
          <w:marLeft w:val="0"/>
          <w:marRight w:val="0"/>
          <w:marTop w:val="0"/>
          <w:marBottom w:val="0"/>
          <w:divBdr>
            <w:top w:val="none" w:sz="0" w:space="0" w:color="auto"/>
            <w:left w:val="none" w:sz="0" w:space="0" w:color="auto"/>
            <w:bottom w:val="none" w:sz="0" w:space="0" w:color="auto"/>
            <w:right w:val="none" w:sz="0" w:space="0" w:color="auto"/>
          </w:divBdr>
        </w:div>
        <w:div w:id="2024705125">
          <w:marLeft w:val="0"/>
          <w:marRight w:val="0"/>
          <w:marTop w:val="0"/>
          <w:marBottom w:val="0"/>
          <w:divBdr>
            <w:top w:val="none" w:sz="0" w:space="0" w:color="auto"/>
            <w:left w:val="none" w:sz="0" w:space="0" w:color="auto"/>
            <w:bottom w:val="none" w:sz="0" w:space="0" w:color="auto"/>
            <w:right w:val="none" w:sz="0" w:space="0" w:color="auto"/>
          </w:divBdr>
        </w:div>
        <w:div w:id="2024705126">
          <w:marLeft w:val="0"/>
          <w:marRight w:val="0"/>
          <w:marTop w:val="0"/>
          <w:marBottom w:val="0"/>
          <w:divBdr>
            <w:top w:val="none" w:sz="0" w:space="0" w:color="auto"/>
            <w:left w:val="none" w:sz="0" w:space="0" w:color="auto"/>
            <w:bottom w:val="none" w:sz="0" w:space="0" w:color="auto"/>
            <w:right w:val="none" w:sz="0" w:space="0" w:color="auto"/>
          </w:divBdr>
        </w:div>
        <w:div w:id="2024705127">
          <w:marLeft w:val="0"/>
          <w:marRight w:val="0"/>
          <w:marTop w:val="0"/>
          <w:marBottom w:val="0"/>
          <w:divBdr>
            <w:top w:val="none" w:sz="0" w:space="0" w:color="auto"/>
            <w:left w:val="none" w:sz="0" w:space="0" w:color="auto"/>
            <w:bottom w:val="none" w:sz="0" w:space="0" w:color="auto"/>
            <w:right w:val="none" w:sz="0" w:space="0" w:color="auto"/>
          </w:divBdr>
        </w:div>
        <w:div w:id="2024705129">
          <w:marLeft w:val="0"/>
          <w:marRight w:val="0"/>
          <w:marTop w:val="0"/>
          <w:marBottom w:val="0"/>
          <w:divBdr>
            <w:top w:val="none" w:sz="0" w:space="0" w:color="auto"/>
            <w:left w:val="none" w:sz="0" w:space="0" w:color="auto"/>
            <w:bottom w:val="none" w:sz="0" w:space="0" w:color="auto"/>
            <w:right w:val="none" w:sz="0" w:space="0" w:color="auto"/>
          </w:divBdr>
        </w:div>
        <w:div w:id="2024705130">
          <w:marLeft w:val="0"/>
          <w:marRight w:val="0"/>
          <w:marTop w:val="0"/>
          <w:marBottom w:val="0"/>
          <w:divBdr>
            <w:top w:val="none" w:sz="0" w:space="0" w:color="auto"/>
            <w:left w:val="none" w:sz="0" w:space="0" w:color="auto"/>
            <w:bottom w:val="none" w:sz="0" w:space="0" w:color="auto"/>
            <w:right w:val="none" w:sz="0" w:space="0" w:color="auto"/>
          </w:divBdr>
        </w:div>
        <w:div w:id="2024705131">
          <w:marLeft w:val="0"/>
          <w:marRight w:val="0"/>
          <w:marTop w:val="0"/>
          <w:marBottom w:val="0"/>
          <w:divBdr>
            <w:top w:val="none" w:sz="0" w:space="0" w:color="auto"/>
            <w:left w:val="none" w:sz="0" w:space="0" w:color="auto"/>
            <w:bottom w:val="none" w:sz="0" w:space="0" w:color="auto"/>
            <w:right w:val="none" w:sz="0" w:space="0" w:color="auto"/>
          </w:divBdr>
        </w:div>
        <w:div w:id="2024705132">
          <w:marLeft w:val="0"/>
          <w:marRight w:val="0"/>
          <w:marTop w:val="0"/>
          <w:marBottom w:val="0"/>
          <w:divBdr>
            <w:top w:val="none" w:sz="0" w:space="0" w:color="auto"/>
            <w:left w:val="none" w:sz="0" w:space="0" w:color="auto"/>
            <w:bottom w:val="none" w:sz="0" w:space="0" w:color="auto"/>
            <w:right w:val="none" w:sz="0" w:space="0" w:color="auto"/>
          </w:divBdr>
        </w:div>
        <w:div w:id="2024705133">
          <w:marLeft w:val="0"/>
          <w:marRight w:val="0"/>
          <w:marTop w:val="0"/>
          <w:marBottom w:val="0"/>
          <w:divBdr>
            <w:top w:val="none" w:sz="0" w:space="0" w:color="auto"/>
            <w:left w:val="none" w:sz="0" w:space="0" w:color="auto"/>
            <w:bottom w:val="none" w:sz="0" w:space="0" w:color="auto"/>
            <w:right w:val="none" w:sz="0" w:space="0" w:color="auto"/>
          </w:divBdr>
        </w:div>
        <w:div w:id="2024705134">
          <w:marLeft w:val="0"/>
          <w:marRight w:val="0"/>
          <w:marTop w:val="0"/>
          <w:marBottom w:val="0"/>
          <w:divBdr>
            <w:top w:val="none" w:sz="0" w:space="0" w:color="auto"/>
            <w:left w:val="none" w:sz="0" w:space="0" w:color="auto"/>
            <w:bottom w:val="none" w:sz="0" w:space="0" w:color="auto"/>
            <w:right w:val="none" w:sz="0" w:space="0" w:color="auto"/>
          </w:divBdr>
        </w:div>
        <w:div w:id="2024705135">
          <w:marLeft w:val="0"/>
          <w:marRight w:val="0"/>
          <w:marTop w:val="0"/>
          <w:marBottom w:val="0"/>
          <w:divBdr>
            <w:top w:val="none" w:sz="0" w:space="0" w:color="auto"/>
            <w:left w:val="none" w:sz="0" w:space="0" w:color="auto"/>
            <w:bottom w:val="none" w:sz="0" w:space="0" w:color="auto"/>
            <w:right w:val="none" w:sz="0" w:space="0" w:color="auto"/>
          </w:divBdr>
        </w:div>
        <w:div w:id="2024705136">
          <w:marLeft w:val="0"/>
          <w:marRight w:val="0"/>
          <w:marTop w:val="0"/>
          <w:marBottom w:val="0"/>
          <w:divBdr>
            <w:top w:val="none" w:sz="0" w:space="0" w:color="auto"/>
            <w:left w:val="none" w:sz="0" w:space="0" w:color="auto"/>
            <w:bottom w:val="none" w:sz="0" w:space="0" w:color="auto"/>
            <w:right w:val="none" w:sz="0" w:space="0" w:color="auto"/>
          </w:divBdr>
        </w:div>
        <w:div w:id="2024705137">
          <w:marLeft w:val="0"/>
          <w:marRight w:val="0"/>
          <w:marTop w:val="0"/>
          <w:marBottom w:val="0"/>
          <w:divBdr>
            <w:top w:val="none" w:sz="0" w:space="0" w:color="auto"/>
            <w:left w:val="none" w:sz="0" w:space="0" w:color="auto"/>
            <w:bottom w:val="none" w:sz="0" w:space="0" w:color="auto"/>
            <w:right w:val="none" w:sz="0" w:space="0" w:color="auto"/>
          </w:divBdr>
        </w:div>
        <w:div w:id="2024705138">
          <w:marLeft w:val="0"/>
          <w:marRight w:val="0"/>
          <w:marTop w:val="0"/>
          <w:marBottom w:val="0"/>
          <w:divBdr>
            <w:top w:val="none" w:sz="0" w:space="0" w:color="auto"/>
            <w:left w:val="none" w:sz="0" w:space="0" w:color="auto"/>
            <w:bottom w:val="none" w:sz="0" w:space="0" w:color="auto"/>
            <w:right w:val="none" w:sz="0" w:space="0" w:color="auto"/>
          </w:divBdr>
        </w:div>
        <w:div w:id="2024705139">
          <w:marLeft w:val="0"/>
          <w:marRight w:val="0"/>
          <w:marTop w:val="0"/>
          <w:marBottom w:val="0"/>
          <w:divBdr>
            <w:top w:val="none" w:sz="0" w:space="0" w:color="auto"/>
            <w:left w:val="none" w:sz="0" w:space="0" w:color="auto"/>
            <w:bottom w:val="none" w:sz="0" w:space="0" w:color="auto"/>
            <w:right w:val="none" w:sz="0" w:space="0" w:color="auto"/>
          </w:divBdr>
        </w:div>
        <w:div w:id="2024705140">
          <w:marLeft w:val="0"/>
          <w:marRight w:val="0"/>
          <w:marTop w:val="0"/>
          <w:marBottom w:val="0"/>
          <w:divBdr>
            <w:top w:val="none" w:sz="0" w:space="0" w:color="auto"/>
            <w:left w:val="none" w:sz="0" w:space="0" w:color="auto"/>
            <w:bottom w:val="none" w:sz="0" w:space="0" w:color="auto"/>
            <w:right w:val="none" w:sz="0" w:space="0" w:color="auto"/>
          </w:divBdr>
        </w:div>
        <w:div w:id="2024705141">
          <w:marLeft w:val="0"/>
          <w:marRight w:val="0"/>
          <w:marTop w:val="0"/>
          <w:marBottom w:val="0"/>
          <w:divBdr>
            <w:top w:val="none" w:sz="0" w:space="0" w:color="auto"/>
            <w:left w:val="none" w:sz="0" w:space="0" w:color="auto"/>
            <w:bottom w:val="none" w:sz="0" w:space="0" w:color="auto"/>
            <w:right w:val="none" w:sz="0" w:space="0" w:color="auto"/>
          </w:divBdr>
        </w:div>
        <w:div w:id="2024705142">
          <w:marLeft w:val="0"/>
          <w:marRight w:val="0"/>
          <w:marTop w:val="0"/>
          <w:marBottom w:val="0"/>
          <w:divBdr>
            <w:top w:val="none" w:sz="0" w:space="0" w:color="auto"/>
            <w:left w:val="none" w:sz="0" w:space="0" w:color="auto"/>
            <w:bottom w:val="none" w:sz="0" w:space="0" w:color="auto"/>
            <w:right w:val="none" w:sz="0" w:space="0" w:color="auto"/>
          </w:divBdr>
        </w:div>
        <w:div w:id="2024705143">
          <w:marLeft w:val="0"/>
          <w:marRight w:val="0"/>
          <w:marTop w:val="0"/>
          <w:marBottom w:val="0"/>
          <w:divBdr>
            <w:top w:val="none" w:sz="0" w:space="0" w:color="auto"/>
            <w:left w:val="none" w:sz="0" w:space="0" w:color="auto"/>
            <w:bottom w:val="none" w:sz="0" w:space="0" w:color="auto"/>
            <w:right w:val="none" w:sz="0" w:space="0" w:color="auto"/>
          </w:divBdr>
        </w:div>
        <w:div w:id="2024705144">
          <w:marLeft w:val="0"/>
          <w:marRight w:val="0"/>
          <w:marTop w:val="0"/>
          <w:marBottom w:val="0"/>
          <w:divBdr>
            <w:top w:val="none" w:sz="0" w:space="0" w:color="auto"/>
            <w:left w:val="none" w:sz="0" w:space="0" w:color="auto"/>
            <w:bottom w:val="none" w:sz="0" w:space="0" w:color="auto"/>
            <w:right w:val="none" w:sz="0" w:space="0" w:color="auto"/>
          </w:divBdr>
        </w:div>
        <w:div w:id="2024705145">
          <w:marLeft w:val="0"/>
          <w:marRight w:val="0"/>
          <w:marTop w:val="0"/>
          <w:marBottom w:val="0"/>
          <w:divBdr>
            <w:top w:val="none" w:sz="0" w:space="0" w:color="auto"/>
            <w:left w:val="none" w:sz="0" w:space="0" w:color="auto"/>
            <w:bottom w:val="none" w:sz="0" w:space="0" w:color="auto"/>
            <w:right w:val="none" w:sz="0" w:space="0" w:color="auto"/>
          </w:divBdr>
        </w:div>
        <w:div w:id="2024705146">
          <w:marLeft w:val="0"/>
          <w:marRight w:val="0"/>
          <w:marTop w:val="0"/>
          <w:marBottom w:val="0"/>
          <w:divBdr>
            <w:top w:val="none" w:sz="0" w:space="0" w:color="auto"/>
            <w:left w:val="none" w:sz="0" w:space="0" w:color="auto"/>
            <w:bottom w:val="none" w:sz="0" w:space="0" w:color="auto"/>
            <w:right w:val="none" w:sz="0" w:space="0" w:color="auto"/>
          </w:divBdr>
        </w:div>
        <w:div w:id="2024705147">
          <w:marLeft w:val="0"/>
          <w:marRight w:val="0"/>
          <w:marTop w:val="0"/>
          <w:marBottom w:val="0"/>
          <w:divBdr>
            <w:top w:val="none" w:sz="0" w:space="0" w:color="auto"/>
            <w:left w:val="none" w:sz="0" w:space="0" w:color="auto"/>
            <w:bottom w:val="none" w:sz="0" w:space="0" w:color="auto"/>
            <w:right w:val="none" w:sz="0" w:space="0" w:color="auto"/>
          </w:divBdr>
        </w:div>
        <w:div w:id="2024705148">
          <w:marLeft w:val="0"/>
          <w:marRight w:val="0"/>
          <w:marTop w:val="0"/>
          <w:marBottom w:val="0"/>
          <w:divBdr>
            <w:top w:val="none" w:sz="0" w:space="0" w:color="auto"/>
            <w:left w:val="none" w:sz="0" w:space="0" w:color="auto"/>
            <w:bottom w:val="none" w:sz="0" w:space="0" w:color="auto"/>
            <w:right w:val="none" w:sz="0" w:space="0" w:color="auto"/>
          </w:divBdr>
        </w:div>
        <w:div w:id="2024705149">
          <w:marLeft w:val="0"/>
          <w:marRight w:val="0"/>
          <w:marTop w:val="0"/>
          <w:marBottom w:val="0"/>
          <w:divBdr>
            <w:top w:val="none" w:sz="0" w:space="0" w:color="auto"/>
            <w:left w:val="none" w:sz="0" w:space="0" w:color="auto"/>
            <w:bottom w:val="none" w:sz="0" w:space="0" w:color="auto"/>
            <w:right w:val="none" w:sz="0" w:space="0" w:color="auto"/>
          </w:divBdr>
        </w:div>
        <w:div w:id="2024705150">
          <w:marLeft w:val="0"/>
          <w:marRight w:val="0"/>
          <w:marTop w:val="0"/>
          <w:marBottom w:val="0"/>
          <w:divBdr>
            <w:top w:val="none" w:sz="0" w:space="0" w:color="auto"/>
            <w:left w:val="none" w:sz="0" w:space="0" w:color="auto"/>
            <w:bottom w:val="none" w:sz="0" w:space="0" w:color="auto"/>
            <w:right w:val="none" w:sz="0" w:space="0" w:color="auto"/>
          </w:divBdr>
        </w:div>
        <w:div w:id="2024705152">
          <w:marLeft w:val="0"/>
          <w:marRight w:val="0"/>
          <w:marTop w:val="0"/>
          <w:marBottom w:val="0"/>
          <w:divBdr>
            <w:top w:val="none" w:sz="0" w:space="0" w:color="auto"/>
            <w:left w:val="none" w:sz="0" w:space="0" w:color="auto"/>
            <w:bottom w:val="none" w:sz="0" w:space="0" w:color="auto"/>
            <w:right w:val="none" w:sz="0" w:space="0" w:color="auto"/>
          </w:divBdr>
        </w:div>
        <w:div w:id="2024705153">
          <w:marLeft w:val="0"/>
          <w:marRight w:val="0"/>
          <w:marTop w:val="0"/>
          <w:marBottom w:val="0"/>
          <w:divBdr>
            <w:top w:val="none" w:sz="0" w:space="0" w:color="auto"/>
            <w:left w:val="none" w:sz="0" w:space="0" w:color="auto"/>
            <w:bottom w:val="none" w:sz="0" w:space="0" w:color="auto"/>
            <w:right w:val="none" w:sz="0" w:space="0" w:color="auto"/>
          </w:divBdr>
        </w:div>
        <w:div w:id="2024705154">
          <w:marLeft w:val="0"/>
          <w:marRight w:val="0"/>
          <w:marTop w:val="0"/>
          <w:marBottom w:val="0"/>
          <w:divBdr>
            <w:top w:val="none" w:sz="0" w:space="0" w:color="auto"/>
            <w:left w:val="none" w:sz="0" w:space="0" w:color="auto"/>
            <w:bottom w:val="none" w:sz="0" w:space="0" w:color="auto"/>
            <w:right w:val="none" w:sz="0" w:space="0" w:color="auto"/>
          </w:divBdr>
        </w:div>
        <w:div w:id="2024705156">
          <w:marLeft w:val="0"/>
          <w:marRight w:val="0"/>
          <w:marTop w:val="0"/>
          <w:marBottom w:val="0"/>
          <w:divBdr>
            <w:top w:val="none" w:sz="0" w:space="0" w:color="auto"/>
            <w:left w:val="none" w:sz="0" w:space="0" w:color="auto"/>
            <w:bottom w:val="none" w:sz="0" w:space="0" w:color="auto"/>
            <w:right w:val="none" w:sz="0" w:space="0" w:color="auto"/>
          </w:divBdr>
        </w:div>
        <w:div w:id="2024705157">
          <w:marLeft w:val="0"/>
          <w:marRight w:val="0"/>
          <w:marTop w:val="0"/>
          <w:marBottom w:val="0"/>
          <w:divBdr>
            <w:top w:val="none" w:sz="0" w:space="0" w:color="auto"/>
            <w:left w:val="none" w:sz="0" w:space="0" w:color="auto"/>
            <w:bottom w:val="none" w:sz="0" w:space="0" w:color="auto"/>
            <w:right w:val="none" w:sz="0" w:space="0" w:color="auto"/>
          </w:divBdr>
        </w:div>
        <w:div w:id="2024705158">
          <w:marLeft w:val="0"/>
          <w:marRight w:val="0"/>
          <w:marTop w:val="0"/>
          <w:marBottom w:val="0"/>
          <w:divBdr>
            <w:top w:val="none" w:sz="0" w:space="0" w:color="auto"/>
            <w:left w:val="none" w:sz="0" w:space="0" w:color="auto"/>
            <w:bottom w:val="none" w:sz="0" w:space="0" w:color="auto"/>
            <w:right w:val="none" w:sz="0" w:space="0" w:color="auto"/>
          </w:divBdr>
        </w:div>
        <w:div w:id="2024705159">
          <w:marLeft w:val="0"/>
          <w:marRight w:val="0"/>
          <w:marTop w:val="0"/>
          <w:marBottom w:val="0"/>
          <w:divBdr>
            <w:top w:val="none" w:sz="0" w:space="0" w:color="auto"/>
            <w:left w:val="none" w:sz="0" w:space="0" w:color="auto"/>
            <w:bottom w:val="none" w:sz="0" w:space="0" w:color="auto"/>
            <w:right w:val="none" w:sz="0" w:space="0" w:color="auto"/>
          </w:divBdr>
        </w:div>
        <w:div w:id="2024705160">
          <w:marLeft w:val="0"/>
          <w:marRight w:val="0"/>
          <w:marTop w:val="0"/>
          <w:marBottom w:val="0"/>
          <w:divBdr>
            <w:top w:val="none" w:sz="0" w:space="0" w:color="auto"/>
            <w:left w:val="none" w:sz="0" w:space="0" w:color="auto"/>
            <w:bottom w:val="none" w:sz="0" w:space="0" w:color="auto"/>
            <w:right w:val="none" w:sz="0" w:space="0" w:color="auto"/>
          </w:divBdr>
        </w:div>
        <w:div w:id="2024705161">
          <w:marLeft w:val="0"/>
          <w:marRight w:val="0"/>
          <w:marTop w:val="0"/>
          <w:marBottom w:val="0"/>
          <w:divBdr>
            <w:top w:val="none" w:sz="0" w:space="0" w:color="auto"/>
            <w:left w:val="none" w:sz="0" w:space="0" w:color="auto"/>
            <w:bottom w:val="none" w:sz="0" w:space="0" w:color="auto"/>
            <w:right w:val="none" w:sz="0" w:space="0" w:color="auto"/>
          </w:divBdr>
        </w:div>
        <w:div w:id="2024705162">
          <w:marLeft w:val="0"/>
          <w:marRight w:val="0"/>
          <w:marTop w:val="0"/>
          <w:marBottom w:val="0"/>
          <w:divBdr>
            <w:top w:val="none" w:sz="0" w:space="0" w:color="auto"/>
            <w:left w:val="none" w:sz="0" w:space="0" w:color="auto"/>
            <w:bottom w:val="none" w:sz="0" w:space="0" w:color="auto"/>
            <w:right w:val="none" w:sz="0" w:space="0" w:color="auto"/>
          </w:divBdr>
        </w:div>
        <w:div w:id="2024705163">
          <w:marLeft w:val="0"/>
          <w:marRight w:val="0"/>
          <w:marTop w:val="0"/>
          <w:marBottom w:val="0"/>
          <w:divBdr>
            <w:top w:val="none" w:sz="0" w:space="0" w:color="auto"/>
            <w:left w:val="none" w:sz="0" w:space="0" w:color="auto"/>
            <w:bottom w:val="none" w:sz="0" w:space="0" w:color="auto"/>
            <w:right w:val="none" w:sz="0" w:space="0" w:color="auto"/>
          </w:divBdr>
        </w:div>
        <w:div w:id="2024705164">
          <w:marLeft w:val="0"/>
          <w:marRight w:val="0"/>
          <w:marTop w:val="0"/>
          <w:marBottom w:val="0"/>
          <w:divBdr>
            <w:top w:val="none" w:sz="0" w:space="0" w:color="auto"/>
            <w:left w:val="none" w:sz="0" w:space="0" w:color="auto"/>
            <w:bottom w:val="none" w:sz="0" w:space="0" w:color="auto"/>
            <w:right w:val="none" w:sz="0" w:space="0" w:color="auto"/>
          </w:divBdr>
        </w:div>
        <w:div w:id="2024705165">
          <w:marLeft w:val="0"/>
          <w:marRight w:val="0"/>
          <w:marTop w:val="0"/>
          <w:marBottom w:val="0"/>
          <w:divBdr>
            <w:top w:val="none" w:sz="0" w:space="0" w:color="auto"/>
            <w:left w:val="none" w:sz="0" w:space="0" w:color="auto"/>
            <w:bottom w:val="none" w:sz="0" w:space="0" w:color="auto"/>
            <w:right w:val="none" w:sz="0" w:space="0" w:color="auto"/>
          </w:divBdr>
        </w:div>
        <w:div w:id="2024705167">
          <w:marLeft w:val="0"/>
          <w:marRight w:val="0"/>
          <w:marTop w:val="0"/>
          <w:marBottom w:val="0"/>
          <w:divBdr>
            <w:top w:val="none" w:sz="0" w:space="0" w:color="auto"/>
            <w:left w:val="none" w:sz="0" w:space="0" w:color="auto"/>
            <w:bottom w:val="none" w:sz="0" w:space="0" w:color="auto"/>
            <w:right w:val="none" w:sz="0" w:space="0" w:color="auto"/>
          </w:divBdr>
        </w:div>
        <w:div w:id="2024705168">
          <w:marLeft w:val="0"/>
          <w:marRight w:val="0"/>
          <w:marTop w:val="0"/>
          <w:marBottom w:val="0"/>
          <w:divBdr>
            <w:top w:val="none" w:sz="0" w:space="0" w:color="auto"/>
            <w:left w:val="none" w:sz="0" w:space="0" w:color="auto"/>
            <w:bottom w:val="none" w:sz="0" w:space="0" w:color="auto"/>
            <w:right w:val="none" w:sz="0" w:space="0" w:color="auto"/>
          </w:divBdr>
        </w:div>
        <w:div w:id="2024705169">
          <w:marLeft w:val="0"/>
          <w:marRight w:val="0"/>
          <w:marTop w:val="0"/>
          <w:marBottom w:val="0"/>
          <w:divBdr>
            <w:top w:val="none" w:sz="0" w:space="0" w:color="auto"/>
            <w:left w:val="none" w:sz="0" w:space="0" w:color="auto"/>
            <w:bottom w:val="none" w:sz="0" w:space="0" w:color="auto"/>
            <w:right w:val="none" w:sz="0" w:space="0" w:color="auto"/>
          </w:divBdr>
        </w:div>
        <w:div w:id="2024705170">
          <w:marLeft w:val="0"/>
          <w:marRight w:val="0"/>
          <w:marTop w:val="0"/>
          <w:marBottom w:val="0"/>
          <w:divBdr>
            <w:top w:val="none" w:sz="0" w:space="0" w:color="auto"/>
            <w:left w:val="none" w:sz="0" w:space="0" w:color="auto"/>
            <w:bottom w:val="none" w:sz="0" w:space="0" w:color="auto"/>
            <w:right w:val="none" w:sz="0" w:space="0" w:color="auto"/>
          </w:divBdr>
        </w:div>
        <w:div w:id="2024705171">
          <w:marLeft w:val="0"/>
          <w:marRight w:val="0"/>
          <w:marTop w:val="0"/>
          <w:marBottom w:val="0"/>
          <w:divBdr>
            <w:top w:val="none" w:sz="0" w:space="0" w:color="auto"/>
            <w:left w:val="none" w:sz="0" w:space="0" w:color="auto"/>
            <w:bottom w:val="none" w:sz="0" w:space="0" w:color="auto"/>
            <w:right w:val="none" w:sz="0" w:space="0" w:color="auto"/>
          </w:divBdr>
        </w:div>
        <w:div w:id="2024705172">
          <w:marLeft w:val="0"/>
          <w:marRight w:val="0"/>
          <w:marTop w:val="0"/>
          <w:marBottom w:val="0"/>
          <w:divBdr>
            <w:top w:val="none" w:sz="0" w:space="0" w:color="auto"/>
            <w:left w:val="none" w:sz="0" w:space="0" w:color="auto"/>
            <w:bottom w:val="none" w:sz="0" w:space="0" w:color="auto"/>
            <w:right w:val="none" w:sz="0" w:space="0" w:color="auto"/>
          </w:divBdr>
        </w:div>
        <w:div w:id="2024705173">
          <w:marLeft w:val="0"/>
          <w:marRight w:val="0"/>
          <w:marTop w:val="0"/>
          <w:marBottom w:val="0"/>
          <w:divBdr>
            <w:top w:val="none" w:sz="0" w:space="0" w:color="auto"/>
            <w:left w:val="none" w:sz="0" w:space="0" w:color="auto"/>
            <w:bottom w:val="none" w:sz="0" w:space="0" w:color="auto"/>
            <w:right w:val="none" w:sz="0" w:space="0" w:color="auto"/>
          </w:divBdr>
        </w:div>
        <w:div w:id="2024705174">
          <w:marLeft w:val="0"/>
          <w:marRight w:val="0"/>
          <w:marTop w:val="0"/>
          <w:marBottom w:val="0"/>
          <w:divBdr>
            <w:top w:val="none" w:sz="0" w:space="0" w:color="auto"/>
            <w:left w:val="none" w:sz="0" w:space="0" w:color="auto"/>
            <w:bottom w:val="none" w:sz="0" w:space="0" w:color="auto"/>
            <w:right w:val="none" w:sz="0" w:space="0" w:color="auto"/>
          </w:divBdr>
        </w:div>
        <w:div w:id="2024705175">
          <w:marLeft w:val="0"/>
          <w:marRight w:val="0"/>
          <w:marTop w:val="0"/>
          <w:marBottom w:val="0"/>
          <w:divBdr>
            <w:top w:val="none" w:sz="0" w:space="0" w:color="auto"/>
            <w:left w:val="none" w:sz="0" w:space="0" w:color="auto"/>
            <w:bottom w:val="none" w:sz="0" w:space="0" w:color="auto"/>
            <w:right w:val="none" w:sz="0" w:space="0" w:color="auto"/>
          </w:divBdr>
        </w:div>
        <w:div w:id="2024705176">
          <w:marLeft w:val="0"/>
          <w:marRight w:val="0"/>
          <w:marTop w:val="0"/>
          <w:marBottom w:val="0"/>
          <w:divBdr>
            <w:top w:val="none" w:sz="0" w:space="0" w:color="auto"/>
            <w:left w:val="none" w:sz="0" w:space="0" w:color="auto"/>
            <w:bottom w:val="none" w:sz="0" w:space="0" w:color="auto"/>
            <w:right w:val="none" w:sz="0" w:space="0" w:color="auto"/>
          </w:divBdr>
        </w:div>
        <w:div w:id="2024705177">
          <w:marLeft w:val="0"/>
          <w:marRight w:val="0"/>
          <w:marTop w:val="0"/>
          <w:marBottom w:val="0"/>
          <w:divBdr>
            <w:top w:val="none" w:sz="0" w:space="0" w:color="auto"/>
            <w:left w:val="none" w:sz="0" w:space="0" w:color="auto"/>
            <w:bottom w:val="none" w:sz="0" w:space="0" w:color="auto"/>
            <w:right w:val="none" w:sz="0" w:space="0" w:color="auto"/>
          </w:divBdr>
        </w:div>
        <w:div w:id="2024705178">
          <w:marLeft w:val="0"/>
          <w:marRight w:val="0"/>
          <w:marTop w:val="0"/>
          <w:marBottom w:val="0"/>
          <w:divBdr>
            <w:top w:val="none" w:sz="0" w:space="0" w:color="auto"/>
            <w:left w:val="none" w:sz="0" w:space="0" w:color="auto"/>
            <w:bottom w:val="none" w:sz="0" w:space="0" w:color="auto"/>
            <w:right w:val="none" w:sz="0" w:space="0" w:color="auto"/>
          </w:divBdr>
        </w:div>
        <w:div w:id="2024705179">
          <w:marLeft w:val="0"/>
          <w:marRight w:val="0"/>
          <w:marTop w:val="0"/>
          <w:marBottom w:val="0"/>
          <w:divBdr>
            <w:top w:val="none" w:sz="0" w:space="0" w:color="auto"/>
            <w:left w:val="none" w:sz="0" w:space="0" w:color="auto"/>
            <w:bottom w:val="none" w:sz="0" w:space="0" w:color="auto"/>
            <w:right w:val="none" w:sz="0" w:space="0" w:color="auto"/>
          </w:divBdr>
        </w:div>
        <w:div w:id="2024705180">
          <w:marLeft w:val="0"/>
          <w:marRight w:val="0"/>
          <w:marTop w:val="0"/>
          <w:marBottom w:val="0"/>
          <w:divBdr>
            <w:top w:val="none" w:sz="0" w:space="0" w:color="auto"/>
            <w:left w:val="none" w:sz="0" w:space="0" w:color="auto"/>
            <w:bottom w:val="none" w:sz="0" w:space="0" w:color="auto"/>
            <w:right w:val="none" w:sz="0" w:space="0" w:color="auto"/>
          </w:divBdr>
        </w:div>
        <w:div w:id="2024705181">
          <w:marLeft w:val="0"/>
          <w:marRight w:val="0"/>
          <w:marTop w:val="0"/>
          <w:marBottom w:val="0"/>
          <w:divBdr>
            <w:top w:val="none" w:sz="0" w:space="0" w:color="auto"/>
            <w:left w:val="none" w:sz="0" w:space="0" w:color="auto"/>
            <w:bottom w:val="none" w:sz="0" w:space="0" w:color="auto"/>
            <w:right w:val="none" w:sz="0" w:space="0" w:color="auto"/>
          </w:divBdr>
        </w:div>
        <w:div w:id="2024705182">
          <w:marLeft w:val="0"/>
          <w:marRight w:val="0"/>
          <w:marTop w:val="0"/>
          <w:marBottom w:val="0"/>
          <w:divBdr>
            <w:top w:val="none" w:sz="0" w:space="0" w:color="auto"/>
            <w:left w:val="none" w:sz="0" w:space="0" w:color="auto"/>
            <w:bottom w:val="none" w:sz="0" w:space="0" w:color="auto"/>
            <w:right w:val="none" w:sz="0" w:space="0" w:color="auto"/>
          </w:divBdr>
        </w:div>
        <w:div w:id="2024705183">
          <w:marLeft w:val="0"/>
          <w:marRight w:val="0"/>
          <w:marTop w:val="0"/>
          <w:marBottom w:val="0"/>
          <w:divBdr>
            <w:top w:val="none" w:sz="0" w:space="0" w:color="auto"/>
            <w:left w:val="none" w:sz="0" w:space="0" w:color="auto"/>
            <w:bottom w:val="none" w:sz="0" w:space="0" w:color="auto"/>
            <w:right w:val="none" w:sz="0" w:space="0" w:color="auto"/>
          </w:divBdr>
        </w:div>
        <w:div w:id="2024705184">
          <w:marLeft w:val="0"/>
          <w:marRight w:val="0"/>
          <w:marTop w:val="0"/>
          <w:marBottom w:val="0"/>
          <w:divBdr>
            <w:top w:val="none" w:sz="0" w:space="0" w:color="auto"/>
            <w:left w:val="none" w:sz="0" w:space="0" w:color="auto"/>
            <w:bottom w:val="none" w:sz="0" w:space="0" w:color="auto"/>
            <w:right w:val="none" w:sz="0" w:space="0" w:color="auto"/>
          </w:divBdr>
        </w:div>
        <w:div w:id="2024705185">
          <w:marLeft w:val="0"/>
          <w:marRight w:val="0"/>
          <w:marTop w:val="0"/>
          <w:marBottom w:val="0"/>
          <w:divBdr>
            <w:top w:val="none" w:sz="0" w:space="0" w:color="auto"/>
            <w:left w:val="none" w:sz="0" w:space="0" w:color="auto"/>
            <w:bottom w:val="none" w:sz="0" w:space="0" w:color="auto"/>
            <w:right w:val="none" w:sz="0" w:space="0" w:color="auto"/>
          </w:divBdr>
        </w:div>
        <w:div w:id="2024705186">
          <w:marLeft w:val="0"/>
          <w:marRight w:val="0"/>
          <w:marTop w:val="0"/>
          <w:marBottom w:val="0"/>
          <w:divBdr>
            <w:top w:val="none" w:sz="0" w:space="0" w:color="auto"/>
            <w:left w:val="none" w:sz="0" w:space="0" w:color="auto"/>
            <w:bottom w:val="none" w:sz="0" w:space="0" w:color="auto"/>
            <w:right w:val="none" w:sz="0" w:space="0" w:color="auto"/>
          </w:divBdr>
        </w:div>
        <w:div w:id="2024705187">
          <w:marLeft w:val="0"/>
          <w:marRight w:val="0"/>
          <w:marTop w:val="0"/>
          <w:marBottom w:val="0"/>
          <w:divBdr>
            <w:top w:val="none" w:sz="0" w:space="0" w:color="auto"/>
            <w:left w:val="none" w:sz="0" w:space="0" w:color="auto"/>
            <w:bottom w:val="none" w:sz="0" w:space="0" w:color="auto"/>
            <w:right w:val="none" w:sz="0" w:space="0" w:color="auto"/>
          </w:divBdr>
        </w:div>
        <w:div w:id="2024705188">
          <w:marLeft w:val="0"/>
          <w:marRight w:val="0"/>
          <w:marTop w:val="0"/>
          <w:marBottom w:val="0"/>
          <w:divBdr>
            <w:top w:val="none" w:sz="0" w:space="0" w:color="auto"/>
            <w:left w:val="none" w:sz="0" w:space="0" w:color="auto"/>
            <w:bottom w:val="none" w:sz="0" w:space="0" w:color="auto"/>
            <w:right w:val="none" w:sz="0" w:space="0" w:color="auto"/>
          </w:divBdr>
        </w:div>
        <w:div w:id="2024705189">
          <w:marLeft w:val="0"/>
          <w:marRight w:val="0"/>
          <w:marTop w:val="0"/>
          <w:marBottom w:val="0"/>
          <w:divBdr>
            <w:top w:val="none" w:sz="0" w:space="0" w:color="auto"/>
            <w:left w:val="none" w:sz="0" w:space="0" w:color="auto"/>
            <w:bottom w:val="none" w:sz="0" w:space="0" w:color="auto"/>
            <w:right w:val="none" w:sz="0" w:space="0" w:color="auto"/>
          </w:divBdr>
        </w:div>
        <w:div w:id="2024705190">
          <w:marLeft w:val="0"/>
          <w:marRight w:val="0"/>
          <w:marTop w:val="0"/>
          <w:marBottom w:val="0"/>
          <w:divBdr>
            <w:top w:val="none" w:sz="0" w:space="0" w:color="auto"/>
            <w:left w:val="none" w:sz="0" w:space="0" w:color="auto"/>
            <w:bottom w:val="none" w:sz="0" w:space="0" w:color="auto"/>
            <w:right w:val="none" w:sz="0" w:space="0" w:color="auto"/>
          </w:divBdr>
        </w:div>
        <w:div w:id="2024705191">
          <w:marLeft w:val="0"/>
          <w:marRight w:val="0"/>
          <w:marTop w:val="0"/>
          <w:marBottom w:val="0"/>
          <w:divBdr>
            <w:top w:val="none" w:sz="0" w:space="0" w:color="auto"/>
            <w:left w:val="none" w:sz="0" w:space="0" w:color="auto"/>
            <w:bottom w:val="none" w:sz="0" w:space="0" w:color="auto"/>
            <w:right w:val="none" w:sz="0" w:space="0" w:color="auto"/>
          </w:divBdr>
        </w:div>
        <w:div w:id="2024705192">
          <w:marLeft w:val="0"/>
          <w:marRight w:val="0"/>
          <w:marTop w:val="0"/>
          <w:marBottom w:val="0"/>
          <w:divBdr>
            <w:top w:val="none" w:sz="0" w:space="0" w:color="auto"/>
            <w:left w:val="none" w:sz="0" w:space="0" w:color="auto"/>
            <w:bottom w:val="none" w:sz="0" w:space="0" w:color="auto"/>
            <w:right w:val="none" w:sz="0" w:space="0" w:color="auto"/>
          </w:divBdr>
        </w:div>
        <w:div w:id="2024705193">
          <w:marLeft w:val="0"/>
          <w:marRight w:val="0"/>
          <w:marTop w:val="0"/>
          <w:marBottom w:val="0"/>
          <w:divBdr>
            <w:top w:val="none" w:sz="0" w:space="0" w:color="auto"/>
            <w:left w:val="none" w:sz="0" w:space="0" w:color="auto"/>
            <w:bottom w:val="none" w:sz="0" w:space="0" w:color="auto"/>
            <w:right w:val="none" w:sz="0" w:space="0" w:color="auto"/>
          </w:divBdr>
        </w:div>
        <w:div w:id="2024705194">
          <w:marLeft w:val="0"/>
          <w:marRight w:val="0"/>
          <w:marTop w:val="0"/>
          <w:marBottom w:val="0"/>
          <w:divBdr>
            <w:top w:val="none" w:sz="0" w:space="0" w:color="auto"/>
            <w:left w:val="none" w:sz="0" w:space="0" w:color="auto"/>
            <w:bottom w:val="none" w:sz="0" w:space="0" w:color="auto"/>
            <w:right w:val="none" w:sz="0" w:space="0" w:color="auto"/>
          </w:divBdr>
        </w:div>
        <w:div w:id="2024705195">
          <w:marLeft w:val="0"/>
          <w:marRight w:val="0"/>
          <w:marTop w:val="0"/>
          <w:marBottom w:val="0"/>
          <w:divBdr>
            <w:top w:val="none" w:sz="0" w:space="0" w:color="auto"/>
            <w:left w:val="none" w:sz="0" w:space="0" w:color="auto"/>
            <w:bottom w:val="none" w:sz="0" w:space="0" w:color="auto"/>
            <w:right w:val="none" w:sz="0" w:space="0" w:color="auto"/>
          </w:divBdr>
        </w:div>
        <w:div w:id="2024705197">
          <w:marLeft w:val="0"/>
          <w:marRight w:val="0"/>
          <w:marTop w:val="0"/>
          <w:marBottom w:val="0"/>
          <w:divBdr>
            <w:top w:val="none" w:sz="0" w:space="0" w:color="auto"/>
            <w:left w:val="none" w:sz="0" w:space="0" w:color="auto"/>
            <w:bottom w:val="none" w:sz="0" w:space="0" w:color="auto"/>
            <w:right w:val="none" w:sz="0" w:space="0" w:color="auto"/>
          </w:divBdr>
        </w:div>
        <w:div w:id="2024705198">
          <w:marLeft w:val="0"/>
          <w:marRight w:val="0"/>
          <w:marTop w:val="0"/>
          <w:marBottom w:val="0"/>
          <w:divBdr>
            <w:top w:val="none" w:sz="0" w:space="0" w:color="auto"/>
            <w:left w:val="none" w:sz="0" w:space="0" w:color="auto"/>
            <w:bottom w:val="none" w:sz="0" w:space="0" w:color="auto"/>
            <w:right w:val="none" w:sz="0" w:space="0" w:color="auto"/>
          </w:divBdr>
        </w:div>
        <w:div w:id="2024705199">
          <w:marLeft w:val="0"/>
          <w:marRight w:val="0"/>
          <w:marTop w:val="0"/>
          <w:marBottom w:val="0"/>
          <w:divBdr>
            <w:top w:val="none" w:sz="0" w:space="0" w:color="auto"/>
            <w:left w:val="none" w:sz="0" w:space="0" w:color="auto"/>
            <w:bottom w:val="none" w:sz="0" w:space="0" w:color="auto"/>
            <w:right w:val="none" w:sz="0" w:space="0" w:color="auto"/>
          </w:divBdr>
        </w:div>
        <w:div w:id="2024705200">
          <w:marLeft w:val="0"/>
          <w:marRight w:val="0"/>
          <w:marTop w:val="0"/>
          <w:marBottom w:val="0"/>
          <w:divBdr>
            <w:top w:val="none" w:sz="0" w:space="0" w:color="auto"/>
            <w:left w:val="none" w:sz="0" w:space="0" w:color="auto"/>
            <w:bottom w:val="none" w:sz="0" w:space="0" w:color="auto"/>
            <w:right w:val="none" w:sz="0" w:space="0" w:color="auto"/>
          </w:divBdr>
        </w:div>
        <w:div w:id="2024705201">
          <w:marLeft w:val="0"/>
          <w:marRight w:val="0"/>
          <w:marTop w:val="0"/>
          <w:marBottom w:val="0"/>
          <w:divBdr>
            <w:top w:val="none" w:sz="0" w:space="0" w:color="auto"/>
            <w:left w:val="none" w:sz="0" w:space="0" w:color="auto"/>
            <w:bottom w:val="none" w:sz="0" w:space="0" w:color="auto"/>
            <w:right w:val="none" w:sz="0" w:space="0" w:color="auto"/>
          </w:divBdr>
        </w:div>
        <w:div w:id="2024705202">
          <w:marLeft w:val="0"/>
          <w:marRight w:val="0"/>
          <w:marTop w:val="0"/>
          <w:marBottom w:val="0"/>
          <w:divBdr>
            <w:top w:val="none" w:sz="0" w:space="0" w:color="auto"/>
            <w:left w:val="none" w:sz="0" w:space="0" w:color="auto"/>
            <w:bottom w:val="none" w:sz="0" w:space="0" w:color="auto"/>
            <w:right w:val="none" w:sz="0" w:space="0" w:color="auto"/>
          </w:divBdr>
        </w:div>
        <w:div w:id="2024705203">
          <w:marLeft w:val="0"/>
          <w:marRight w:val="0"/>
          <w:marTop w:val="0"/>
          <w:marBottom w:val="0"/>
          <w:divBdr>
            <w:top w:val="none" w:sz="0" w:space="0" w:color="auto"/>
            <w:left w:val="none" w:sz="0" w:space="0" w:color="auto"/>
            <w:bottom w:val="none" w:sz="0" w:space="0" w:color="auto"/>
            <w:right w:val="none" w:sz="0" w:space="0" w:color="auto"/>
          </w:divBdr>
        </w:div>
        <w:div w:id="2024705204">
          <w:marLeft w:val="0"/>
          <w:marRight w:val="0"/>
          <w:marTop w:val="0"/>
          <w:marBottom w:val="0"/>
          <w:divBdr>
            <w:top w:val="none" w:sz="0" w:space="0" w:color="auto"/>
            <w:left w:val="none" w:sz="0" w:space="0" w:color="auto"/>
            <w:bottom w:val="none" w:sz="0" w:space="0" w:color="auto"/>
            <w:right w:val="none" w:sz="0" w:space="0" w:color="auto"/>
          </w:divBdr>
        </w:div>
        <w:div w:id="2024705205">
          <w:marLeft w:val="0"/>
          <w:marRight w:val="0"/>
          <w:marTop w:val="0"/>
          <w:marBottom w:val="0"/>
          <w:divBdr>
            <w:top w:val="none" w:sz="0" w:space="0" w:color="auto"/>
            <w:left w:val="none" w:sz="0" w:space="0" w:color="auto"/>
            <w:bottom w:val="none" w:sz="0" w:space="0" w:color="auto"/>
            <w:right w:val="none" w:sz="0" w:space="0" w:color="auto"/>
          </w:divBdr>
        </w:div>
        <w:div w:id="2024705206">
          <w:marLeft w:val="0"/>
          <w:marRight w:val="0"/>
          <w:marTop w:val="0"/>
          <w:marBottom w:val="0"/>
          <w:divBdr>
            <w:top w:val="none" w:sz="0" w:space="0" w:color="auto"/>
            <w:left w:val="none" w:sz="0" w:space="0" w:color="auto"/>
            <w:bottom w:val="none" w:sz="0" w:space="0" w:color="auto"/>
            <w:right w:val="none" w:sz="0" w:space="0" w:color="auto"/>
          </w:divBdr>
        </w:div>
        <w:div w:id="2024705207">
          <w:marLeft w:val="0"/>
          <w:marRight w:val="0"/>
          <w:marTop w:val="0"/>
          <w:marBottom w:val="0"/>
          <w:divBdr>
            <w:top w:val="none" w:sz="0" w:space="0" w:color="auto"/>
            <w:left w:val="none" w:sz="0" w:space="0" w:color="auto"/>
            <w:bottom w:val="none" w:sz="0" w:space="0" w:color="auto"/>
            <w:right w:val="none" w:sz="0" w:space="0" w:color="auto"/>
          </w:divBdr>
        </w:div>
        <w:div w:id="2024705208">
          <w:marLeft w:val="0"/>
          <w:marRight w:val="0"/>
          <w:marTop w:val="0"/>
          <w:marBottom w:val="0"/>
          <w:divBdr>
            <w:top w:val="none" w:sz="0" w:space="0" w:color="auto"/>
            <w:left w:val="none" w:sz="0" w:space="0" w:color="auto"/>
            <w:bottom w:val="none" w:sz="0" w:space="0" w:color="auto"/>
            <w:right w:val="none" w:sz="0" w:space="0" w:color="auto"/>
          </w:divBdr>
        </w:div>
        <w:div w:id="2024705209">
          <w:marLeft w:val="0"/>
          <w:marRight w:val="0"/>
          <w:marTop w:val="0"/>
          <w:marBottom w:val="0"/>
          <w:divBdr>
            <w:top w:val="none" w:sz="0" w:space="0" w:color="auto"/>
            <w:left w:val="none" w:sz="0" w:space="0" w:color="auto"/>
            <w:bottom w:val="none" w:sz="0" w:space="0" w:color="auto"/>
            <w:right w:val="none" w:sz="0" w:space="0" w:color="auto"/>
          </w:divBdr>
        </w:div>
        <w:div w:id="2024705210">
          <w:marLeft w:val="0"/>
          <w:marRight w:val="0"/>
          <w:marTop w:val="0"/>
          <w:marBottom w:val="0"/>
          <w:divBdr>
            <w:top w:val="none" w:sz="0" w:space="0" w:color="auto"/>
            <w:left w:val="none" w:sz="0" w:space="0" w:color="auto"/>
            <w:bottom w:val="none" w:sz="0" w:space="0" w:color="auto"/>
            <w:right w:val="none" w:sz="0" w:space="0" w:color="auto"/>
          </w:divBdr>
        </w:div>
        <w:div w:id="2024705212">
          <w:marLeft w:val="0"/>
          <w:marRight w:val="0"/>
          <w:marTop w:val="0"/>
          <w:marBottom w:val="0"/>
          <w:divBdr>
            <w:top w:val="none" w:sz="0" w:space="0" w:color="auto"/>
            <w:left w:val="none" w:sz="0" w:space="0" w:color="auto"/>
            <w:bottom w:val="none" w:sz="0" w:space="0" w:color="auto"/>
            <w:right w:val="none" w:sz="0" w:space="0" w:color="auto"/>
          </w:divBdr>
        </w:div>
        <w:div w:id="2024705213">
          <w:marLeft w:val="0"/>
          <w:marRight w:val="0"/>
          <w:marTop w:val="0"/>
          <w:marBottom w:val="0"/>
          <w:divBdr>
            <w:top w:val="none" w:sz="0" w:space="0" w:color="auto"/>
            <w:left w:val="none" w:sz="0" w:space="0" w:color="auto"/>
            <w:bottom w:val="none" w:sz="0" w:space="0" w:color="auto"/>
            <w:right w:val="none" w:sz="0" w:space="0" w:color="auto"/>
          </w:divBdr>
        </w:div>
        <w:div w:id="2024705214">
          <w:marLeft w:val="0"/>
          <w:marRight w:val="0"/>
          <w:marTop w:val="0"/>
          <w:marBottom w:val="0"/>
          <w:divBdr>
            <w:top w:val="none" w:sz="0" w:space="0" w:color="auto"/>
            <w:left w:val="none" w:sz="0" w:space="0" w:color="auto"/>
            <w:bottom w:val="none" w:sz="0" w:space="0" w:color="auto"/>
            <w:right w:val="none" w:sz="0" w:space="0" w:color="auto"/>
          </w:divBdr>
        </w:div>
        <w:div w:id="2024705215">
          <w:marLeft w:val="0"/>
          <w:marRight w:val="0"/>
          <w:marTop w:val="0"/>
          <w:marBottom w:val="0"/>
          <w:divBdr>
            <w:top w:val="none" w:sz="0" w:space="0" w:color="auto"/>
            <w:left w:val="none" w:sz="0" w:space="0" w:color="auto"/>
            <w:bottom w:val="none" w:sz="0" w:space="0" w:color="auto"/>
            <w:right w:val="none" w:sz="0" w:space="0" w:color="auto"/>
          </w:divBdr>
        </w:div>
        <w:div w:id="2024705216">
          <w:marLeft w:val="0"/>
          <w:marRight w:val="0"/>
          <w:marTop w:val="0"/>
          <w:marBottom w:val="0"/>
          <w:divBdr>
            <w:top w:val="none" w:sz="0" w:space="0" w:color="auto"/>
            <w:left w:val="none" w:sz="0" w:space="0" w:color="auto"/>
            <w:bottom w:val="none" w:sz="0" w:space="0" w:color="auto"/>
            <w:right w:val="none" w:sz="0" w:space="0" w:color="auto"/>
          </w:divBdr>
        </w:div>
        <w:div w:id="2024705218">
          <w:marLeft w:val="0"/>
          <w:marRight w:val="0"/>
          <w:marTop w:val="0"/>
          <w:marBottom w:val="0"/>
          <w:divBdr>
            <w:top w:val="none" w:sz="0" w:space="0" w:color="auto"/>
            <w:left w:val="none" w:sz="0" w:space="0" w:color="auto"/>
            <w:bottom w:val="none" w:sz="0" w:space="0" w:color="auto"/>
            <w:right w:val="none" w:sz="0" w:space="0" w:color="auto"/>
          </w:divBdr>
        </w:div>
        <w:div w:id="2024705219">
          <w:marLeft w:val="0"/>
          <w:marRight w:val="0"/>
          <w:marTop w:val="0"/>
          <w:marBottom w:val="0"/>
          <w:divBdr>
            <w:top w:val="none" w:sz="0" w:space="0" w:color="auto"/>
            <w:left w:val="none" w:sz="0" w:space="0" w:color="auto"/>
            <w:bottom w:val="none" w:sz="0" w:space="0" w:color="auto"/>
            <w:right w:val="none" w:sz="0" w:space="0" w:color="auto"/>
          </w:divBdr>
        </w:div>
        <w:div w:id="2024705220">
          <w:marLeft w:val="0"/>
          <w:marRight w:val="0"/>
          <w:marTop w:val="0"/>
          <w:marBottom w:val="0"/>
          <w:divBdr>
            <w:top w:val="none" w:sz="0" w:space="0" w:color="auto"/>
            <w:left w:val="none" w:sz="0" w:space="0" w:color="auto"/>
            <w:bottom w:val="none" w:sz="0" w:space="0" w:color="auto"/>
            <w:right w:val="none" w:sz="0" w:space="0" w:color="auto"/>
          </w:divBdr>
        </w:div>
        <w:div w:id="2024705221">
          <w:marLeft w:val="0"/>
          <w:marRight w:val="0"/>
          <w:marTop w:val="0"/>
          <w:marBottom w:val="0"/>
          <w:divBdr>
            <w:top w:val="none" w:sz="0" w:space="0" w:color="auto"/>
            <w:left w:val="none" w:sz="0" w:space="0" w:color="auto"/>
            <w:bottom w:val="none" w:sz="0" w:space="0" w:color="auto"/>
            <w:right w:val="none" w:sz="0" w:space="0" w:color="auto"/>
          </w:divBdr>
        </w:div>
        <w:div w:id="2024705222">
          <w:marLeft w:val="0"/>
          <w:marRight w:val="0"/>
          <w:marTop w:val="0"/>
          <w:marBottom w:val="0"/>
          <w:divBdr>
            <w:top w:val="none" w:sz="0" w:space="0" w:color="auto"/>
            <w:left w:val="none" w:sz="0" w:space="0" w:color="auto"/>
            <w:bottom w:val="none" w:sz="0" w:space="0" w:color="auto"/>
            <w:right w:val="none" w:sz="0" w:space="0" w:color="auto"/>
          </w:divBdr>
        </w:div>
        <w:div w:id="2024705223">
          <w:marLeft w:val="0"/>
          <w:marRight w:val="0"/>
          <w:marTop w:val="0"/>
          <w:marBottom w:val="0"/>
          <w:divBdr>
            <w:top w:val="none" w:sz="0" w:space="0" w:color="auto"/>
            <w:left w:val="none" w:sz="0" w:space="0" w:color="auto"/>
            <w:bottom w:val="none" w:sz="0" w:space="0" w:color="auto"/>
            <w:right w:val="none" w:sz="0" w:space="0" w:color="auto"/>
          </w:divBdr>
        </w:div>
        <w:div w:id="2024705224">
          <w:marLeft w:val="0"/>
          <w:marRight w:val="0"/>
          <w:marTop w:val="0"/>
          <w:marBottom w:val="0"/>
          <w:divBdr>
            <w:top w:val="none" w:sz="0" w:space="0" w:color="auto"/>
            <w:left w:val="none" w:sz="0" w:space="0" w:color="auto"/>
            <w:bottom w:val="none" w:sz="0" w:space="0" w:color="auto"/>
            <w:right w:val="none" w:sz="0" w:space="0" w:color="auto"/>
          </w:divBdr>
        </w:div>
        <w:div w:id="2024705225">
          <w:marLeft w:val="0"/>
          <w:marRight w:val="0"/>
          <w:marTop w:val="0"/>
          <w:marBottom w:val="0"/>
          <w:divBdr>
            <w:top w:val="none" w:sz="0" w:space="0" w:color="auto"/>
            <w:left w:val="none" w:sz="0" w:space="0" w:color="auto"/>
            <w:bottom w:val="none" w:sz="0" w:space="0" w:color="auto"/>
            <w:right w:val="none" w:sz="0" w:space="0" w:color="auto"/>
          </w:divBdr>
        </w:div>
        <w:div w:id="2024705226">
          <w:marLeft w:val="0"/>
          <w:marRight w:val="0"/>
          <w:marTop w:val="0"/>
          <w:marBottom w:val="0"/>
          <w:divBdr>
            <w:top w:val="none" w:sz="0" w:space="0" w:color="auto"/>
            <w:left w:val="none" w:sz="0" w:space="0" w:color="auto"/>
            <w:bottom w:val="none" w:sz="0" w:space="0" w:color="auto"/>
            <w:right w:val="none" w:sz="0" w:space="0" w:color="auto"/>
          </w:divBdr>
        </w:div>
        <w:div w:id="2024705227">
          <w:marLeft w:val="0"/>
          <w:marRight w:val="0"/>
          <w:marTop w:val="0"/>
          <w:marBottom w:val="0"/>
          <w:divBdr>
            <w:top w:val="none" w:sz="0" w:space="0" w:color="auto"/>
            <w:left w:val="none" w:sz="0" w:space="0" w:color="auto"/>
            <w:bottom w:val="none" w:sz="0" w:space="0" w:color="auto"/>
            <w:right w:val="none" w:sz="0" w:space="0" w:color="auto"/>
          </w:divBdr>
        </w:div>
        <w:div w:id="2024705228">
          <w:marLeft w:val="0"/>
          <w:marRight w:val="0"/>
          <w:marTop w:val="0"/>
          <w:marBottom w:val="0"/>
          <w:divBdr>
            <w:top w:val="none" w:sz="0" w:space="0" w:color="auto"/>
            <w:left w:val="none" w:sz="0" w:space="0" w:color="auto"/>
            <w:bottom w:val="none" w:sz="0" w:space="0" w:color="auto"/>
            <w:right w:val="none" w:sz="0" w:space="0" w:color="auto"/>
          </w:divBdr>
        </w:div>
        <w:div w:id="2024705229">
          <w:marLeft w:val="0"/>
          <w:marRight w:val="0"/>
          <w:marTop w:val="0"/>
          <w:marBottom w:val="0"/>
          <w:divBdr>
            <w:top w:val="none" w:sz="0" w:space="0" w:color="auto"/>
            <w:left w:val="none" w:sz="0" w:space="0" w:color="auto"/>
            <w:bottom w:val="none" w:sz="0" w:space="0" w:color="auto"/>
            <w:right w:val="none" w:sz="0" w:space="0" w:color="auto"/>
          </w:divBdr>
        </w:div>
        <w:div w:id="2024705230">
          <w:marLeft w:val="0"/>
          <w:marRight w:val="0"/>
          <w:marTop w:val="0"/>
          <w:marBottom w:val="0"/>
          <w:divBdr>
            <w:top w:val="none" w:sz="0" w:space="0" w:color="auto"/>
            <w:left w:val="none" w:sz="0" w:space="0" w:color="auto"/>
            <w:bottom w:val="none" w:sz="0" w:space="0" w:color="auto"/>
            <w:right w:val="none" w:sz="0" w:space="0" w:color="auto"/>
          </w:divBdr>
        </w:div>
        <w:div w:id="2024705231">
          <w:marLeft w:val="0"/>
          <w:marRight w:val="0"/>
          <w:marTop w:val="0"/>
          <w:marBottom w:val="0"/>
          <w:divBdr>
            <w:top w:val="none" w:sz="0" w:space="0" w:color="auto"/>
            <w:left w:val="none" w:sz="0" w:space="0" w:color="auto"/>
            <w:bottom w:val="none" w:sz="0" w:space="0" w:color="auto"/>
            <w:right w:val="none" w:sz="0" w:space="0" w:color="auto"/>
          </w:divBdr>
        </w:div>
        <w:div w:id="2024705232">
          <w:marLeft w:val="0"/>
          <w:marRight w:val="0"/>
          <w:marTop w:val="0"/>
          <w:marBottom w:val="0"/>
          <w:divBdr>
            <w:top w:val="none" w:sz="0" w:space="0" w:color="auto"/>
            <w:left w:val="none" w:sz="0" w:space="0" w:color="auto"/>
            <w:bottom w:val="none" w:sz="0" w:space="0" w:color="auto"/>
            <w:right w:val="none" w:sz="0" w:space="0" w:color="auto"/>
          </w:divBdr>
        </w:div>
        <w:div w:id="2024705233">
          <w:marLeft w:val="0"/>
          <w:marRight w:val="0"/>
          <w:marTop w:val="0"/>
          <w:marBottom w:val="0"/>
          <w:divBdr>
            <w:top w:val="none" w:sz="0" w:space="0" w:color="auto"/>
            <w:left w:val="none" w:sz="0" w:space="0" w:color="auto"/>
            <w:bottom w:val="none" w:sz="0" w:space="0" w:color="auto"/>
            <w:right w:val="none" w:sz="0" w:space="0" w:color="auto"/>
          </w:divBdr>
        </w:div>
        <w:div w:id="2024705234">
          <w:marLeft w:val="0"/>
          <w:marRight w:val="0"/>
          <w:marTop w:val="0"/>
          <w:marBottom w:val="0"/>
          <w:divBdr>
            <w:top w:val="none" w:sz="0" w:space="0" w:color="auto"/>
            <w:left w:val="none" w:sz="0" w:space="0" w:color="auto"/>
            <w:bottom w:val="none" w:sz="0" w:space="0" w:color="auto"/>
            <w:right w:val="none" w:sz="0" w:space="0" w:color="auto"/>
          </w:divBdr>
        </w:div>
        <w:div w:id="2024705235">
          <w:marLeft w:val="0"/>
          <w:marRight w:val="0"/>
          <w:marTop w:val="0"/>
          <w:marBottom w:val="0"/>
          <w:divBdr>
            <w:top w:val="none" w:sz="0" w:space="0" w:color="auto"/>
            <w:left w:val="none" w:sz="0" w:space="0" w:color="auto"/>
            <w:bottom w:val="none" w:sz="0" w:space="0" w:color="auto"/>
            <w:right w:val="none" w:sz="0" w:space="0" w:color="auto"/>
          </w:divBdr>
        </w:div>
        <w:div w:id="2024705236">
          <w:marLeft w:val="0"/>
          <w:marRight w:val="0"/>
          <w:marTop w:val="0"/>
          <w:marBottom w:val="0"/>
          <w:divBdr>
            <w:top w:val="none" w:sz="0" w:space="0" w:color="auto"/>
            <w:left w:val="none" w:sz="0" w:space="0" w:color="auto"/>
            <w:bottom w:val="none" w:sz="0" w:space="0" w:color="auto"/>
            <w:right w:val="none" w:sz="0" w:space="0" w:color="auto"/>
          </w:divBdr>
        </w:div>
        <w:div w:id="2024705237">
          <w:marLeft w:val="0"/>
          <w:marRight w:val="0"/>
          <w:marTop w:val="0"/>
          <w:marBottom w:val="0"/>
          <w:divBdr>
            <w:top w:val="none" w:sz="0" w:space="0" w:color="auto"/>
            <w:left w:val="none" w:sz="0" w:space="0" w:color="auto"/>
            <w:bottom w:val="none" w:sz="0" w:space="0" w:color="auto"/>
            <w:right w:val="none" w:sz="0" w:space="0" w:color="auto"/>
          </w:divBdr>
        </w:div>
        <w:div w:id="2024705238">
          <w:marLeft w:val="0"/>
          <w:marRight w:val="0"/>
          <w:marTop w:val="0"/>
          <w:marBottom w:val="0"/>
          <w:divBdr>
            <w:top w:val="none" w:sz="0" w:space="0" w:color="auto"/>
            <w:left w:val="none" w:sz="0" w:space="0" w:color="auto"/>
            <w:bottom w:val="none" w:sz="0" w:space="0" w:color="auto"/>
            <w:right w:val="none" w:sz="0" w:space="0" w:color="auto"/>
          </w:divBdr>
        </w:div>
        <w:div w:id="2024705239">
          <w:marLeft w:val="0"/>
          <w:marRight w:val="0"/>
          <w:marTop w:val="0"/>
          <w:marBottom w:val="0"/>
          <w:divBdr>
            <w:top w:val="none" w:sz="0" w:space="0" w:color="auto"/>
            <w:left w:val="none" w:sz="0" w:space="0" w:color="auto"/>
            <w:bottom w:val="none" w:sz="0" w:space="0" w:color="auto"/>
            <w:right w:val="none" w:sz="0" w:space="0" w:color="auto"/>
          </w:divBdr>
        </w:div>
        <w:div w:id="2024705240">
          <w:marLeft w:val="0"/>
          <w:marRight w:val="0"/>
          <w:marTop w:val="0"/>
          <w:marBottom w:val="0"/>
          <w:divBdr>
            <w:top w:val="none" w:sz="0" w:space="0" w:color="auto"/>
            <w:left w:val="none" w:sz="0" w:space="0" w:color="auto"/>
            <w:bottom w:val="none" w:sz="0" w:space="0" w:color="auto"/>
            <w:right w:val="none" w:sz="0" w:space="0" w:color="auto"/>
          </w:divBdr>
        </w:div>
        <w:div w:id="2024705241">
          <w:marLeft w:val="0"/>
          <w:marRight w:val="0"/>
          <w:marTop w:val="0"/>
          <w:marBottom w:val="0"/>
          <w:divBdr>
            <w:top w:val="none" w:sz="0" w:space="0" w:color="auto"/>
            <w:left w:val="none" w:sz="0" w:space="0" w:color="auto"/>
            <w:bottom w:val="none" w:sz="0" w:space="0" w:color="auto"/>
            <w:right w:val="none" w:sz="0" w:space="0" w:color="auto"/>
          </w:divBdr>
        </w:div>
        <w:div w:id="2024705242">
          <w:marLeft w:val="0"/>
          <w:marRight w:val="0"/>
          <w:marTop w:val="0"/>
          <w:marBottom w:val="0"/>
          <w:divBdr>
            <w:top w:val="none" w:sz="0" w:space="0" w:color="auto"/>
            <w:left w:val="none" w:sz="0" w:space="0" w:color="auto"/>
            <w:bottom w:val="none" w:sz="0" w:space="0" w:color="auto"/>
            <w:right w:val="none" w:sz="0" w:space="0" w:color="auto"/>
          </w:divBdr>
        </w:div>
        <w:div w:id="2024705243">
          <w:marLeft w:val="0"/>
          <w:marRight w:val="0"/>
          <w:marTop w:val="0"/>
          <w:marBottom w:val="0"/>
          <w:divBdr>
            <w:top w:val="none" w:sz="0" w:space="0" w:color="auto"/>
            <w:left w:val="none" w:sz="0" w:space="0" w:color="auto"/>
            <w:bottom w:val="none" w:sz="0" w:space="0" w:color="auto"/>
            <w:right w:val="none" w:sz="0" w:space="0" w:color="auto"/>
          </w:divBdr>
        </w:div>
        <w:div w:id="2024705244">
          <w:marLeft w:val="0"/>
          <w:marRight w:val="0"/>
          <w:marTop w:val="0"/>
          <w:marBottom w:val="0"/>
          <w:divBdr>
            <w:top w:val="none" w:sz="0" w:space="0" w:color="auto"/>
            <w:left w:val="none" w:sz="0" w:space="0" w:color="auto"/>
            <w:bottom w:val="none" w:sz="0" w:space="0" w:color="auto"/>
            <w:right w:val="none" w:sz="0" w:space="0" w:color="auto"/>
          </w:divBdr>
        </w:div>
        <w:div w:id="2024705245">
          <w:marLeft w:val="0"/>
          <w:marRight w:val="0"/>
          <w:marTop w:val="0"/>
          <w:marBottom w:val="0"/>
          <w:divBdr>
            <w:top w:val="none" w:sz="0" w:space="0" w:color="auto"/>
            <w:left w:val="none" w:sz="0" w:space="0" w:color="auto"/>
            <w:bottom w:val="none" w:sz="0" w:space="0" w:color="auto"/>
            <w:right w:val="none" w:sz="0" w:space="0" w:color="auto"/>
          </w:divBdr>
        </w:div>
        <w:div w:id="2024705246">
          <w:marLeft w:val="0"/>
          <w:marRight w:val="0"/>
          <w:marTop w:val="0"/>
          <w:marBottom w:val="0"/>
          <w:divBdr>
            <w:top w:val="none" w:sz="0" w:space="0" w:color="auto"/>
            <w:left w:val="none" w:sz="0" w:space="0" w:color="auto"/>
            <w:bottom w:val="none" w:sz="0" w:space="0" w:color="auto"/>
            <w:right w:val="none" w:sz="0" w:space="0" w:color="auto"/>
          </w:divBdr>
        </w:div>
        <w:div w:id="2024705247">
          <w:marLeft w:val="0"/>
          <w:marRight w:val="0"/>
          <w:marTop w:val="0"/>
          <w:marBottom w:val="0"/>
          <w:divBdr>
            <w:top w:val="none" w:sz="0" w:space="0" w:color="auto"/>
            <w:left w:val="none" w:sz="0" w:space="0" w:color="auto"/>
            <w:bottom w:val="none" w:sz="0" w:space="0" w:color="auto"/>
            <w:right w:val="none" w:sz="0" w:space="0" w:color="auto"/>
          </w:divBdr>
        </w:div>
        <w:div w:id="2024705248">
          <w:marLeft w:val="0"/>
          <w:marRight w:val="0"/>
          <w:marTop w:val="0"/>
          <w:marBottom w:val="0"/>
          <w:divBdr>
            <w:top w:val="none" w:sz="0" w:space="0" w:color="auto"/>
            <w:left w:val="none" w:sz="0" w:space="0" w:color="auto"/>
            <w:bottom w:val="none" w:sz="0" w:space="0" w:color="auto"/>
            <w:right w:val="none" w:sz="0" w:space="0" w:color="auto"/>
          </w:divBdr>
        </w:div>
        <w:div w:id="2024705249">
          <w:marLeft w:val="0"/>
          <w:marRight w:val="0"/>
          <w:marTop w:val="0"/>
          <w:marBottom w:val="0"/>
          <w:divBdr>
            <w:top w:val="none" w:sz="0" w:space="0" w:color="auto"/>
            <w:left w:val="none" w:sz="0" w:space="0" w:color="auto"/>
            <w:bottom w:val="none" w:sz="0" w:space="0" w:color="auto"/>
            <w:right w:val="none" w:sz="0" w:space="0" w:color="auto"/>
          </w:divBdr>
        </w:div>
        <w:div w:id="2024705250">
          <w:marLeft w:val="0"/>
          <w:marRight w:val="0"/>
          <w:marTop w:val="0"/>
          <w:marBottom w:val="0"/>
          <w:divBdr>
            <w:top w:val="none" w:sz="0" w:space="0" w:color="auto"/>
            <w:left w:val="none" w:sz="0" w:space="0" w:color="auto"/>
            <w:bottom w:val="none" w:sz="0" w:space="0" w:color="auto"/>
            <w:right w:val="none" w:sz="0" w:space="0" w:color="auto"/>
          </w:divBdr>
        </w:div>
        <w:div w:id="2024705251">
          <w:marLeft w:val="0"/>
          <w:marRight w:val="0"/>
          <w:marTop w:val="0"/>
          <w:marBottom w:val="0"/>
          <w:divBdr>
            <w:top w:val="none" w:sz="0" w:space="0" w:color="auto"/>
            <w:left w:val="none" w:sz="0" w:space="0" w:color="auto"/>
            <w:bottom w:val="none" w:sz="0" w:space="0" w:color="auto"/>
            <w:right w:val="none" w:sz="0" w:space="0" w:color="auto"/>
          </w:divBdr>
        </w:div>
        <w:div w:id="2024705252">
          <w:marLeft w:val="0"/>
          <w:marRight w:val="0"/>
          <w:marTop w:val="0"/>
          <w:marBottom w:val="0"/>
          <w:divBdr>
            <w:top w:val="none" w:sz="0" w:space="0" w:color="auto"/>
            <w:left w:val="none" w:sz="0" w:space="0" w:color="auto"/>
            <w:bottom w:val="none" w:sz="0" w:space="0" w:color="auto"/>
            <w:right w:val="none" w:sz="0" w:space="0" w:color="auto"/>
          </w:divBdr>
        </w:div>
        <w:div w:id="2024705253">
          <w:marLeft w:val="0"/>
          <w:marRight w:val="0"/>
          <w:marTop w:val="0"/>
          <w:marBottom w:val="0"/>
          <w:divBdr>
            <w:top w:val="none" w:sz="0" w:space="0" w:color="auto"/>
            <w:left w:val="none" w:sz="0" w:space="0" w:color="auto"/>
            <w:bottom w:val="none" w:sz="0" w:space="0" w:color="auto"/>
            <w:right w:val="none" w:sz="0" w:space="0" w:color="auto"/>
          </w:divBdr>
        </w:div>
        <w:div w:id="2024705254">
          <w:marLeft w:val="0"/>
          <w:marRight w:val="0"/>
          <w:marTop w:val="0"/>
          <w:marBottom w:val="0"/>
          <w:divBdr>
            <w:top w:val="none" w:sz="0" w:space="0" w:color="auto"/>
            <w:left w:val="none" w:sz="0" w:space="0" w:color="auto"/>
            <w:bottom w:val="none" w:sz="0" w:space="0" w:color="auto"/>
            <w:right w:val="none" w:sz="0" w:space="0" w:color="auto"/>
          </w:divBdr>
        </w:div>
        <w:div w:id="2024705255">
          <w:marLeft w:val="0"/>
          <w:marRight w:val="0"/>
          <w:marTop w:val="0"/>
          <w:marBottom w:val="0"/>
          <w:divBdr>
            <w:top w:val="none" w:sz="0" w:space="0" w:color="auto"/>
            <w:left w:val="none" w:sz="0" w:space="0" w:color="auto"/>
            <w:bottom w:val="none" w:sz="0" w:space="0" w:color="auto"/>
            <w:right w:val="none" w:sz="0" w:space="0" w:color="auto"/>
          </w:divBdr>
        </w:div>
        <w:div w:id="2024705256">
          <w:marLeft w:val="0"/>
          <w:marRight w:val="0"/>
          <w:marTop w:val="0"/>
          <w:marBottom w:val="0"/>
          <w:divBdr>
            <w:top w:val="none" w:sz="0" w:space="0" w:color="auto"/>
            <w:left w:val="none" w:sz="0" w:space="0" w:color="auto"/>
            <w:bottom w:val="none" w:sz="0" w:space="0" w:color="auto"/>
            <w:right w:val="none" w:sz="0" w:space="0" w:color="auto"/>
          </w:divBdr>
        </w:div>
        <w:div w:id="2024705257">
          <w:marLeft w:val="0"/>
          <w:marRight w:val="0"/>
          <w:marTop w:val="0"/>
          <w:marBottom w:val="0"/>
          <w:divBdr>
            <w:top w:val="none" w:sz="0" w:space="0" w:color="auto"/>
            <w:left w:val="none" w:sz="0" w:space="0" w:color="auto"/>
            <w:bottom w:val="none" w:sz="0" w:space="0" w:color="auto"/>
            <w:right w:val="none" w:sz="0" w:space="0" w:color="auto"/>
          </w:divBdr>
        </w:div>
        <w:div w:id="2024705258">
          <w:marLeft w:val="0"/>
          <w:marRight w:val="0"/>
          <w:marTop w:val="0"/>
          <w:marBottom w:val="0"/>
          <w:divBdr>
            <w:top w:val="none" w:sz="0" w:space="0" w:color="auto"/>
            <w:left w:val="none" w:sz="0" w:space="0" w:color="auto"/>
            <w:bottom w:val="none" w:sz="0" w:space="0" w:color="auto"/>
            <w:right w:val="none" w:sz="0" w:space="0" w:color="auto"/>
          </w:divBdr>
        </w:div>
        <w:div w:id="2024705259">
          <w:marLeft w:val="0"/>
          <w:marRight w:val="0"/>
          <w:marTop w:val="0"/>
          <w:marBottom w:val="0"/>
          <w:divBdr>
            <w:top w:val="none" w:sz="0" w:space="0" w:color="auto"/>
            <w:left w:val="none" w:sz="0" w:space="0" w:color="auto"/>
            <w:bottom w:val="none" w:sz="0" w:space="0" w:color="auto"/>
            <w:right w:val="none" w:sz="0" w:space="0" w:color="auto"/>
          </w:divBdr>
        </w:div>
        <w:div w:id="2024705260">
          <w:marLeft w:val="0"/>
          <w:marRight w:val="0"/>
          <w:marTop w:val="0"/>
          <w:marBottom w:val="0"/>
          <w:divBdr>
            <w:top w:val="none" w:sz="0" w:space="0" w:color="auto"/>
            <w:left w:val="none" w:sz="0" w:space="0" w:color="auto"/>
            <w:bottom w:val="none" w:sz="0" w:space="0" w:color="auto"/>
            <w:right w:val="none" w:sz="0" w:space="0" w:color="auto"/>
          </w:divBdr>
        </w:div>
        <w:div w:id="2024705261">
          <w:marLeft w:val="0"/>
          <w:marRight w:val="0"/>
          <w:marTop w:val="0"/>
          <w:marBottom w:val="0"/>
          <w:divBdr>
            <w:top w:val="none" w:sz="0" w:space="0" w:color="auto"/>
            <w:left w:val="none" w:sz="0" w:space="0" w:color="auto"/>
            <w:bottom w:val="none" w:sz="0" w:space="0" w:color="auto"/>
            <w:right w:val="none" w:sz="0" w:space="0" w:color="auto"/>
          </w:divBdr>
        </w:div>
        <w:div w:id="2024705262">
          <w:marLeft w:val="0"/>
          <w:marRight w:val="0"/>
          <w:marTop w:val="0"/>
          <w:marBottom w:val="0"/>
          <w:divBdr>
            <w:top w:val="none" w:sz="0" w:space="0" w:color="auto"/>
            <w:left w:val="none" w:sz="0" w:space="0" w:color="auto"/>
            <w:bottom w:val="none" w:sz="0" w:space="0" w:color="auto"/>
            <w:right w:val="none" w:sz="0" w:space="0" w:color="auto"/>
          </w:divBdr>
        </w:div>
        <w:div w:id="2024705263">
          <w:marLeft w:val="0"/>
          <w:marRight w:val="0"/>
          <w:marTop w:val="0"/>
          <w:marBottom w:val="0"/>
          <w:divBdr>
            <w:top w:val="none" w:sz="0" w:space="0" w:color="auto"/>
            <w:left w:val="none" w:sz="0" w:space="0" w:color="auto"/>
            <w:bottom w:val="none" w:sz="0" w:space="0" w:color="auto"/>
            <w:right w:val="none" w:sz="0" w:space="0" w:color="auto"/>
          </w:divBdr>
        </w:div>
        <w:div w:id="2024705265">
          <w:marLeft w:val="0"/>
          <w:marRight w:val="0"/>
          <w:marTop w:val="0"/>
          <w:marBottom w:val="0"/>
          <w:divBdr>
            <w:top w:val="none" w:sz="0" w:space="0" w:color="auto"/>
            <w:left w:val="none" w:sz="0" w:space="0" w:color="auto"/>
            <w:bottom w:val="none" w:sz="0" w:space="0" w:color="auto"/>
            <w:right w:val="none" w:sz="0" w:space="0" w:color="auto"/>
          </w:divBdr>
        </w:div>
        <w:div w:id="2024705266">
          <w:marLeft w:val="0"/>
          <w:marRight w:val="0"/>
          <w:marTop w:val="0"/>
          <w:marBottom w:val="0"/>
          <w:divBdr>
            <w:top w:val="none" w:sz="0" w:space="0" w:color="auto"/>
            <w:left w:val="none" w:sz="0" w:space="0" w:color="auto"/>
            <w:bottom w:val="none" w:sz="0" w:space="0" w:color="auto"/>
            <w:right w:val="none" w:sz="0" w:space="0" w:color="auto"/>
          </w:divBdr>
        </w:div>
        <w:div w:id="2024705267">
          <w:marLeft w:val="0"/>
          <w:marRight w:val="0"/>
          <w:marTop w:val="0"/>
          <w:marBottom w:val="0"/>
          <w:divBdr>
            <w:top w:val="none" w:sz="0" w:space="0" w:color="auto"/>
            <w:left w:val="none" w:sz="0" w:space="0" w:color="auto"/>
            <w:bottom w:val="none" w:sz="0" w:space="0" w:color="auto"/>
            <w:right w:val="none" w:sz="0" w:space="0" w:color="auto"/>
          </w:divBdr>
        </w:div>
        <w:div w:id="2024705268">
          <w:marLeft w:val="0"/>
          <w:marRight w:val="0"/>
          <w:marTop w:val="0"/>
          <w:marBottom w:val="0"/>
          <w:divBdr>
            <w:top w:val="none" w:sz="0" w:space="0" w:color="auto"/>
            <w:left w:val="none" w:sz="0" w:space="0" w:color="auto"/>
            <w:bottom w:val="none" w:sz="0" w:space="0" w:color="auto"/>
            <w:right w:val="none" w:sz="0" w:space="0" w:color="auto"/>
          </w:divBdr>
        </w:div>
        <w:div w:id="2024705269">
          <w:marLeft w:val="0"/>
          <w:marRight w:val="0"/>
          <w:marTop w:val="0"/>
          <w:marBottom w:val="0"/>
          <w:divBdr>
            <w:top w:val="none" w:sz="0" w:space="0" w:color="auto"/>
            <w:left w:val="none" w:sz="0" w:space="0" w:color="auto"/>
            <w:bottom w:val="none" w:sz="0" w:space="0" w:color="auto"/>
            <w:right w:val="none" w:sz="0" w:space="0" w:color="auto"/>
          </w:divBdr>
        </w:div>
        <w:div w:id="2024705271">
          <w:marLeft w:val="0"/>
          <w:marRight w:val="0"/>
          <w:marTop w:val="0"/>
          <w:marBottom w:val="0"/>
          <w:divBdr>
            <w:top w:val="none" w:sz="0" w:space="0" w:color="auto"/>
            <w:left w:val="none" w:sz="0" w:space="0" w:color="auto"/>
            <w:bottom w:val="none" w:sz="0" w:space="0" w:color="auto"/>
            <w:right w:val="none" w:sz="0" w:space="0" w:color="auto"/>
          </w:divBdr>
        </w:div>
        <w:div w:id="2024705272">
          <w:marLeft w:val="0"/>
          <w:marRight w:val="0"/>
          <w:marTop w:val="0"/>
          <w:marBottom w:val="0"/>
          <w:divBdr>
            <w:top w:val="none" w:sz="0" w:space="0" w:color="auto"/>
            <w:left w:val="none" w:sz="0" w:space="0" w:color="auto"/>
            <w:bottom w:val="none" w:sz="0" w:space="0" w:color="auto"/>
            <w:right w:val="none" w:sz="0" w:space="0" w:color="auto"/>
          </w:divBdr>
        </w:div>
        <w:div w:id="2024705273">
          <w:marLeft w:val="0"/>
          <w:marRight w:val="0"/>
          <w:marTop w:val="0"/>
          <w:marBottom w:val="0"/>
          <w:divBdr>
            <w:top w:val="none" w:sz="0" w:space="0" w:color="auto"/>
            <w:left w:val="none" w:sz="0" w:space="0" w:color="auto"/>
            <w:bottom w:val="none" w:sz="0" w:space="0" w:color="auto"/>
            <w:right w:val="none" w:sz="0" w:space="0" w:color="auto"/>
          </w:divBdr>
        </w:div>
        <w:div w:id="2024705274">
          <w:marLeft w:val="0"/>
          <w:marRight w:val="0"/>
          <w:marTop w:val="0"/>
          <w:marBottom w:val="0"/>
          <w:divBdr>
            <w:top w:val="none" w:sz="0" w:space="0" w:color="auto"/>
            <w:left w:val="none" w:sz="0" w:space="0" w:color="auto"/>
            <w:bottom w:val="none" w:sz="0" w:space="0" w:color="auto"/>
            <w:right w:val="none" w:sz="0" w:space="0" w:color="auto"/>
          </w:divBdr>
        </w:div>
        <w:div w:id="2024705275">
          <w:marLeft w:val="0"/>
          <w:marRight w:val="0"/>
          <w:marTop w:val="0"/>
          <w:marBottom w:val="0"/>
          <w:divBdr>
            <w:top w:val="none" w:sz="0" w:space="0" w:color="auto"/>
            <w:left w:val="none" w:sz="0" w:space="0" w:color="auto"/>
            <w:bottom w:val="none" w:sz="0" w:space="0" w:color="auto"/>
            <w:right w:val="none" w:sz="0" w:space="0" w:color="auto"/>
          </w:divBdr>
        </w:div>
        <w:div w:id="2024705276">
          <w:marLeft w:val="0"/>
          <w:marRight w:val="0"/>
          <w:marTop w:val="0"/>
          <w:marBottom w:val="0"/>
          <w:divBdr>
            <w:top w:val="none" w:sz="0" w:space="0" w:color="auto"/>
            <w:left w:val="none" w:sz="0" w:space="0" w:color="auto"/>
            <w:bottom w:val="none" w:sz="0" w:space="0" w:color="auto"/>
            <w:right w:val="none" w:sz="0" w:space="0" w:color="auto"/>
          </w:divBdr>
        </w:div>
        <w:div w:id="2024705277">
          <w:marLeft w:val="0"/>
          <w:marRight w:val="0"/>
          <w:marTop w:val="0"/>
          <w:marBottom w:val="0"/>
          <w:divBdr>
            <w:top w:val="none" w:sz="0" w:space="0" w:color="auto"/>
            <w:left w:val="none" w:sz="0" w:space="0" w:color="auto"/>
            <w:bottom w:val="none" w:sz="0" w:space="0" w:color="auto"/>
            <w:right w:val="none" w:sz="0" w:space="0" w:color="auto"/>
          </w:divBdr>
        </w:div>
        <w:div w:id="2024705278">
          <w:marLeft w:val="0"/>
          <w:marRight w:val="0"/>
          <w:marTop w:val="0"/>
          <w:marBottom w:val="0"/>
          <w:divBdr>
            <w:top w:val="none" w:sz="0" w:space="0" w:color="auto"/>
            <w:left w:val="none" w:sz="0" w:space="0" w:color="auto"/>
            <w:bottom w:val="none" w:sz="0" w:space="0" w:color="auto"/>
            <w:right w:val="none" w:sz="0" w:space="0" w:color="auto"/>
          </w:divBdr>
        </w:div>
        <w:div w:id="2024705279">
          <w:marLeft w:val="0"/>
          <w:marRight w:val="0"/>
          <w:marTop w:val="0"/>
          <w:marBottom w:val="0"/>
          <w:divBdr>
            <w:top w:val="none" w:sz="0" w:space="0" w:color="auto"/>
            <w:left w:val="none" w:sz="0" w:space="0" w:color="auto"/>
            <w:bottom w:val="none" w:sz="0" w:space="0" w:color="auto"/>
            <w:right w:val="none" w:sz="0" w:space="0" w:color="auto"/>
          </w:divBdr>
        </w:div>
        <w:div w:id="2024705280">
          <w:marLeft w:val="0"/>
          <w:marRight w:val="0"/>
          <w:marTop w:val="0"/>
          <w:marBottom w:val="0"/>
          <w:divBdr>
            <w:top w:val="none" w:sz="0" w:space="0" w:color="auto"/>
            <w:left w:val="none" w:sz="0" w:space="0" w:color="auto"/>
            <w:bottom w:val="none" w:sz="0" w:space="0" w:color="auto"/>
            <w:right w:val="none" w:sz="0" w:space="0" w:color="auto"/>
          </w:divBdr>
        </w:div>
        <w:div w:id="2024705281">
          <w:marLeft w:val="0"/>
          <w:marRight w:val="0"/>
          <w:marTop w:val="0"/>
          <w:marBottom w:val="0"/>
          <w:divBdr>
            <w:top w:val="none" w:sz="0" w:space="0" w:color="auto"/>
            <w:left w:val="none" w:sz="0" w:space="0" w:color="auto"/>
            <w:bottom w:val="none" w:sz="0" w:space="0" w:color="auto"/>
            <w:right w:val="none" w:sz="0" w:space="0" w:color="auto"/>
          </w:divBdr>
        </w:div>
        <w:div w:id="2024705282">
          <w:marLeft w:val="0"/>
          <w:marRight w:val="0"/>
          <w:marTop w:val="0"/>
          <w:marBottom w:val="0"/>
          <w:divBdr>
            <w:top w:val="none" w:sz="0" w:space="0" w:color="auto"/>
            <w:left w:val="none" w:sz="0" w:space="0" w:color="auto"/>
            <w:bottom w:val="none" w:sz="0" w:space="0" w:color="auto"/>
            <w:right w:val="none" w:sz="0" w:space="0" w:color="auto"/>
          </w:divBdr>
        </w:div>
        <w:div w:id="2024705283">
          <w:marLeft w:val="0"/>
          <w:marRight w:val="0"/>
          <w:marTop w:val="0"/>
          <w:marBottom w:val="0"/>
          <w:divBdr>
            <w:top w:val="none" w:sz="0" w:space="0" w:color="auto"/>
            <w:left w:val="none" w:sz="0" w:space="0" w:color="auto"/>
            <w:bottom w:val="none" w:sz="0" w:space="0" w:color="auto"/>
            <w:right w:val="none" w:sz="0" w:space="0" w:color="auto"/>
          </w:divBdr>
        </w:div>
        <w:div w:id="2024705284">
          <w:marLeft w:val="0"/>
          <w:marRight w:val="0"/>
          <w:marTop w:val="0"/>
          <w:marBottom w:val="0"/>
          <w:divBdr>
            <w:top w:val="none" w:sz="0" w:space="0" w:color="auto"/>
            <w:left w:val="none" w:sz="0" w:space="0" w:color="auto"/>
            <w:bottom w:val="none" w:sz="0" w:space="0" w:color="auto"/>
            <w:right w:val="none" w:sz="0" w:space="0" w:color="auto"/>
          </w:divBdr>
        </w:div>
        <w:div w:id="2024705285">
          <w:marLeft w:val="0"/>
          <w:marRight w:val="0"/>
          <w:marTop w:val="0"/>
          <w:marBottom w:val="0"/>
          <w:divBdr>
            <w:top w:val="none" w:sz="0" w:space="0" w:color="auto"/>
            <w:left w:val="none" w:sz="0" w:space="0" w:color="auto"/>
            <w:bottom w:val="none" w:sz="0" w:space="0" w:color="auto"/>
            <w:right w:val="none" w:sz="0" w:space="0" w:color="auto"/>
          </w:divBdr>
        </w:div>
        <w:div w:id="2024705286">
          <w:marLeft w:val="0"/>
          <w:marRight w:val="0"/>
          <w:marTop w:val="0"/>
          <w:marBottom w:val="0"/>
          <w:divBdr>
            <w:top w:val="none" w:sz="0" w:space="0" w:color="auto"/>
            <w:left w:val="none" w:sz="0" w:space="0" w:color="auto"/>
            <w:bottom w:val="none" w:sz="0" w:space="0" w:color="auto"/>
            <w:right w:val="none" w:sz="0" w:space="0" w:color="auto"/>
          </w:divBdr>
        </w:div>
        <w:div w:id="2024705287">
          <w:marLeft w:val="0"/>
          <w:marRight w:val="0"/>
          <w:marTop w:val="0"/>
          <w:marBottom w:val="0"/>
          <w:divBdr>
            <w:top w:val="none" w:sz="0" w:space="0" w:color="auto"/>
            <w:left w:val="none" w:sz="0" w:space="0" w:color="auto"/>
            <w:bottom w:val="none" w:sz="0" w:space="0" w:color="auto"/>
            <w:right w:val="none" w:sz="0" w:space="0" w:color="auto"/>
          </w:divBdr>
        </w:div>
        <w:div w:id="2024705288">
          <w:marLeft w:val="0"/>
          <w:marRight w:val="0"/>
          <w:marTop w:val="0"/>
          <w:marBottom w:val="0"/>
          <w:divBdr>
            <w:top w:val="none" w:sz="0" w:space="0" w:color="auto"/>
            <w:left w:val="none" w:sz="0" w:space="0" w:color="auto"/>
            <w:bottom w:val="none" w:sz="0" w:space="0" w:color="auto"/>
            <w:right w:val="none" w:sz="0" w:space="0" w:color="auto"/>
          </w:divBdr>
        </w:div>
        <w:div w:id="2024705289">
          <w:marLeft w:val="0"/>
          <w:marRight w:val="0"/>
          <w:marTop w:val="0"/>
          <w:marBottom w:val="0"/>
          <w:divBdr>
            <w:top w:val="none" w:sz="0" w:space="0" w:color="auto"/>
            <w:left w:val="none" w:sz="0" w:space="0" w:color="auto"/>
            <w:bottom w:val="none" w:sz="0" w:space="0" w:color="auto"/>
            <w:right w:val="none" w:sz="0" w:space="0" w:color="auto"/>
          </w:divBdr>
        </w:div>
        <w:div w:id="2024705290">
          <w:marLeft w:val="0"/>
          <w:marRight w:val="0"/>
          <w:marTop w:val="0"/>
          <w:marBottom w:val="0"/>
          <w:divBdr>
            <w:top w:val="none" w:sz="0" w:space="0" w:color="auto"/>
            <w:left w:val="none" w:sz="0" w:space="0" w:color="auto"/>
            <w:bottom w:val="none" w:sz="0" w:space="0" w:color="auto"/>
            <w:right w:val="none" w:sz="0" w:space="0" w:color="auto"/>
          </w:divBdr>
        </w:div>
        <w:div w:id="2024705291">
          <w:marLeft w:val="0"/>
          <w:marRight w:val="0"/>
          <w:marTop w:val="0"/>
          <w:marBottom w:val="0"/>
          <w:divBdr>
            <w:top w:val="none" w:sz="0" w:space="0" w:color="auto"/>
            <w:left w:val="none" w:sz="0" w:space="0" w:color="auto"/>
            <w:bottom w:val="none" w:sz="0" w:space="0" w:color="auto"/>
            <w:right w:val="none" w:sz="0" w:space="0" w:color="auto"/>
          </w:divBdr>
        </w:div>
        <w:div w:id="2024705292">
          <w:marLeft w:val="0"/>
          <w:marRight w:val="0"/>
          <w:marTop w:val="0"/>
          <w:marBottom w:val="0"/>
          <w:divBdr>
            <w:top w:val="none" w:sz="0" w:space="0" w:color="auto"/>
            <w:left w:val="none" w:sz="0" w:space="0" w:color="auto"/>
            <w:bottom w:val="none" w:sz="0" w:space="0" w:color="auto"/>
            <w:right w:val="none" w:sz="0" w:space="0" w:color="auto"/>
          </w:divBdr>
        </w:div>
        <w:div w:id="2024705293">
          <w:marLeft w:val="0"/>
          <w:marRight w:val="0"/>
          <w:marTop w:val="0"/>
          <w:marBottom w:val="0"/>
          <w:divBdr>
            <w:top w:val="none" w:sz="0" w:space="0" w:color="auto"/>
            <w:left w:val="none" w:sz="0" w:space="0" w:color="auto"/>
            <w:bottom w:val="none" w:sz="0" w:space="0" w:color="auto"/>
            <w:right w:val="none" w:sz="0" w:space="0" w:color="auto"/>
          </w:divBdr>
        </w:div>
        <w:div w:id="2024705294">
          <w:marLeft w:val="0"/>
          <w:marRight w:val="0"/>
          <w:marTop w:val="0"/>
          <w:marBottom w:val="0"/>
          <w:divBdr>
            <w:top w:val="none" w:sz="0" w:space="0" w:color="auto"/>
            <w:left w:val="none" w:sz="0" w:space="0" w:color="auto"/>
            <w:bottom w:val="none" w:sz="0" w:space="0" w:color="auto"/>
            <w:right w:val="none" w:sz="0" w:space="0" w:color="auto"/>
          </w:divBdr>
        </w:div>
        <w:div w:id="2024705295">
          <w:marLeft w:val="0"/>
          <w:marRight w:val="0"/>
          <w:marTop w:val="0"/>
          <w:marBottom w:val="0"/>
          <w:divBdr>
            <w:top w:val="none" w:sz="0" w:space="0" w:color="auto"/>
            <w:left w:val="none" w:sz="0" w:space="0" w:color="auto"/>
            <w:bottom w:val="none" w:sz="0" w:space="0" w:color="auto"/>
            <w:right w:val="none" w:sz="0" w:space="0" w:color="auto"/>
          </w:divBdr>
        </w:div>
        <w:div w:id="2024705296">
          <w:marLeft w:val="0"/>
          <w:marRight w:val="0"/>
          <w:marTop w:val="0"/>
          <w:marBottom w:val="0"/>
          <w:divBdr>
            <w:top w:val="none" w:sz="0" w:space="0" w:color="auto"/>
            <w:left w:val="none" w:sz="0" w:space="0" w:color="auto"/>
            <w:bottom w:val="none" w:sz="0" w:space="0" w:color="auto"/>
            <w:right w:val="none" w:sz="0" w:space="0" w:color="auto"/>
          </w:divBdr>
        </w:div>
        <w:div w:id="2024705297">
          <w:marLeft w:val="0"/>
          <w:marRight w:val="0"/>
          <w:marTop w:val="0"/>
          <w:marBottom w:val="0"/>
          <w:divBdr>
            <w:top w:val="none" w:sz="0" w:space="0" w:color="auto"/>
            <w:left w:val="none" w:sz="0" w:space="0" w:color="auto"/>
            <w:bottom w:val="none" w:sz="0" w:space="0" w:color="auto"/>
            <w:right w:val="none" w:sz="0" w:space="0" w:color="auto"/>
          </w:divBdr>
        </w:div>
        <w:div w:id="2024705298">
          <w:marLeft w:val="0"/>
          <w:marRight w:val="0"/>
          <w:marTop w:val="0"/>
          <w:marBottom w:val="0"/>
          <w:divBdr>
            <w:top w:val="none" w:sz="0" w:space="0" w:color="auto"/>
            <w:left w:val="none" w:sz="0" w:space="0" w:color="auto"/>
            <w:bottom w:val="none" w:sz="0" w:space="0" w:color="auto"/>
            <w:right w:val="none" w:sz="0" w:space="0" w:color="auto"/>
          </w:divBdr>
        </w:div>
        <w:div w:id="2024705299">
          <w:marLeft w:val="0"/>
          <w:marRight w:val="0"/>
          <w:marTop w:val="0"/>
          <w:marBottom w:val="0"/>
          <w:divBdr>
            <w:top w:val="none" w:sz="0" w:space="0" w:color="auto"/>
            <w:left w:val="none" w:sz="0" w:space="0" w:color="auto"/>
            <w:bottom w:val="none" w:sz="0" w:space="0" w:color="auto"/>
            <w:right w:val="none" w:sz="0" w:space="0" w:color="auto"/>
          </w:divBdr>
        </w:div>
        <w:div w:id="2024705300">
          <w:marLeft w:val="0"/>
          <w:marRight w:val="0"/>
          <w:marTop w:val="0"/>
          <w:marBottom w:val="0"/>
          <w:divBdr>
            <w:top w:val="none" w:sz="0" w:space="0" w:color="auto"/>
            <w:left w:val="none" w:sz="0" w:space="0" w:color="auto"/>
            <w:bottom w:val="none" w:sz="0" w:space="0" w:color="auto"/>
            <w:right w:val="none" w:sz="0" w:space="0" w:color="auto"/>
          </w:divBdr>
        </w:div>
        <w:div w:id="2024705301">
          <w:marLeft w:val="0"/>
          <w:marRight w:val="0"/>
          <w:marTop w:val="0"/>
          <w:marBottom w:val="0"/>
          <w:divBdr>
            <w:top w:val="none" w:sz="0" w:space="0" w:color="auto"/>
            <w:left w:val="none" w:sz="0" w:space="0" w:color="auto"/>
            <w:bottom w:val="none" w:sz="0" w:space="0" w:color="auto"/>
            <w:right w:val="none" w:sz="0" w:space="0" w:color="auto"/>
          </w:divBdr>
        </w:div>
        <w:div w:id="2024705302">
          <w:marLeft w:val="0"/>
          <w:marRight w:val="0"/>
          <w:marTop w:val="0"/>
          <w:marBottom w:val="0"/>
          <w:divBdr>
            <w:top w:val="none" w:sz="0" w:space="0" w:color="auto"/>
            <w:left w:val="none" w:sz="0" w:space="0" w:color="auto"/>
            <w:bottom w:val="none" w:sz="0" w:space="0" w:color="auto"/>
            <w:right w:val="none" w:sz="0" w:space="0" w:color="auto"/>
          </w:divBdr>
        </w:div>
        <w:div w:id="2024705303">
          <w:marLeft w:val="0"/>
          <w:marRight w:val="0"/>
          <w:marTop w:val="0"/>
          <w:marBottom w:val="0"/>
          <w:divBdr>
            <w:top w:val="none" w:sz="0" w:space="0" w:color="auto"/>
            <w:left w:val="none" w:sz="0" w:space="0" w:color="auto"/>
            <w:bottom w:val="none" w:sz="0" w:space="0" w:color="auto"/>
            <w:right w:val="none" w:sz="0" w:space="0" w:color="auto"/>
          </w:divBdr>
        </w:div>
        <w:div w:id="2024705304">
          <w:marLeft w:val="0"/>
          <w:marRight w:val="0"/>
          <w:marTop w:val="0"/>
          <w:marBottom w:val="0"/>
          <w:divBdr>
            <w:top w:val="none" w:sz="0" w:space="0" w:color="auto"/>
            <w:left w:val="none" w:sz="0" w:space="0" w:color="auto"/>
            <w:bottom w:val="none" w:sz="0" w:space="0" w:color="auto"/>
            <w:right w:val="none" w:sz="0" w:space="0" w:color="auto"/>
          </w:divBdr>
        </w:div>
        <w:div w:id="2024705305">
          <w:marLeft w:val="0"/>
          <w:marRight w:val="0"/>
          <w:marTop w:val="0"/>
          <w:marBottom w:val="0"/>
          <w:divBdr>
            <w:top w:val="none" w:sz="0" w:space="0" w:color="auto"/>
            <w:left w:val="none" w:sz="0" w:space="0" w:color="auto"/>
            <w:bottom w:val="none" w:sz="0" w:space="0" w:color="auto"/>
            <w:right w:val="none" w:sz="0" w:space="0" w:color="auto"/>
          </w:divBdr>
        </w:div>
        <w:div w:id="2024705306">
          <w:marLeft w:val="0"/>
          <w:marRight w:val="0"/>
          <w:marTop w:val="0"/>
          <w:marBottom w:val="0"/>
          <w:divBdr>
            <w:top w:val="none" w:sz="0" w:space="0" w:color="auto"/>
            <w:left w:val="none" w:sz="0" w:space="0" w:color="auto"/>
            <w:bottom w:val="none" w:sz="0" w:space="0" w:color="auto"/>
            <w:right w:val="none" w:sz="0" w:space="0" w:color="auto"/>
          </w:divBdr>
        </w:div>
        <w:div w:id="2024705307">
          <w:marLeft w:val="0"/>
          <w:marRight w:val="0"/>
          <w:marTop w:val="0"/>
          <w:marBottom w:val="0"/>
          <w:divBdr>
            <w:top w:val="none" w:sz="0" w:space="0" w:color="auto"/>
            <w:left w:val="none" w:sz="0" w:space="0" w:color="auto"/>
            <w:bottom w:val="none" w:sz="0" w:space="0" w:color="auto"/>
            <w:right w:val="none" w:sz="0" w:space="0" w:color="auto"/>
          </w:divBdr>
        </w:div>
        <w:div w:id="2024705308">
          <w:marLeft w:val="0"/>
          <w:marRight w:val="0"/>
          <w:marTop w:val="0"/>
          <w:marBottom w:val="0"/>
          <w:divBdr>
            <w:top w:val="none" w:sz="0" w:space="0" w:color="auto"/>
            <w:left w:val="none" w:sz="0" w:space="0" w:color="auto"/>
            <w:bottom w:val="none" w:sz="0" w:space="0" w:color="auto"/>
            <w:right w:val="none" w:sz="0" w:space="0" w:color="auto"/>
          </w:divBdr>
        </w:div>
        <w:div w:id="2024705309">
          <w:marLeft w:val="0"/>
          <w:marRight w:val="0"/>
          <w:marTop w:val="0"/>
          <w:marBottom w:val="0"/>
          <w:divBdr>
            <w:top w:val="none" w:sz="0" w:space="0" w:color="auto"/>
            <w:left w:val="none" w:sz="0" w:space="0" w:color="auto"/>
            <w:bottom w:val="none" w:sz="0" w:space="0" w:color="auto"/>
            <w:right w:val="none" w:sz="0" w:space="0" w:color="auto"/>
          </w:divBdr>
        </w:div>
        <w:div w:id="2024705310">
          <w:marLeft w:val="0"/>
          <w:marRight w:val="0"/>
          <w:marTop w:val="0"/>
          <w:marBottom w:val="0"/>
          <w:divBdr>
            <w:top w:val="none" w:sz="0" w:space="0" w:color="auto"/>
            <w:left w:val="none" w:sz="0" w:space="0" w:color="auto"/>
            <w:bottom w:val="none" w:sz="0" w:space="0" w:color="auto"/>
            <w:right w:val="none" w:sz="0" w:space="0" w:color="auto"/>
          </w:divBdr>
        </w:div>
        <w:div w:id="2024705311">
          <w:marLeft w:val="0"/>
          <w:marRight w:val="0"/>
          <w:marTop w:val="0"/>
          <w:marBottom w:val="0"/>
          <w:divBdr>
            <w:top w:val="none" w:sz="0" w:space="0" w:color="auto"/>
            <w:left w:val="none" w:sz="0" w:space="0" w:color="auto"/>
            <w:bottom w:val="none" w:sz="0" w:space="0" w:color="auto"/>
            <w:right w:val="none" w:sz="0" w:space="0" w:color="auto"/>
          </w:divBdr>
        </w:div>
        <w:div w:id="2024705312">
          <w:marLeft w:val="0"/>
          <w:marRight w:val="0"/>
          <w:marTop w:val="0"/>
          <w:marBottom w:val="0"/>
          <w:divBdr>
            <w:top w:val="none" w:sz="0" w:space="0" w:color="auto"/>
            <w:left w:val="none" w:sz="0" w:space="0" w:color="auto"/>
            <w:bottom w:val="none" w:sz="0" w:space="0" w:color="auto"/>
            <w:right w:val="none" w:sz="0" w:space="0" w:color="auto"/>
          </w:divBdr>
        </w:div>
        <w:div w:id="2024705313">
          <w:marLeft w:val="0"/>
          <w:marRight w:val="0"/>
          <w:marTop w:val="0"/>
          <w:marBottom w:val="0"/>
          <w:divBdr>
            <w:top w:val="none" w:sz="0" w:space="0" w:color="auto"/>
            <w:left w:val="none" w:sz="0" w:space="0" w:color="auto"/>
            <w:bottom w:val="none" w:sz="0" w:space="0" w:color="auto"/>
            <w:right w:val="none" w:sz="0" w:space="0" w:color="auto"/>
          </w:divBdr>
        </w:div>
        <w:div w:id="2024705314">
          <w:marLeft w:val="0"/>
          <w:marRight w:val="0"/>
          <w:marTop w:val="0"/>
          <w:marBottom w:val="0"/>
          <w:divBdr>
            <w:top w:val="none" w:sz="0" w:space="0" w:color="auto"/>
            <w:left w:val="none" w:sz="0" w:space="0" w:color="auto"/>
            <w:bottom w:val="none" w:sz="0" w:space="0" w:color="auto"/>
            <w:right w:val="none" w:sz="0" w:space="0" w:color="auto"/>
          </w:divBdr>
        </w:div>
        <w:div w:id="2024705315">
          <w:marLeft w:val="0"/>
          <w:marRight w:val="0"/>
          <w:marTop w:val="0"/>
          <w:marBottom w:val="0"/>
          <w:divBdr>
            <w:top w:val="none" w:sz="0" w:space="0" w:color="auto"/>
            <w:left w:val="none" w:sz="0" w:space="0" w:color="auto"/>
            <w:bottom w:val="none" w:sz="0" w:space="0" w:color="auto"/>
            <w:right w:val="none" w:sz="0" w:space="0" w:color="auto"/>
          </w:divBdr>
        </w:div>
        <w:div w:id="2024705316">
          <w:marLeft w:val="0"/>
          <w:marRight w:val="0"/>
          <w:marTop w:val="0"/>
          <w:marBottom w:val="0"/>
          <w:divBdr>
            <w:top w:val="none" w:sz="0" w:space="0" w:color="auto"/>
            <w:left w:val="none" w:sz="0" w:space="0" w:color="auto"/>
            <w:bottom w:val="none" w:sz="0" w:space="0" w:color="auto"/>
            <w:right w:val="none" w:sz="0" w:space="0" w:color="auto"/>
          </w:divBdr>
        </w:div>
        <w:div w:id="2024705317">
          <w:marLeft w:val="0"/>
          <w:marRight w:val="0"/>
          <w:marTop w:val="0"/>
          <w:marBottom w:val="0"/>
          <w:divBdr>
            <w:top w:val="none" w:sz="0" w:space="0" w:color="auto"/>
            <w:left w:val="none" w:sz="0" w:space="0" w:color="auto"/>
            <w:bottom w:val="none" w:sz="0" w:space="0" w:color="auto"/>
            <w:right w:val="none" w:sz="0" w:space="0" w:color="auto"/>
          </w:divBdr>
        </w:div>
        <w:div w:id="2024705318">
          <w:marLeft w:val="0"/>
          <w:marRight w:val="0"/>
          <w:marTop w:val="0"/>
          <w:marBottom w:val="0"/>
          <w:divBdr>
            <w:top w:val="none" w:sz="0" w:space="0" w:color="auto"/>
            <w:left w:val="none" w:sz="0" w:space="0" w:color="auto"/>
            <w:bottom w:val="none" w:sz="0" w:space="0" w:color="auto"/>
            <w:right w:val="none" w:sz="0" w:space="0" w:color="auto"/>
          </w:divBdr>
        </w:div>
        <w:div w:id="2024705319">
          <w:marLeft w:val="0"/>
          <w:marRight w:val="0"/>
          <w:marTop w:val="0"/>
          <w:marBottom w:val="0"/>
          <w:divBdr>
            <w:top w:val="none" w:sz="0" w:space="0" w:color="auto"/>
            <w:left w:val="none" w:sz="0" w:space="0" w:color="auto"/>
            <w:bottom w:val="none" w:sz="0" w:space="0" w:color="auto"/>
            <w:right w:val="none" w:sz="0" w:space="0" w:color="auto"/>
          </w:divBdr>
        </w:div>
        <w:div w:id="2024705320">
          <w:marLeft w:val="0"/>
          <w:marRight w:val="0"/>
          <w:marTop w:val="0"/>
          <w:marBottom w:val="0"/>
          <w:divBdr>
            <w:top w:val="none" w:sz="0" w:space="0" w:color="auto"/>
            <w:left w:val="none" w:sz="0" w:space="0" w:color="auto"/>
            <w:bottom w:val="none" w:sz="0" w:space="0" w:color="auto"/>
            <w:right w:val="none" w:sz="0" w:space="0" w:color="auto"/>
          </w:divBdr>
        </w:div>
        <w:div w:id="2024705321">
          <w:marLeft w:val="0"/>
          <w:marRight w:val="0"/>
          <w:marTop w:val="0"/>
          <w:marBottom w:val="0"/>
          <w:divBdr>
            <w:top w:val="none" w:sz="0" w:space="0" w:color="auto"/>
            <w:left w:val="none" w:sz="0" w:space="0" w:color="auto"/>
            <w:bottom w:val="none" w:sz="0" w:space="0" w:color="auto"/>
            <w:right w:val="none" w:sz="0" w:space="0" w:color="auto"/>
          </w:divBdr>
        </w:div>
        <w:div w:id="2024705322">
          <w:marLeft w:val="0"/>
          <w:marRight w:val="0"/>
          <w:marTop w:val="0"/>
          <w:marBottom w:val="0"/>
          <w:divBdr>
            <w:top w:val="none" w:sz="0" w:space="0" w:color="auto"/>
            <w:left w:val="none" w:sz="0" w:space="0" w:color="auto"/>
            <w:bottom w:val="none" w:sz="0" w:space="0" w:color="auto"/>
            <w:right w:val="none" w:sz="0" w:space="0" w:color="auto"/>
          </w:divBdr>
        </w:div>
        <w:div w:id="2024705323">
          <w:marLeft w:val="0"/>
          <w:marRight w:val="0"/>
          <w:marTop w:val="0"/>
          <w:marBottom w:val="0"/>
          <w:divBdr>
            <w:top w:val="none" w:sz="0" w:space="0" w:color="auto"/>
            <w:left w:val="none" w:sz="0" w:space="0" w:color="auto"/>
            <w:bottom w:val="none" w:sz="0" w:space="0" w:color="auto"/>
            <w:right w:val="none" w:sz="0" w:space="0" w:color="auto"/>
          </w:divBdr>
        </w:div>
        <w:div w:id="2024705324">
          <w:marLeft w:val="0"/>
          <w:marRight w:val="0"/>
          <w:marTop w:val="0"/>
          <w:marBottom w:val="0"/>
          <w:divBdr>
            <w:top w:val="none" w:sz="0" w:space="0" w:color="auto"/>
            <w:left w:val="none" w:sz="0" w:space="0" w:color="auto"/>
            <w:bottom w:val="none" w:sz="0" w:space="0" w:color="auto"/>
            <w:right w:val="none" w:sz="0" w:space="0" w:color="auto"/>
          </w:divBdr>
        </w:div>
        <w:div w:id="2024705325">
          <w:marLeft w:val="0"/>
          <w:marRight w:val="0"/>
          <w:marTop w:val="0"/>
          <w:marBottom w:val="0"/>
          <w:divBdr>
            <w:top w:val="none" w:sz="0" w:space="0" w:color="auto"/>
            <w:left w:val="none" w:sz="0" w:space="0" w:color="auto"/>
            <w:bottom w:val="none" w:sz="0" w:space="0" w:color="auto"/>
            <w:right w:val="none" w:sz="0" w:space="0" w:color="auto"/>
          </w:divBdr>
        </w:div>
        <w:div w:id="2024705326">
          <w:marLeft w:val="0"/>
          <w:marRight w:val="0"/>
          <w:marTop w:val="0"/>
          <w:marBottom w:val="0"/>
          <w:divBdr>
            <w:top w:val="none" w:sz="0" w:space="0" w:color="auto"/>
            <w:left w:val="none" w:sz="0" w:space="0" w:color="auto"/>
            <w:bottom w:val="none" w:sz="0" w:space="0" w:color="auto"/>
            <w:right w:val="none" w:sz="0" w:space="0" w:color="auto"/>
          </w:divBdr>
        </w:div>
        <w:div w:id="2024705327">
          <w:marLeft w:val="0"/>
          <w:marRight w:val="0"/>
          <w:marTop w:val="0"/>
          <w:marBottom w:val="0"/>
          <w:divBdr>
            <w:top w:val="none" w:sz="0" w:space="0" w:color="auto"/>
            <w:left w:val="none" w:sz="0" w:space="0" w:color="auto"/>
            <w:bottom w:val="none" w:sz="0" w:space="0" w:color="auto"/>
            <w:right w:val="none" w:sz="0" w:space="0" w:color="auto"/>
          </w:divBdr>
        </w:div>
        <w:div w:id="2024705328">
          <w:marLeft w:val="0"/>
          <w:marRight w:val="0"/>
          <w:marTop w:val="0"/>
          <w:marBottom w:val="0"/>
          <w:divBdr>
            <w:top w:val="none" w:sz="0" w:space="0" w:color="auto"/>
            <w:left w:val="none" w:sz="0" w:space="0" w:color="auto"/>
            <w:bottom w:val="none" w:sz="0" w:space="0" w:color="auto"/>
            <w:right w:val="none" w:sz="0" w:space="0" w:color="auto"/>
          </w:divBdr>
        </w:div>
        <w:div w:id="2024705330">
          <w:marLeft w:val="0"/>
          <w:marRight w:val="0"/>
          <w:marTop w:val="0"/>
          <w:marBottom w:val="0"/>
          <w:divBdr>
            <w:top w:val="none" w:sz="0" w:space="0" w:color="auto"/>
            <w:left w:val="none" w:sz="0" w:space="0" w:color="auto"/>
            <w:bottom w:val="none" w:sz="0" w:space="0" w:color="auto"/>
            <w:right w:val="none" w:sz="0" w:space="0" w:color="auto"/>
          </w:divBdr>
        </w:div>
        <w:div w:id="2024705331">
          <w:marLeft w:val="0"/>
          <w:marRight w:val="0"/>
          <w:marTop w:val="0"/>
          <w:marBottom w:val="0"/>
          <w:divBdr>
            <w:top w:val="none" w:sz="0" w:space="0" w:color="auto"/>
            <w:left w:val="none" w:sz="0" w:space="0" w:color="auto"/>
            <w:bottom w:val="none" w:sz="0" w:space="0" w:color="auto"/>
            <w:right w:val="none" w:sz="0" w:space="0" w:color="auto"/>
          </w:divBdr>
        </w:div>
        <w:div w:id="2024705332">
          <w:marLeft w:val="0"/>
          <w:marRight w:val="0"/>
          <w:marTop w:val="0"/>
          <w:marBottom w:val="0"/>
          <w:divBdr>
            <w:top w:val="none" w:sz="0" w:space="0" w:color="auto"/>
            <w:left w:val="none" w:sz="0" w:space="0" w:color="auto"/>
            <w:bottom w:val="none" w:sz="0" w:space="0" w:color="auto"/>
            <w:right w:val="none" w:sz="0" w:space="0" w:color="auto"/>
          </w:divBdr>
        </w:div>
        <w:div w:id="2024705333">
          <w:marLeft w:val="0"/>
          <w:marRight w:val="0"/>
          <w:marTop w:val="0"/>
          <w:marBottom w:val="0"/>
          <w:divBdr>
            <w:top w:val="none" w:sz="0" w:space="0" w:color="auto"/>
            <w:left w:val="none" w:sz="0" w:space="0" w:color="auto"/>
            <w:bottom w:val="none" w:sz="0" w:space="0" w:color="auto"/>
            <w:right w:val="none" w:sz="0" w:space="0" w:color="auto"/>
          </w:divBdr>
        </w:div>
        <w:div w:id="2024705334">
          <w:marLeft w:val="0"/>
          <w:marRight w:val="0"/>
          <w:marTop w:val="0"/>
          <w:marBottom w:val="0"/>
          <w:divBdr>
            <w:top w:val="none" w:sz="0" w:space="0" w:color="auto"/>
            <w:left w:val="none" w:sz="0" w:space="0" w:color="auto"/>
            <w:bottom w:val="none" w:sz="0" w:space="0" w:color="auto"/>
            <w:right w:val="none" w:sz="0" w:space="0" w:color="auto"/>
          </w:divBdr>
        </w:div>
        <w:div w:id="2024705335">
          <w:marLeft w:val="0"/>
          <w:marRight w:val="0"/>
          <w:marTop w:val="0"/>
          <w:marBottom w:val="0"/>
          <w:divBdr>
            <w:top w:val="none" w:sz="0" w:space="0" w:color="auto"/>
            <w:left w:val="none" w:sz="0" w:space="0" w:color="auto"/>
            <w:bottom w:val="none" w:sz="0" w:space="0" w:color="auto"/>
            <w:right w:val="none" w:sz="0" w:space="0" w:color="auto"/>
          </w:divBdr>
        </w:div>
        <w:div w:id="2024705336">
          <w:marLeft w:val="0"/>
          <w:marRight w:val="0"/>
          <w:marTop w:val="0"/>
          <w:marBottom w:val="0"/>
          <w:divBdr>
            <w:top w:val="none" w:sz="0" w:space="0" w:color="auto"/>
            <w:left w:val="none" w:sz="0" w:space="0" w:color="auto"/>
            <w:bottom w:val="none" w:sz="0" w:space="0" w:color="auto"/>
            <w:right w:val="none" w:sz="0" w:space="0" w:color="auto"/>
          </w:divBdr>
        </w:div>
        <w:div w:id="2024705337">
          <w:marLeft w:val="0"/>
          <w:marRight w:val="0"/>
          <w:marTop w:val="0"/>
          <w:marBottom w:val="0"/>
          <w:divBdr>
            <w:top w:val="none" w:sz="0" w:space="0" w:color="auto"/>
            <w:left w:val="none" w:sz="0" w:space="0" w:color="auto"/>
            <w:bottom w:val="none" w:sz="0" w:space="0" w:color="auto"/>
            <w:right w:val="none" w:sz="0" w:space="0" w:color="auto"/>
          </w:divBdr>
        </w:div>
        <w:div w:id="2024705338">
          <w:marLeft w:val="0"/>
          <w:marRight w:val="0"/>
          <w:marTop w:val="0"/>
          <w:marBottom w:val="0"/>
          <w:divBdr>
            <w:top w:val="none" w:sz="0" w:space="0" w:color="auto"/>
            <w:left w:val="none" w:sz="0" w:space="0" w:color="auto"/>
            <w:bottom w:val="none" w:sz="0" w:space="0" w:color="auto"/>
            <w:right w:val="none" w:sz="0" w:space="0" w:color="auto"/>
          </w:divBdr>
        </w:div>
        <w:div w:id="2024705339">
          <w:marLeft w:val="0"/>
          <w:marRight w:val="0"/>
          <w:marTop w:val="0"/>
          <w:marBottom w:val="0"/>
          <w:divBdr>
            <w:top w:val="none" w:sz="0" w:space="0" w:color="auto"/>
            <w:left w:val="none" w:sz="0" w:space="0" w:color="auto"/>
            <w:bottom w:val="none" w:sz="0" w:space="0" w:color="auto"/>
            <w:right w:val="none" w:sz="0" w:space="0" w:color="auto"/>
          </w:divBdr>
        </w:div>
        <w:div w:id="2024705340">
          <w:marLeft w:val="0"/>
          <w:marRight w:val="0"/>
          <w:marTop w:val="0"/>
          <w:marBottom w:val="0"/>
          <w:divBdr>
            <w:top w:val="none" w:sz="0" w:space="0" w:color="auto"/>
            <w:left w:val="none" w:sz="0" w:space="0" w:color="auto"/>
            <w:bottom w:val="none" w:sz="0" w:space="0" w:color="auto"/>
            <w:right w:val="none" w:sz="0" w:space="0" w:color="auto"/>
          </w:divBdr>
        </w:div>
        <w:div w:id="2024705341">
          <w:marLeft w:val="0"/>
          <w:marRight w:val="0"/>
          <w:marTop w:val="0"/>
          <w:marBottom w:val="0"/>
          <w:divBdr>
            <w:top w:val="none" w:sz="0" w:space="0" w:color="auto"/>
            <w:left w:val="none" w:sz="0" w:space="0" w:color="auto"/>
            <w:bottom w:val="none" w:sz="0" w:space="0" w:color="auto"/>
            <w:right w:val="none" w:sz="0" w:space="0" w:color="auto"/>
          </w:divBdr>
        </w:div>
        <w:div w:id="2024705342">
          <w:marLeft w:val="0"/>
          <w:marRight w:val="0"/>
          <w:marTop w:val="0"/>
          <w:marBottom w:val="0"/>
          <w:divBdr>
            <w:top w:val="none" w:sz="0" w:space="0" w:color="auto"/>
            <w:left w:val="none" w:sz="0" w:space="0" w:color="auto"/>
            <w:bottom w:val="none" w:sz="0" w:space="0" w:color="auto"/>
            <w:right w:val="none" w:sz="0" w:space="0" w:color="auto"/>
          </w:divBdr>
        </w:div>
        <w:div w:id="2024705343">
          <w:marLeft w:val="0"/>
          <w:marRight w:val="0"/>
          <w:marTop w:val="0"/>
          <w:marBottom w:val="0"/>
          <w:divBdr>
            <w:top w:val="none" w:sz="0" w:space="0" w:color="auto"/>
            <w:left w:val="none" w:sz="0" w:space="0" w:color="auto"/>
            <w:bottom w:val="none" w:sz="0" w:space="0" w:color="auto"/>
            <w:right w:val="none" w:sz="0" w:space="0" w:color="auto"/>
          </w:divBdr>
        </w:div>
        <w:div w:id="2024705344">
          <w:marLeft w:val="0"/>
          <w:marRight w:val="0"/>
          <w:marTop w:val="0"/>
          <w:marBottom w:val="0"/>
          <w:divBdr>
            <w:top w:val="none" w:sz="0" w:space="0" w:color="auto"/>
            <w:left w:val="none" w:sz="0" w:space="0" w:color="auto"/>
            <w:bottom w:val="none" w:sz="0" w:space="0" w:color="auto"/>
            <w:right w:val="none" w:sz="0" w:space="0" w:color="auto"/>
          </w:divBdr>
        </w:div>
        <w:div w:id="2024705345">
          <w:marLeft w:val="0"/>
          <w:marRight w:val="0"/>
          <w:marTop w:val="0"/>
          <w:marBottom w:val="0"/>
          <w:divBdr>
            <w:top w:val="none" w:sz="0" w:space="0" w:color="auto"/>
            <w:left w:val="none" w:sz="0" w:space="0" w:color="auto"/>
            <w:bottom w:val="none" w:sz="0" w:space="0" w:color="auto"/>
            <w:right w:val="none" w:sz="0" w:space="0" w:color="auto"/>
          </w:divBdr>
        </w:div>
        <w:div w:id="2024705346">
          <w:marLeft w:val="0"/>
          <w:marRight w:val="0"/>
          <w:marTop w:val="0"/>
          <w:marBottom w:val="0"/>
          <w:divBdr>
            <w:top w:val="none" w:sz="0" w:space="0" w:color="auto"/>
            <w:left w:val="none" w:sz="0" w:space="0" w:color="auto"/>
            <w:bottom w:val="none" w:sz="0" w:space="0" w:color="auto"/>
            <w:right w:val="none" w:sz="0" w:space="0" w:color="auto"/>
          </w:divBdr>
        </w:div>
        <w:div w:id="2024705348">
          <w:marLeft w:val="0"/>
          <w:marRight w:val="0"/>
          <w:marTop w:val="0"/>
          <w:marBottom w:val="0"/>
          <w:divBdr>
            <w:top w:val="none" w:sz="0" w:space="0" w:color="auto"/>
            <w:left w:val="none" w:sz="0" w:space="0" w:color="auto"/>
            <w:bottom w:val="none" w:sz="0" w:space="0" w:color="auto"/>
            <w:right w:val="none" w:sz="0" w:space="0" w:color="auto"/>
          </w:divBdr>
        </w:div>
        <w:div w:id="2024705349">
          <w:marLeft w:val="0"/>
          <w:marRight w:val="0"/>
          <w:marTop w:val="0"/>
          <w:marBottom w:val="0"/>
          <w:divBdr>
            <w:top w:val="none" w:sz="0" w:space="0" w:color="auto"/>
            <w:left w:val="none" w:sz="0" w:space="0" w:color="auto"/>
            <w:bottom w:val="none" w:sz="0" w:space="0" w:color="auto"/>
            <w:right w:val="none" w:sz="0" w:space="0" w:color="auto"/>
          </w:divBdr>
        </w:div>
        <w:div w:id="2024705350">
          <w:marLeft w:val="0"/>
          <w:marRight w:val="0"/>
          <w:marTop w:val="0"/>
          <w:marBottom w:val="0"/>
          <w:divBdr>
            <w:top w:val="none" w:sz="0" w:space="0" w:color="auto"/>
            <w:left w:val="none" w:sz="0" w:space="0" w:color="auto"/>
            <w:bottom w:val="none" w:sz="0" w:space="0" w:color="auto"/>
            <w:right w:val="none" w:sz="0" w:space="0" w:color="auto"/>
          </w:divBdr>
        </w:div>
        <w:div w:id="2024705351">
          <w:marLeft w:val="0"/>
          <w:marRight w:val="0"/>
          <w:marTop w:val="0"/>
          <w:marBottom w:val="0"/>
          <w:divBdr>
            <w:top w:val="none" w:sz="0" w:space="0" w:color="auto"/>
            <w:left w:val="none" w:sz="0" w:space="0" w:color="auto"/>
            <w:bottom w:val="none" w:sz="0" w:space="0" w:color="auto"/>
            <w:right w:val="none" w:sz="0" w:space="0" w:color="auto"/>
          </w:divBdr>
        </w:div>
        <w:div w:id="2024705352">
          <w:marLeft w:val="0"/>
          <w:marRight w:val="0"/>
          <w:marTop w:val="0"/>
          <w:marBottom w:val="0"/>
          <w:divBdr>
            <w:top w:val="none" w:sz="0" w:space="0" w:color="auto"/>
            <w:left w:val="none" w:sz="0" w:space="0" w:color="auto"/>
            <w:bottom w:val="none" w:sz="0" w:space="0" w:color="auto"/>
            <w:right w:val="none" w:sz="0" w:space="0" w:color="auto"/>
          </w:divBdr>
        </w:div>
        <w:div w:id="2024705353">
          <w:marLeft w:val="0"/>
          <w:marRight w:val="0"/>
          <w:marTop w:val="0"/>
          <w:marBottom w:val="0"/>
          <w:divBdr>
            <w:top w:val="none" w:sz="0" w:space="0" w:color="auto"/>
            <w:left w:val="none" w:sz="0" w:space="0" w:color="auto"/>
            <w:bottom w:val="none" w:sz="0" w:space="0" w:color="auto"/>
            <w:right w:val="none" w:sz="0" w:space="0" w:color="auto"/>
          </w:divBdr>
        </w:div>
        <w:div w:id="2024705354">
          <w:marLeft w:val="0"/>
          <w:marRight w:val="0"/>
          <w:marTop w:val="0"/>
          <w:marBottom w:val="0"/>
          <w:divBdr>
            <w:top w:val="none" w:sz="0" w:space="0" w:color="auto"/>
            <w:left w:val="none" w:sz="0" w:space="0" w:color="auto"/>
            <w:bottom w:val="none" w:sz="0" w:space="0" w:color="auto"/>
            <w:right w:val="none" w:sz="0" w:space="0" w:color="auto"/>
          </w:divBdr>
        </w:div>
        <w:div w:id="2024705355">
          <w:marLeft w:val="0"/>
          <w:marRight w:val="0"/>
          <w:marTop w:val="0"/>
          <w:marBottom w:val="0"/>
          <w:divBdr>
            <w:top w:val="none" w:sz="0" w:space="0" w:color="auto"/>
            <w:left w:val="none" w:sz="0" w:space="0" w:color="auto"/>
            <w:bottom w:val="none" w:sz="0" w:space="0" w:color="auto"/>
            <w:right w:val="none" w:sz="0" w:space="0" w:color="auto"/>
          </w:divBdr>
        </w:div>
        <w:div w:id="2024705357">
          <w:marLeft w:val="0"/>
          <w:marRight w:val="0"/>
          <w:marTop w:val="0"/>
          <w:marBottom w:val="0"/>
          <w:divBdr>
            <w:top w:val="none" w:sz="0" w:space="0" w:color="auto"/>
            <w:left w:val="none" w:sz="0" w:space="0" w:color="auto"/>
            <w:bottom w:val="none" w:sz="0" w:space="0" w:color="auto"/>
            <w:right w:val="none" w:sz="0" w:space="0" w:color="auto"/>
          </w:divBdr>
        </w:div>
        <w:div w:id="2024705358">
          <w:marLeft w:val="0"/>
          <w:marRight w:val="0"/>
          <w:marTop w:val="0"/>
          <w:marBottom w:val="0"/>
          <w:divBdr>
            <w:top w:val="none" w:sz="0" w:space="0" w:color="auto"/>
            <w:left w:val="none" w:sz="0" w:space="0" w:color="auto"/>
            <w:bottom w:val="none" w:sz="0" w:space="0" w:color="auto"/>
            <w:right w:val="none" w:sz="0" w:space="0" w:color="auto"/>
          </w:divBdr>
        </w:div>
        <w:div w:id="2024705359">
          <w:marLeft w:val="0"/>
          <w:marRight w:val="0"/>
          <w:marTop w:val="0"/>
          <w:marBottom w:val="0"/>
          <w:divBdr>
            <w:top w:val="none" w:sz="0" w:space="0" w:color="auto"/>
            <w:left w:val="none" w:sz="0" w:space="0" w:color="auto"/>
            <w:bottom w:val="none" w:sz="0" w:space="0" w:color="auto"/>
            <w:right w:val="none" w:sz="0" w:space="0" w:color="auto"/>
          </w:divBdr>
        </w:div>
        <w:div w:id="2024705360">
          <w:marLeft w:val="0"/>
          <w:marRight w:val="0"/>
          <w:marTop w:val="0"/>
          <w:marBottom w:val="0"/>
          <w:divBdr>
            <w:top w:val="none" w:sz="0" w:space="0" w:color="auto"/>
            <w:left w:val="none" w:sz="0" w:space="0" w:color="auto"/>
            <w:bottom w:val="none" w:sz="0" w:space="0" w:color="auto"/>
            <w:right w:val="none" w:sz="0" w:space="0" w:color="auto"/>
          </w:divBdr>
        </w:div>
        <w:div w:id="2024705361">
          <w:marLeft w:val="0"/>
          <w:marRight w:val="0"/>
          <w:marTop w:val="0"/>
          <w:marBottom w:val="0"/>
          <w:divBdr>
            <w:top w:val="none" w:sz="0" w:space="0" w:color="auto"/>
            <w:left w:val="none" w:sz="0" w:space="0" w:color="auto"/>
            <w:bottom w:val="none" w:sz="0" w:space="0" w:color="auto"/>
            <w:right w:val="none" w:sz="0" w:space="0" w:color="auto"/>
          </w:divBdr>
        </w:div>
        <w:div w:id="2024705362">
          <w:marLeft w:val="0"/>
          <w:marRight w:val="0"/>
          <w:marTop w:val="0"/>
          <w:marBottom w:val="0"/>
          <w:divBdr>
            <w:top w:val="none" w:sz="0" w:space="0" w:color="auto"/>
            <w:left w:val="none" w:sz="0" w:space="0" w:color="auto"/>
            <w:bottom w:val="none" w:sz="0" w:space="0" w:color="auto"/>
            <w:right w:val="none" w:sz="0" w:space="0" w:color="auto"/>
          </w:divBdr>
        </w:div>
        <w:div w:id="2024705363">
          <w:marLeft w:val="0"/>
          <w:marRight w:val="0"/>
          <w:marTop w:val="0"/>
          <w:marBottom w:val="0"/>
          <w:divBdr>
            <w:top w:val="none" w:sz="0" w:space="0" w:color="auto"/>
            <w:left w:val="none" w:sz="0" w:space="0" w:color="auto"/>
            <w:bottom w:val="none" w:sz="0" w:space="0" w:color="auto"/>
            <w:right w:val="none" w:sz="0" w:space="0" w:color="auto"/>
          </w:divBdr>
        </w:div>
        <w:div w:id="2024705364">
          <w:marLeft w:val="0"/>
          <w:marRight w:val="0"/>
          <w:marTop w:val="0"/>
          <w:marBottom w:val="0"/>
          <w:divBdr>
            <w:top w:val="none" w:sz="0" w:space="0" w:color="auto"/>
            <w:left w:val="none" w:sz="0" w:space="0" w:color="auto"/>
            <w:bottom w:val="none" w:sz="0" w:space="0" w:color="auto"/>
            <w:right w:val="none" w:sz="0" w:space="0" w:color="auto"/>
          </w:divBdr>
        </w:div>
        <w:div w:id="2024705365">
          <w:marLeft w:val="0"/>
          <w:marRight w:val="0"/>
          <w:marTop w:val="0"/>
          <w:marBottom w:val="0"/>
          <w:divBdr>
            <w:top w:val="none" w:sz="0" w:space="0" w:color="auto"/>
            <w:left w:val="none" w:sz="0" w:space="0" w:color="auto"/>
            <w:bottom w:val="none" w:sz="0" w:space="0" w:color="auto"/>
            <w:right w:val="none" w:sz="0" w:space="0" w:color="auto"/>
          </w:divBdr>
        </w:div>
        <w:div w:id="2024705366">
          <w:marLeft w:val="0"/>
          <w:marRight w:val="0"/>
          <w:marTop w:val="0"/>
          <w:marBottom w:val="0"/>
          <w:divBdr>
            <w:top w:val="none" w:sz="0" w:space="0" w:color="auto"/>
            <w:left w:val="none" w:sz="0" w:space="0" w:color="auto"/>
            <w:bottom w:val="none" w:sz="0" w:space="0" w:color="auto"/>
            <w:right w:val="none" w:sz="0" w:space="0" w:color="auto"/>
          </w:divBdr>
        </w:div>
        <w:div w:id="2024705367">
          <w:marLeft w:val="0"/>
          <w:marRight w:val="0"/>
          <w:marTop w:val="0"/>
          <w:marBottom w:val="0"/>
          <w:divBdr>
            <w:top w:val="none" w:sz="0" w:space="0" w:color="auto"/>
            <w:left w:val="none" w:sz="0" w:space="0" w:color="auto"/>
            <w:bottom w:val="none" w:sz="0" w:space="0" w:color="auto"/>
            <w:right w:val="none" w:sz="0" w:space="0" w:color="auto"/>
          </w:divBdr>
        </w:div>
        <w:div w:id="2024705368">
          <w:marLeft w:val="0"/>
          <w:marRight w:val="0"/>
          <w:marTop w:val="0"/>
          <w:marBottom w:val="0"/>
          <w:divBdr>
            <w:top w:val="none" w:sz="0" w:space="0" w:color="auto"/>
            <w:left w:val="none" w:sz="0" w:space="0" w:color="auto"/>
            <w:bottom w:val="none" w:sz="0" w:space="0" w:color="auto"/>
            <w:right w:val="none" w:sz="0" w:space="0" w:color="auto"/>
          </w:divBdr>
        </w:div>
        <w:div w:id="2024705369">
          <w:marLeft w:val="0"/>
          <w:marRight w:val="0"/>
          <w:marTop w:val="0"/>
          <w:marBottom w:val="0"/>
          <w:divBdr>
            <w:top w:val="none" w:sz="0" w:space="0" w:color="auto"/>
            <w:left w:val="none" w:sz="0" w:space="0" w:color="auto"/>
            <w:bottom w:val="none" w:sz="0" w:space="0" w:color="auto"/>
            <w:right w:val="none" w:sz="0" w:space="0" w:color="auto"/>
          </w:divBdr>
        </w:div>
        <w:div w:id="2024705370">
          <w:marLeft w:val="0"/>
          <w:marRight w:val="0"/>
          <w:marTop w:val="0"/>
          <w:marBottom w:val="0"/>
          <w:divBdr>
            <w:top w:val="none" w:sz="0" w:space="0" w:color="auto"/>
            <w:left w:val="none" w:sz="0" w:space="0" w:color="auto"/>
            <w:bottom w:val="none" w:sz="0" w:space="0" w:color="auto"/>
            <w:right w:val="none" w:sz="0" w:space="0" w:color="auto"/>
          </w:divBdr>
        </w:div>
        <w:div w:id="2024705371">
          <w:marLeft w:val="0"/>
          <w:marRight w:val="0"/>
          <w:marTop w:val="0"/>
          <w:marBottom w:val="0"/>
          <w:divBdr>
            <w:top w:val="none" w:sz="0" w:space="0" w:color="auto"/>
            <w:left w:val="none" w:sz="0" w:space="0" w:color="auto"/>
            <w:bottom w:val="none" w:sz="0" w:space="0" w:color="auto"/>
            <w:right w:val="none" w:sz="0" w:space="0" w:color="auto"/>
          </w:divBdr>
        </w:div>
        <w:div w:id="2024705372">
          <w:marLeft w:val="0"/>
          <w:marRight w:val="0"/>
          <w:marTop w:val="0"/>
          <w:marBottom w:val="0"/>
          <w:divBdr>
            <w:top w:val="none" w:sz="0" w:space="0" w:color="auto"/>
            <w:left w:val="none" w:sz="0" w:space="0" w:color="auto"/>
            <w:bottom w:val="none" w:sz="0" w:space="0" w:color="auto"/>
            <w:right w:val="none" w:sz="0" w:space="0" w:color="auto"/>
          </w:divBdr>
        </w:div>
        <w:div w:id="2024705373">
          <w:marLeft w:val="0"/>
          <w:marRight w:val="0"/>
          <w:marTop w:val="0"/>
          <w:marBottom w:val="0"/>
          <w:divBdr>
            <w:top w:val="none" w:sz="0" w:space="0" w:color="auto"/>
            <w:left w:val="none" w:sz="0" w:space="0" w:color="auto"/>
            <w:bottom w:val="none" w:sz="0" w:space="0" w:color="auto"/>
            <w:right w:val="none" w:sz="0" w:space="0" w:color="auto"/>
          </w:divBdr>
        </w:div>
        <w:div w:id="2024705374">
          <w:marLeft w:val="0"/>
          <w:marRight w:val="0"/>
          <w:marTop w:val="0"/>
          <w:marBottom w:val="0"/>
          <w:divBdr>
            <w:top w:val="none" w:sz="0" w:space="0" w:color="auto"/>
            <w:left w:val="none" w:sz="0" w:space="0" w:color="auto"/>
            <w:bottom w:val="none" w:sz="0" w:space="0" w:color="auto"/>
            <w:right w:val="none" w:sz="0" w:space="0" w:color="auto"/>
          </w:divBdr>
        </w:div>
        <w:div w:id="2024705375">
          <w:marLeft w:val="0"/>
          <w:marRight w:val="0"/>
          <w:marTop w:val="0"/>
          <w:marBottom w:val="0"/>
          <w:divBdr>
            <w:top w:val="none" w:sz="0" w:space="0" w:color="auto"/>
            <w:left w:val="none" w:sz="0" w:space="0" w:color="auto"/>
            <w:bottom w:val="none" w:sz="0" w:space="0" w:color="auto"/>
            <w:right w:val="none" w:sz="0" w:space="0" w:color="auto"/>
          </w:divBdr>
        </w:div>
        <w:div w:id="2024705376">
          <w:marLeft w:val="0"/>
          <w:marRight w:val="0"/>
          <w:marTop w:val="0"/>
          <w:marBottom w:val="0"/>
          <w:divBdr>
            <w:top w:val="none" w:sz="0" w:space="0" w:color="auto"/>
            <w:left w:val="none" w:sz="0" w:space="0" w:color="auto"/>
            <w:bottom w:val="none" w:sz="0" w:space="0" w:color="auto"/>
            <w:right w:val="none" w:sz="0" w:space="0" w:color="auto"/>
          </w:divBdr>
        </w:div>
        <w:div w:id="2024705377">
          <w:marLeft w:val="0"/>
          <w:marRight w:val="0"/>
          <w:marTop w:val="0"/>
          <w:marBottom w:val="0"/>
          <w:divBdr>
            <w:top w:val="none" w:sz="0" w:space="0" w:color="auto"/>
            <w:left w:val="none" w:sz="0" w:space="0" w:color="auto"/>
            <w:bottom w:val="none" w:sz="0" w:space="0" w:color="auto"/>
            <w:right w:val="none" w:sz="0" w:space="0" w:color="auto"/>
          </w:divBdr>
        </w:div>
        <w:div w:id="2024705378">
          <w:marLeft w:val="0"/>
          <w:marRight w:val="0"/>
          <w:marTop w:val="0"/>
          <w:marBottom w:val="0"/>
          <w:divBdr>
            <w:top w:val="none" w:sz="0" w:space="0" w:color="auto"/>
            <w:left w:val="none" w:sz="0" w:space="0" w:color="auto"/>
            <w:bottom w:val="none" w:sz="0" w:space="0" w:color="auto"/>
            <w:right w:val="none" w:sz="0" w:space="0" w:color="auto"/>
          </w:divBdr>
        </w:div>
        <w:div w:id="2024705379">
          <w:marLeft w:val="0"/>
          <w:marRight w:val="0"/>
          <w:marTop w:val="0"/>
          <w:marBottom w:val="0"/>
          <w:divBdr>
            <w:top w:val="none" w:sz="0" w:space="0" w:color="auto"/>
            <w:left w:val="none" w:sz="0" w:space="0" w:color="auto"/>
            <w:bottom w:val="none" w:sz="0" w:space="0" w:color="auto"/>
            <w:right w:val="none" w:sz="0" w:space="0" w:color="auto"/>
          </w:divBdr>
        </w:div>
        <w:div w:id="2024705380">
          <w:marLeft w:val="0"/>
          <w:marRight w:val="0"/>
          <w:marTop w:val="0"/>
          <w:marBottom w:val="0"/>
          <w:divBdr>
            <w:top w:val="none" w:sz="0" w:space="0" w:color="auto"/>
            <w:left w:val="none" w:sz="0" w:space="0" w:color="auto"/>
            <w:bottom w:val="none" w:sz="0" w:space="0" w:color="auto"/>
            <w:right w:val="none" w:sz="0" w:space="0" w:color="auto"/>
          </w:divBdr>
        </w:div>
        <w:div w:id="2024705381">
          <w:marLeft w:val="0"/>
          <w:marRight w:val="0"/>
          <w:marTop w:val="0"/>
          <w:marBottom w:val="0"/>
          <w:divBdr>
            <w:top w:val="none" w:sz="0" w:space="0" w:color="auto"/>
            <w:left w:val="none" w:sz="0" w:space="0" w:color="auto"/>
            <w:bottom w:val="none" w:sz="0" w:space="0" w:color="auto"/>
            <w:right w:val="none" w:sz="0" w:space="0" w:color="auto"/>
          </w:divBdr>
        </w:div>
        <w:div w:id="2024705382">
          <w:marLeft w:val="0"/>
          <w:marRight w:val="0"/>
          <w:marTop w:val="0"/>
          <w:marBottom w:val="0"/>
          <w:divBdr>
            <w:top w:val="none" w:sz="0" w:space="0" w:color="auto"/>
            <w:left w:val="none" w:sz="0" w:space="0" w:color="auto"/>
            <w:bottom w:val="none" w:sz="0" w:space="0" w:color="auto"/>
            <w:right w:val="none" w:sz="0" w:space="0" w:color="auto"/>
          </w:divBdr>
        </w:div>
        <w:div w:id="2024705383">
          <w:marLeft w:val="0"/>
          <w:marRight w:val="0"/>
          <w:marTop w:val="0"/>
          <w:marBottom w:val="0"/>
          <w:divBdr>
            <w:top w:val="none" w:sz="0" w:space="0" w:color="auto"/>
            <w:left w:val="none" w:sz="0" w:space="0" w:color="auto"/>
            <w:bottom w:val="none" w:sz="0" w:space="0" w:color="auto"/>
            <w:right w:val="none" w:sz="0" w:space="0" w:color="auto"/>
          </w:divBdr>
        </w:div>
        <w:div w:id="2024705384">
          <w:marLeft w:val="0"/>
          <w:marRight w:val="0"/>
          <w:marTop w:val="0"/>
          <w:marBottom w:val="0"/>
          <w:divBdr>
            <w:top w:val="none" w:sz="0" w:space="0" w:color="auto"/>
            <w:left w:val="none" w:sz="0" w:space="0" w:color="auto"/>
            <w:bottom w:val="none" w:sz="0" w:space="0" w:color="auto"/>
            <w:right w:val="none" w:sz="0" w:space="0" w:color="auto"/>
          </w:divBdr>
        </w:div>
        <w:div w:id="2024705385">
          <w:marLeft w:val="0"/>
          <w:marRight w:val="0"/>
          <w:marTop w:val="0"/>
          <w:marBottom w:val="0"/>
          <w:divBdr>
            <w:top w:val="none" w:sz="0" w:space="0" w:color="auto"/>
            <w:left w:val="none" w:sz="0" w:space="0" w:color="auto"/>
            <w:bottom w:val="none" w:sz="0" w:space="0" w:color="auto"/>
            <w:right w:val="none" w:sz="0" w:space="0" w:color="auto"/>
          </w:divBdr>
        </w:div>
        <w:div w:id="2024705386">
          <w:marLeft w:val="0"/>
          <w:marRight w:val="0"/>
          <w:marTop w:val="0"/>
          <w:marBottom w:val="0"/>
          <w:divBdr>
            <w:top w:val="none" w:sz="0" w:space="0" w:color="auto"/>
            <w:left w:val="none" w:sz="0" w:space="0" w:color="auto"/>
            <w:bottom w:val="none" w:sz="0" w:space="0" w:color="auto"/>
            <w:right w:val="none" w:sz="0" w:space="0" w:color="auto"/>
          </w:divBdr>
        </w:div>
        <w:div w:id="2024705387">
          <w:marLeft w:val="0"/>
          <w:marRight w:val="0"/>
          <w:marTop w:val="0"/>
          <w:marBottom w:val="0"/>
          <w:divBdr>
            <w:top w:val="none" w:sz="0" w:space="0" w:color="auto"/>
            <w:left w:val="none" w:sz="0" w:space="0" w:color="auto"/>
            <w:bottom w:val="none" w:sz="0" w:space="0" w:color="auto"/>
            <w:right w:val="none" w:sz="0" w:space="0" w:color="auto"/>
          </w:divBdr>
        </w:div>
        <w:div w:id="2024705388">
          <w:marLeft w:val="0"/>
          <w:marRight w:val="0"/>
          <w:marTop w:val="0"/>
          <w:marBottom w:val="0"/>
          <w:divBdr>
            <w:top w:val="none" w:sz="0" w:space="0" w:color="auto"/>
            <w:left w:val="none" w:sz="0" w:space="0" w:color="auto"/>
            <w:bottom w:val="none" w:sz="0" w:space="0" w:color="auto"/>
            <w:right w:val="none" w:sz="0" w:space="0" w:color="auto"/>
          </w:divBdr>
        </w:div>
        <w:div w:id="2024705389">
          <w:marLeft w:val="0"/>
          <w:marRight w:val="0"/>
          <w:marTop w:val="0"/>
          <w:marBottom w:val="0"/>
          <w:divBdr>
            <w:top w:val="none" w:sz="0" w:space="0" w:color="auto"/>
            <w:left w:val="none" w:sz="0" w:space="0" w:color="auto"/>
            <w:bottom w:val="none" w:sz="0" w:space="0" w:color="auto"/>
            <w:right w:val="none" w:sz="0" w:space="0" w:color="auto"/>
          </w:divBdr>
        </w:div>
        <w:div w:id="2024705390">
          <w:marLeft w:val="0"/>
          <w:marRight w:val="0"/>
          <w:marTop w:val="0"/>
          <w:marBottom w:val="0"/>
          <w:divBdr>
            <w:top w:val="none" w:sz="0" w:space="0" w:color="auto"/>
            <w:left w:val="none" w:sz="0" w:space="0" w:color="auto"/>
            <w:bottom w:val="none" w:sz="0" w:space="0" w:color="auto"/>
            <w:right w:val="none" w:sz="0" w:space="0" w:color="auto"/>
          </w:divBdr>
        </w:div>
        <w:div w:id="2024705391">
          <w:marLeft w:val="0"/>
          <w:marRight w:val="0"/>
          <w:marTop w:val="0"/>
          <w:marBottom w:val="0"/>
          <w:divBdr>
            <w:top w:val="none" w:sz="0" w:space="0" w:color="auto"/>
            <w:left w:val="none" w:sz="0" w:space="0" w:color="auto"/>
            <w:bottom w:val="none" w:sz="0" w:space="0" w:color="auto"/>
            <w:right w:val="none" w:sz="0" w:space="0" w:color="auto"/>
          </w:divBdr>
        </w:div>
        <w:div w:id="2024705392">
          <w:marLeft w:val="0"/>
          <w:marRight w:val="0"/>
          <w:marTop w:val="0"/>
          <w:marBottom w:val="0"/>
          <w:divBdr>
            <w:top w:val="none" w:sz="0" w:space="0" w:color="auto"/>
            <w:left w:val="none" w:sz="0" w:space="0" w:color="auto"/>
            <w:bottom w:val="none" w:sz="0" w:space="0" w:color="auto"/>
            <w:right w:val="none" w:sz="0" w:space="0" w:color="auto"/>
          </w:divBdr>
        </w:div>
        <w:div w:id="2024705393">
          <w:marLeft w:val="0"/>
          <w:marRight w:val="0"/>
          <w:marTop w:val="0"/>
          <w:marBottom w:val="0"/>
          <w:divBdr>
            <w:top w:val="none" w:sz="0" w:space="0" w:color="auto"/>
            <w:left w:val="none" w:sz="0" w:space="0" w:color="auto"/>
            <w:bottom w:val="none" w:sz="0" w:space="0" w:color="auto"/>
            <w:right w:val="none" w:sz="0" w:space="0" w:color="auto"/>
          </w:divBdr>
        </w:div>
        <w:div w:id="2024705394">
          <w:marLeft w:val="0"/>
          <w:marRight w:val="0"/>
          <w:marTop w:val="0"/>
          <w:marBottom w:val="0"/>
          <w:divBdr>
            <w:top w:val="none" w:sz="0" w:space="0" w:color="auto"/>
            <w:left w:val="none" w:sz="0" w:space="0" w:color="auto"/>
            <w:bottom w:val="none" w:sz="0" w:space="0" w:color="auto"/>
            <w:right w:val="none" w:sz="0" w:space="0" w:color="auto"/>
          </w:divBdr>
        </w:div>
        <w:div w:id="2024705395">
          <w:marLeft w:val="0"/>
          <w:marRight w:val="0"/>
          <w:marTop w:val="0"/>
          <w:marBottom w:val="0"/>
          <w:divBdr>
            <w:top w:val="none" w:sz="0" w:space="0" w:color="auto"/>
            <w:left w:val="none" w:sz="0" w:space="0" w:color="auto"/>
            <w:bottom w:val="none" w:sz="0" w:space="0" w:color="auto"/>
            <w:right w:val="none" w:sz="0" w:space="0" w:color="auto"/>
          </w:divBdr>
        </w:div>
        <w:div w:id="2024705396">
          <w:marLeft w:val="0"/>
          <w:marRight w:val="0"/>
          <w:marTop w:val="0"/>
          <w:marBottom w:val="0"/>
          <w:divBdr>
            <w:top w:val="none" w:sz="0" w:space="0" w:color="auto"/>
            <w:left w:val="none" w:sz="0" w:space="0" w:color="auto"/>
            <w:bottom w:val="none" w:sz="0" w:space="0" w:color="auto"/>
            <w:right w:val="none" w:sz="0" w:space="0" w:color="auto"/>
          </w:divBdr>
        </w:div>
        <w:div w:id="2024705397">
          <w:marLeft w:val="0"/>
          <w:marRight w:val="0"/>
          <w:marTop w:val="0"/>
          <w:marBottom w:val="0"/>
          <w:divBdr>
            <w:top w:val="none" w:sz="0" w:space="0" w:color="auto"/>
            <w:left w:val="none" w:sz="0" w:space="0" w:color="auto"/>
            <w:bottom w:val="none" w:sz="0" w:space="0" w:color="auto"/>
            <w:right w:val="none" w:sz="0" w:space="0" w:color="auto"/>
          </w:divBdr>
        </w:div>
        <w:div w:id="2024705398">
          <w:marLeft w:val="0"/>
          <w:marRight w:val="0"/>
          <w:marTop w:val="0"/>
          <w:marBottom w:val="0"/>
          <w:divBdr>
            <w:top w:val="none" w:sz="0" w:space="0" w:color="auto"/>
            <w:left w:val="none" w:sz="0" w:space="0" w:color="auto"/>
            <w:bottom w:val="none" w:sz="0" w:space="0" w:color="auto"/>
            <w:right w:val="none" w:sz="0" w:space="0" w:color="auto"/>
          </w:divBdr>
        </w:div>
        <w:div w:id="2024705399">
          <w:marLeft w:val="0"/>
          <w:marRight w:val="0"/>
          <w:marTop w:val="0"/>
          <w:marBottom w:val="0"/>
          <w:divBdr>
            <w:top w:val="none" w:sz="0" w:space="0" w:color="auto"/>
            <w:left w:val="none" w:sz="0" w:space="0" w:color="auto"/>
            <w:bottom w:val="none" w:sz="0" w:space="0" w:color="auto"/>
            <w:right w:val="none" w:sz="0" w:space="0" w:color="auto"/>
          </w:divBdr>
        </w:div>
        <w:div w:id="2024705400">
          <w:marLeft w:val="0"/>
          <w:marRight w:val="0"/>
          <w:marTop w:val="0"/>
          <w:marBottom w:val="0"/>
          <w:divBdr>
            <w:top w:val="none" w:sz="0" w:space="0" w:color="auto"/>
            <w:left w:val="none" w:sz="0" w:space="0" w:color="auto"/>
            <w:bottom w:val="none" w:sz="0" w:space="0" w:color="auto"/>
            <w:right w:val="none" w:sz="0" w:space="0" w:color="auto"/>
          </w:divBdr>
        </w:div>
        <w:div w:id="2024705401">
          <w:marLeft w:val="0"/>
          <w:marRight w:val="0"/>
          <w:marTop w:val="0"/>
          <w:marBottom w:val="0"/>
          <w:divBdr>
            <w:top w:val="none" w:sz="0" w:space="0" w:color="auto"/>
            <w:left w:val="none" w:sz="0" w:space="0" w:color="auto"/>
            <w:bottom w:val="none" w:sz="0" w:space="0" w:color="auto"/>
            <w:right w:val="none" w:sz="0" w:space="0" w:color="auto"/>
          </w:divBdr>
        </w:div>
        <w:div w:id="2024705402">
          <w:marLeft w:val="0"/>
          <w:marRight w:val="0"/>
          <w:marTop w:val="0"/>
          <w:marBottom w:val="0"/>
          <w:divBdr>
            <w:top w:val="none" w:sz="0" w:space="0" w:color="auto"/>
            <w:left w:val="none" w:sz="0" w:space="0" w:color="auto"/>
            <w:bottom w:val="none" w:sz="0" w:space="0" w:color="auto"/>
            <w:right w:val="none" w:sz="0" w:space="0" w:color="auto"/>
          </w:divBdr>
        </w:div>
        <w:div w:id="2024705403">
          <w:marLeft w:val="0"/>
          <w:marRight w:val="0"/>
          <w:marTop w:val="0"/>
          <w:marBottom w:val="0"/>
          <w:divBdr>
            <w:top w:val="none" w:sz="0" w:space="0" w:color="auto"/>
            <w:left w:val="none" w:sz="0" w:space="0" w:color="auto"/>
            <w:bottom w:val="none" w:sz="0" w:space="0" w:color="auto"/>
            <w:right w:val="none" w:sz="0" w:space="0" w:color="auto"/>
          </w:divBdr>
        </w:div>
        <w:div w:id="2024705404">
          <w:marLeft w:val="0"/>
          <w:marRight w:val="0"/>
          <w:marTop w:val="0"/>
          <w:marBottom w:val="0"/>
          <w:divBdr>
            <w:top w:val="none" w:sz="0" w:space="0" w:color="auto"/>
            <w:left w:val="none" w:sz="0" w:space="0" w:color="auto"/>
            <w:bottom w:val="none" w:sz="0" w:space="0" w:color="auto"/>
            <w:right w:val="none" w:sz="0" w:space="0" w:color="auto"/>
          </w:divBdr>
        </w:div>
        <w:div w:id="2024705405">
          <w:marLeft w:val="0"/>
          <w:marRight w:val="0"/>
          <w:marTop w:val="0"/>
          <w:marBottom w:val="0"/>
          <w:divBdr>
            <w:top w:val="none" w:sz="0" w:space="0" w:color="auto"/>
            <w:left w:val="none" w:sz="0" w:space="0" w:color="auto"/>
            <w:bottom w:val="none" w:sz="0" w:space="0" w:color="auto"/>
            <w:right w:val="none" w:sz="0" w:space="0" w:color="auto"/>
          </w:divBdr>
        </w:div>
        <w:div w:id="2024705406">
          <w:marLeft w:val="0"/>
          <w:marRight w:val="0"/>
          <w:marTop w:val="0"/>
          <w:marBottom w:val="0"/>
          <w:divBdr>
            <w:top w:val="none" w:sz="0" w:space="0" w:color="auto"/>
            <w:left w:val="none" w:sz="0" w:space="0" w:color="auto"/>
            <w:bottom w:val="none" w:sz="0" w:space="0" w:color="auto"/>
            <w:right w:val="none" w:sz="0" w:space="0" w:color="auto"/>
          </w:divBdr>
        </w:div>
        <w:div w:id="2024705407">
          <w:marLeft w:val="0"/>
          <w:marRight w:val="0"/>
          <w:marTop w:val="0"/>
          <w:marBottom w:val="0"/>
          <w:divBdr>
            <w:top w:val="none" w:sz="0" w:space="0" w:color="auto"/>
            <w:left w:val="none" w:sz="0" w:space="0" w:color="auto"/>
            <w:bottom w:val="none" w:sz="0" w:space="0" w:color="auto"/>
            <w:right w:val="none" w:sz="0" w:space="0" w:color="auto"/>
          </w:divBdr>
        </w:div>
        <w:div w:id="2024705408">
          <w:marLeft w:val="0"/>
          <w:marRight w:val="0"/>
          <w:marTop w:val="0"/>
          <w:marBottom w:val="0"/>
          <w:divBdr>
            <w:top w:val="none" w:sz="0" w:space="0" w:color="auto"/>
            <w:left w:val="none" w:sz="0" w:space="0" w:color="auto"/>
            <w:bottom w:val="none" w:sz="0" w:space="0" w:color="auto"/>
            <w:right w:val="none" w:sz="0" w:space="0" w:color="auto"/>
          </w:divBdr>
        </w:div>
        <w:div w:id="2024705409">
          <w:marLeft w:val="0"/>
          <w:marRight w:val="0"/>
          <w:marTop w:val="0"/>
          <w:marBottom w:val="0"/>
          <w:divBdr>
            <w:top w:val="none" w:sz="0" w:space="0" w:color="auto"/>
            <w:left w:val="none" w:sz="0" w:space="0" w:color="auto"/>
            <w:bottom w:val="none" w:sz="0" w:space="0" w:color="auto"/>
            <w:right w:val="none" w:sz="0" w:space="0" w:color="auto"/>
          </w:divBdr>
        </w:div>
        <w:div w:id="2024705410">
          <w:marLeft w:val="0"/>
          <w:marRight w:val="0"/>
          <w:marTop w:val="0"/>
          <w:marBottom w:val="0"/>
          <w:divBdr>
            <w:top w:val="none" w:sz="0" w:space="0" w:color="auto"/>
            <w:left w:val="none" w:sz="0" w:space="0" w:color="auto"/>
            <w:bottom w:val="none" w:sz="0" w:space="0" w:color="auto"/>
            <w:right w:val="none" w:sz="0" w:space="0" w:color="auto"/>
          </w:divBdr>
        </w:div>
        <w:div w:id="2024705411">
          <w:marLeft w:val="0"/>
          <w:marRight w:val="0"/>
          <w:marTop w:val="0"/>
          <w:marBottom w:val="0"/>
          <w:divBdr>
            <w:top w:val="none" w:sz="0" w:space="0" w:color="auto"/>
            <w:left w:val="none" w:sz="0" w:space="0" w:color="auto"/>
            <w:bottom w:val="none" w:sz="0" w:space="0" w:color="auto"/>
            <w:right w:val="none" w:sz="0" w:space="0" w:color="auto"/>
          </w:divBdr>
        </w:div>
        <w:div w:id="2024705412">
          <w:marLeft w:val="0"/>
          <w:marRight w:val="0"/>
          <w:marTop w:val="0"/>
          <w:marBottom w:val="0"/>
          <w:divBdr>
            <w:top w:val="none" w:sz="0" w:space="0" w:color="auto"/>
            <w:left w:val="none" w:sz="0" w:space="0" w:color="auto"/>
            <w:bottom w:val="none" w:sz="0" w:space="0" w:color="auto"/>
            <w:right w:val="none" w:sz="0" w:space="0" w:color="auto"/>
          </w:divBdr>
        </w:div>
        <w:div w:id="2024705413">
          <w:marLeft w:val="0"/>
          <w:marRight w:val="0"/>
          <w:marTop w:val="0"/>
          <w:marBottom w:val="0"/>
          <w:divBdr>
            <w:top w:val="none" w:sz="0" w:space="0" w:color="auto"/>
            <w:left w:val="none" w:sz="0" w:space="0" w:color="auto"/>
            <w:bottom w:val="none" w:sz="0" w:space="0" w:color="auto"/>
            <w:right w:val="none" w:sz="0" w:space="0" w:color="auto"/>
          </w:divBdr>
        </w:div>
        <w:div w:id="2024705415">
          <w:marLeft w:val="0"/>
          <w:marRight w:val="0"/>
          <w:marTop w:val="0"/>
          <w:marBottom w:val="0"/>
          <w:divBdr>
            <w:top w:val="none" w:sz="0" w:space="0" w:color="auto"/>
            <w:left w:val="none" w:sz="0" w:space="0" w:color="auto"/>
            <w:bottom w:val="none" w:sz="0" w:space="0" w:color="auto"/>
            <w:right w:val="none" w:sz="0" w:space="0" w:color="auto"/>
          </w:divBdr>
        </w:div>
        <w:div w:id="2024705416">
          <w:marLeft w:val="0"/>
          <w:marRight w:val="0"/>
          <w:marTop w:val="0"/>
          <w:marBottom w:val="0"/>
          <w:divBdr>
            <w:top w:val="none" w:sz="0" w:space="0" w:color="auto"/>
            <w:left w:val="none" w:sz="0" w:space="0" w:color="auto"/>
            <w:bottom w:val="none" w:sz="0" w:space="0" w:color="auto"/>
            <w:right w:val="none" w:sz="0" w:space="0" w:color="auto"/>
          </w:divBdr>
        </w:div>
        <w:div w:id="2024705417">
          <w:marLeft w:val="0"/>
          <w:marRight w:val="0"/>
          <w:marTop w:val="0"/>
          <w:marBottom w:val="0"/>
          <w:divBdr>
            <w:top w:val="none" w:sz="0" w:space="0" w:color="auto"/>
            <w:left w:val="none" w:sz="0" w:space="0" w:color="auto"/>
            <w:bottom w:val="none" w:sz="0" w:space="0" w:color="auto"/>
            <w:right w:val="none" w:sz="0" w:space="0" w:color="auto"/>
          </w:divBdr>
        </w:div>
        <w:div w:id="2024705418">
          <w:marLeft w:val="0"/>
          <w:marRight w:val="0"/>
          <w:marTop w:val="0"/>
          <w:marBottom w:val="0"/>
          <w:divBdr>
            <w:top w:val="none" w:sz="0" w:space="0" w:color="auto"/>
            <w:left w:val="none" w:sz="0" w:space="0" w:color="auto"/>
            <w:bottom w:val="none" w:sz="0" w:space="0" w:color="auto"/>
            <w:right w:val="none" w:sz="0" w:space="0" w:color="auto"/>
          </w:divBdr>
        </w:div>
        <w:div w:id="2024705419">
          <w:marLeft w:val="0"/>
          <w:marRight w:val="0"/>
          <w:marTop w:val="0"/>
          <w:marBottom w:val="0"/>
          <w:divBdr>
            <w:top w:val="none" w:sz="0" w:space="0" w:color="auto"/>
            <w:left w:val="none" w:sz="0" w:space="0" w:color="auto"/>
            <w:bottom w:val="none" w:sz="0" w:space="0" w:color="auto"/>
            <w:right w:val="none" w:sz="0" w:space="0" w:color="auto"/>
          </w:divBdr>
        </w:div>
        <w:div w:id="2024705420">
          <w:marLeft w:val="0"/>
          <w:marRight w:val="0"/>
          <w:marTop w:val="0"/>
          <w:marBottom w:val="0"/>
          <w:divBdr>
            <w:top w:val="none" w:sz="0" w:space="0" w:color="auto"/>
            <w:left w:val="none" w:sz="0" w:space="0" w:color="auto"/>
            <w:bottom w:val="none" w:sz="0" w:space="0" w:color="auto"/>
            <w:right w:val="none" w:sz="0" w:space="0" w:color="auto"/>
          </w:divBdr>
        </w:div>
        <w:div w:id="2024705421">
          <w:marLeft w:val="0"/>
          <w:marRight w:val="0"/>
          <w:marTop w:val="0"/>
          <w:marBottom w:val="0"/>
          <w:divBdr>
            <w:top w:val="none" w:sz="0" w:space="0" w:color="auto"/>
            <w:left w:val="none" w:sz="0" w:space="0" w:color="auto"/>
            <w:bottom w:val="none" w:sz="0" w:space="0" w:color="auto"/>
            <w:right w:val="none" w:sz="0" w:space="0" w:color="auto"/>
          </w:divBdr>
        </w:div>
        <w:div w:id="2024705422">
          <w:marLeft w:val="0"/>
          <w:marRight w:val="0"/>
          <w:marTop w:val="0"/>
          <w:marBottom w:val="0"/>
          <w:divBdr>
            <w:top w:val="none" w:sz="0" w:space="0" w:color="auto"/>
            <w:left w:val="none" w:sz="0" w:space="0" w:color="auto"/>
            <w:bottom w:val="none" w:sz="0" w:space="0" w:color="auto"/>
            <w:right w:val="none" w:sz="0" w:space="0" w:color="auto"/>
          </w:divBdr>
        </w:div>
        <w:div w:id="2024705423">
          <w:marLeft w:val="0"/>
          <w:marRight w:val="0"/>
          <w:marTop w:val="0"/>
          <w:marBottom w:val="0"/>
          <w:divBdr>
            <w:top w:val="none" w:sz="0" w:space="0" w:color="auto"/>
            <w:left w:val="none" w:sz="0" w:space="0" w:color="auto"/>
            <w:bottom w:val="none" w:sz="0" w:space="0" w:color="auto"/>
            <w:right w:val="none" w:sz="0" w:space="0" w:color="auto"/>
          </w:divBdr>
        </w:div>
        <w:div w:id="2024705424">
          <w:marLeft w:val="0"/>
          <w:marRight w:val="0"/>
          <w:marTop w:val="0"/>
          <w:marBottom w:val="0"/>
          <w:divBdr>
            <w:top w:val="none" w:sz="0" w:space="0" w:color="auto"/>
            <w:left w:val="none" w:sz="0" w:space="0" w:color="auto"/>
            <w:bottom w:val="none" w:sz="0" w:space="0" w:color="auto"/>
            <w:right w:val="none" w:sz="0" w:space="0" w:color="auto"/>
          </w:divBdr>
        </w:div>
        <w:div w:id="2024705425">
          <w:marLeft w:val="0"/>
          <w:marRight w:val="0"/>
          <w:marTop w:val="0"/>
          <w:marBottom w:val="0"/>
          <w:divBdr>
            <w:top w:val="none" w:sz="0" w:space="0" w:color="auto"/>
            <w:left w:val="none" w:sz="0" w:space="0" w:color="auto"/>
            <w:bottom w:val="none" w:sz="0" w:space="0" w:color="auto"/>
            <w:right w:val="none" w:sz="0" w:space="0" w:color="auto"/>
          </w:divBdr>
        </w:div>
        <w:div w:id="2024705426">
          <w:marLeft w:val="0"/>
          <w:marRight w:val="0"/>
          <w:marTop w:val="0"/>
          <w:marBottom w:val="0"/>
          <w:divBdr>
            <w:top w:val="none" w:sz="0" w:space="0" w:color="auto"/>
            <w:left w:val="none" w:sz="0" w:space="0" w:color="auto"/>
            <w:bottom w:val="none" w:sz="0" w:space="0" w:color="auto"/>
            <w:right w:val="none" w:sz="0" w:space="0" w:color="auto"/>
          </w:divBdr>
        </w:div>
        <w:div w:id="2024705427">
          <w:marLeft w:val="0"/>
          <w:marRight w:val="0"/>
          <w:marTop w:val="0"/>
          <w:marBottom w:val="0"/>
          <w:divBdr>
            <w:top w:val="none" w:sz="0" w:space="0" w:color="auto"/>
            <w:left w:val="none" w:sz="0" w:space="0" w:color="auto"/>
            <w:bottom w:val="none" w:sz="0" w:space="0" w:color="auto"/>
            <w:right w:val="none" w:sz="0" w:space="0" w:color="auto"/>
          </w:divBdr>
        </w:div>
        <w:div w:id="2024705429">
          <w:marLeft w:val="0"/>
          <w:marRight w:val="0"/>
          <w:marTop w:val="0"/>
          <w:marBottom w:val="0"/>
          <w:divBdr>
            <w:top w:val="none" w:sz="0" w:space="0" w:color="auto"/>
            <w:left w:val="none" w:sz="0" w:space="0" w:color="auto"/>
            <w:bottom w:val="none" w:sz="0" w:space="0" w:color="auto"/>
            <w:right w:val="none" w:sz="0" w:space="0" w:color="auto"/>
          </w:divBdr>
        </w:div>
        <w:div w:id="2024705430">
          <w:marLeft w:val="0"/>
          <w:marRight w:val="0"/>
          <w:marTop w:val="0"/>
          <w:marBottom w:val="0"/>
          <w:divBdr>
            <w:top w:val="none" w:sz="0" w:space="0" w:color="auto"/>
            <w:left w:val="none" w:sz="0" w:space="0" w:color="auto"/>
            <w:bottom w:val="none" w:sz="0" w:space="0" w:color="auto"/>
            <w:right w:val="none" w:sz="0" w:space="0" w:color="auto"/>
          </w:divBdr>
        </w:div>
        <w:div w:id="2024705432">
          <w:marLeft w:val="0"/>
          <w:marRight w:val="0"/>
          <w:marTop w:val="0"/>
          <w:marBottom w:val="0"/>
          <w:divBdr>
            <w:top w:val="none" w:sz="0" w:space="0" w:color="auto"/>
            <w:left w:val="none" w:sz="0" w:space="0" w:color="auto"/>
            <w:bottom w:val="none" w:sz="0" w:space="0" w:color="auto"/>
            <w:right w:val="none" w:sz="0" w:space="0" w:color="auto"/>
          </w:divBdr>
        </w:div>
        <w:div w:id="2024705433">
          <w:marLeft w:val="0"/>
          <w:marRight w:val="0"/>
          <w:marTop w:val="0"/>
          <w:marBottom w:val="0"/>
          <w:divBdr>
            <w:top w:val="none" w:sz="0" w:space="0" w:color="auto"/>
            <w:left w:val="none" w:sz="0" w:space="0" w:color="auto"/>
            <w:bottom w:val="none" w:sz="0" w:space="0" w:color="auto"/>
            <w:right w:val="none" w:sz="0" w:space="0" w:color="auto"/>
          </w:divBdr>
        </w:div>
        <w:div w:id="2024705434">
          <w:marLeft w:val="0"/>
          <w:marRight w:val="0"/>
          <w:marTop w:val="0"/>
          <w:marBottom w:val="0"/>
          <w:divBdr>
            <w:top w:val="none" w:sz="0" w:space="0" w:color="auto"/>
            <w:left w:val="none" w:sz="0" w:space="0" w:color="auto"/>
            <w:bottom w:val="none" w:sz="0" w:space="0" w:color="auto"/>
            <w:right w:val="none" w:sz="0" w:space="0" w:color="auto"/>
          </w:divBdr>
        </w:div>
        <w:div w:id="2024705435">
          <w:marLeft w:val="0"/>
          <w:marRight w:val="0"/>
          <w:marTop w:val="0"/>
          <w:marBottom w:val="0"/>
          <w:divBdr>
            <w:top w:val="none" w:sz="0" w:space="0" w:color="auto"/>
            <w:left w:val="none" w:sz="0" w:space="0" w:color="auto"/>
            <w:bottom w:val="none" w:sz="0" w:space="0" w:color="auto"/>
            <w:right w:val="none" w:sz="0" w:space="0" w:color="auto"/>
          </w:divBdr>
        </w:div>
        <w:div w:id="2024705436">
          <w:marLeft w:val="0"/>
          <w:marRight w:val="0"/>
          <w:marTop w:val="0"/>
          <w:marBottom w:val="0"/>
          <w:divBdr>
            <w:top w:val="none" w:sz="0" w:space="0" w:color="auto"/>
            <w:left w:val="none" w:sz="0" w:space="0" w:color="auto"/>
            <w:bottom w:val="none" w:sz="0" w:space="0" w:color="auto"/>
            <w:right w:val="none" w:sz="0" w:space="0" w:color="auto"/>
          </w:divBdr>
        </w:div>
        <w:div w:id="2024705437">
          <w:marLeft w:val="0"/>
          <w:marRight w:val="0"/>
          <w:marTop w:val="0"/>
          <w:marBottom w:val="0"/>
          <w:divBdr>
            <w:top w:val="none" w:sz="0" w:space="0" w:color="auto"/>
            <w:left w:val="none" w:sz="0" w:space="0" w:color="auto"/>
            <w:bottom w:val="none" w:sz="0" w:space="0" w:color="auto"/>
            <w:right w:val="none" w:sz="0" w:space="0" w:color="auto"/>
          </w:divBdr>
        </w:div>
        <w:div w:id="2024705438">
          <w:marLeft w:val="0"/>
          <w:marRight w:val="0"/>
          <w:marTop w:val="0"/>
          <w:marBottom w:val="0"/>
          <w:divBdr>
            <w:top w:val="none" w:sz="0" w:space="0" w:color="auto"/>
            <w:left w:val="none" w:sz="0" w:space="0" w:color="auto"/>
            <w:bottom w:val="none" w:sz="0" w:space="0" w:color="auto"/>
            <w:right w:val="none" w:sz="0" w:space="0" w:color="auto"/>
          </w:divBdr>
        </w:div>
        <w:div w:id="2024705439">
          <w:marLeft w:val="0"/>
          <w:marRight w:val="0"/>
          <w:marTop w:val="0"/>
          <w:marBottom w:val="0"/>
          <w:divBdr>
            <w:top w:val="none" w:sz="0" w:space="0" w:color="auto"/>
            <w:left w:val="none" w:sz="0" w:space="0" w:color="auto"/>
            <w:bottom w:val="none" w:sz="0" w:space="0" w:color="auto"/>
            <w:right w:val="none" w:sz="0" w:space="0" w:color="auto"/>
          </w:divBdr>
        </w:div>
        <w:div w:id="2024705440">
          <w:marLeft w:val="0"/>
          <w:marRight w:val="0"/>
          <w:marTop w:val="0"/>
          <w:marBottom w:val="0"/>
          <w:divBdr>
            <w:top w:val="none" w:sz="0" w:space="0" w:color="auto"/>
            <w:left w:val="none" w:sz="0" w:space="0" w:color="auto"/>
            <w:bottom w:val="none" w:sz="0" w:space="0" w:color="auto"/>
            <w:right w:val="none" w:sz="0" w:space="0" w:color="auto"/>
          </w:divBdr>
        </w:div>
        <w:div w:id="2024705441">
          <w:marLeft w:val="0"/>
          <w:marRight w:val="0"/>
          <w:marTop w:val="0"/>
          <w:marBottom w:val="0"/>
          <w:divBdr>
            <w:top w:val="none" w:sz="0" w:space="0" w:color="auto"/>
            <w:left w:val="none" w:sz="0" w:space="0" w:color="auto"/>
            <w:bottom w:val="none" w:sz="0" w:space="0" w:color="auto"/>
            <w:right w:val="none" w:sz="0" w:space="0" w:color="auto"/>
          </w:divBdr>
        </w:div>
        <w:div w:id="2024705442">
          <w:marLeft w:val="0"/>
          <w:marRight w:val="0"/>
          <w:marTop w:val="0"/>
          <w:marBottom w:val="0"/>
          <w:divBdr>
            <w:top w:val="none" w:sz="0" w:space="0" w:color="auto"/>
            <w:left w:val="none" w:sz="0" w:space="0" w:color="auto"/>
            <w:bottom w:val="none" w:sz="0" w:space="0" w:color="auto"/>
            <w:right w:val="none" w:sz="0" w:space="0" w:color="auto"/>
          </w:divBdr>
        </w:div>
        <w:div w:id="2024705443">
          <w:marLeft w:val="0"/>
          <w:marRight w:val="0"/>
          <w:marTop w:val="0"/>
          <w:marBottom w:val="0"/>
          <w:divBdr>
            <w:top w:val="none" w:sz="0" w:space="0" w:color="auto"/>
            <w:left w:val="none" w:sz="0" w:space="0" w:color="auto"/>
            <w:bottom w:val="none" w:sz="0" w:space="0" w:color="auto"/>
            <w:right w:val="none" w:sz="0" w:space="0" w:color="auto"/>
          </w:divBdr>
        </w:div>
        <w:div w:id="2024705444">
          <w:marLeft w:val="0"/>
          <w:marRight w:val="0"/>
          <w:marTop w:val="0"/>
          <w:marBottom w:val="0"/>
          <w:divBdr>
            <w:top w:val="none" w:sz="0" w:space="0" w:color="auto"/>
            <w:left w:val="none" w:sz="0" w:space="0" w:color="auto"/>
            <w:bottom w:val="none" w:sz="0" w:space="0" w:color="auto"/>
            <w:right w:val="none" w:sz="0" w:space="0" w:color="auto"/>
          </w:divBdr>
        </w:div>
        <w:div w:id="2024705445">
          <w:marLeft w:val="0"/>
          <w:marRight w:val="0"/>
          <w:marTop w:val="0"/>
          <w:marBottom w:val="0"/>
          <w:divBdr>
            <w:top w:val="none" w:sz="0" w:space="0" w:color="auto"/>
            <w:left w:val="none" w:sz="0" w:space="0" w:color="auto"/>
            <w:bottom w:val="none" w:sz="0" w:space="0" w:color="auto"/>
            <w:right w:val="none" w:sz="0" w:space="0" w:color="auto"/>
          </w:divBdr>
        </w:div>
        <w:div w:id="2024705446">
          <w:marLeft w:val="0"/>
          <w:marRight w:val="0"/>
          <w:marTop w:val="0"/>
          <w:marBottom w:val="0"/>
          <w:divBdr>
            <w:top w:val="none" w:sz="0" w:space="0" w:color="auto"/>
            <w:left w:val="none" w:sz="0" w:space="0" w:color="auto"/>
            <w:bottom w:val="none" w:sz="0" w:space="0" w:color="auto"/>
            <w:right w:val="none" w:sz="0" w:space="0" w:color="auto"/>
          </w:divBdr>
        </w:div>
        <w:div w:id="2024705447">
          <w:marLeft w:val="0"/>
          <w:marRight w:val="0"/>
          <w:marTop w:val="0"/>
          <w:marBottom w:val="0"/>
          <w:divBdr>
            <w:top w:val="none" w:sz="0" w:space="0" w:color="auto"/>
            <w:left w:val="none" w:sz="0" w:space="0" w:color="auto"/>
            <w:bottom w:val="none" w:sz="0" w:space="0" w:color="auto"/>
            <w:right w:val="none" w:sz="0" w:space="0" w:color="auto"/>
          </w:divBdr>
        </w:div>
        <w:div w:id="2024705448">
          <w:marLeft w:val="0"/>
          <w:marRight w:val="0"/>
          <w:marTop w:val="0"/>
          <w:marBottom w:val="0"/>
          <w:divBdr>
            <w:top w:val="none" w:sz="0" w:space="0" w:color="auto"/>
            <w:left w:val="none" w:sz="0" w:space="0" w:color="auto"/>
            <w:bottom w:val="none" w:sz="0" w:space="0" w:color="auto"/>
            <w:right w:val="none" w:sz="0" w:space="0" w:color="auto"/>
          </w:divBdr>
        </w:div>
        <w:div w:id="2024705449">
          <w:marLeft w:val="0"/>
          <w:marRight w:val="0"/>
          <w:marTop w:val="0"/>
          <w:marBottom w:val="0"/>
          <w:divBdr>
            <w:top w:val="none" w:sz="0" w:space="0" w:color="auto"/>
            <w:left w:val="none" w:sz="0" w:space="0" w:color="auto"/>
            <w:bottom w:val="none" w:sz="0" w:space="0" w:color="auto"/>
            <w:right w:val="none" w:sz="0" w:space="0" w:color="auto"/>
          </w:divBdr>
        </w:div>
        <w:div w:id="2024705450">
          <w:marLeft w:val="0"/>
          <w:marRight w:val="0"/>
          <w:marTop w:val="0"/>
          <w:marBottom w:val="0"/>
          <w:divBdr>
            <w:top w:val="none" w:sz="0" w:space="0" w:color="auto"/>
            <w:left w:val="none" w:sz="0" w:space="0" w:color="auto"/>
            <w:bottom w:val="none" w:sz="0" w:space="0" w:color="auto"/>
            <w:right w:val="none" w:sz="0" w:space="0" w:color="auto"/>
          </w:divBdr>
        </w:div>
        <w:div w:id="2024705451">
          <w:marLeft w:val="0"/>
          <w:marRight w:val="0"/>
          <w:marTop w:val="0"/>
          <w:marBottom w:val="0"/>
          <w:divBdr>
            <w:top w:val="none" w:sz="0" w:space="0" w:color="auto"/>
            <w:left w:val="none" w:sz="0" w:space="0" w:color="auto"/>
            <w:bottom w:val="none" w:sz="0" w:space="0" w:color="auto"/>
            <w:right w:val="none" w:sz="0" w:space="0" w:color="auto"/>
          </w:divBdr>
        </w:div>
        <w:div w:id="2024705452">
          <w:marLeft w:val="0"/>
          <w:marRight w:val="0"/>
          <w:marTop w:val="0"/>
          <w:marBottom w:val="0"/>
          <w:divBdr>
            <w:top w:val="none" w:sz="0" w:space="0" w:color="auto"/>
            <w:left w:val="none" w:sz="0" w:space="0" w:color="auto"/>
            <w:bottom w:val="none" w:sz="0" w:space="0" w:color="auto"/>
            <w:right w:val="none" w:sz="0" w:space="0" w:color="auto"/>
          </w:divBdr>
        </w:div>
        <w:div w:id="2024705453">
          <w:marLeft w:val="0"/>
          <w:marRight w:val="0"/>
          <w:marTop w:val="0"/>
          <w:marBottom w:val="0"/>
          <w:divBdr>
            <w:top w:val="none" w:sz="0" w:space="0" w:color="auto"/>
            <w:left w:val="none" w:sz="0" w:space="0" w:color="auto"/>
            <w:bottom w:val="none" w:sz="0" w:space="0" w:color="auto"/>
            <w:right w:val="none" w:sz="0" w:space="0" w:color="auto"/>
          </w:divBdr>
        </w:div>
        <w:div w:id="2024705454">
          <w:marLeft w:val="0"/>
          <w:marRight w:val="0"/>
          <w:marTop w:val="0"/>
          <w:marBottom w:val="0"/>
          <w:divBdr>
            <w:top w:val="none" w:sz="0" w:space="0" w:color="auto"/>
            <w:left w:val="none" w:sz="0" w:space="0" w:color="auto"/>
            <w:bottom w:val="none" w:sz="0" w:space="0" w:color="auto"/>
            <w:right w:val="none" w:sz="0" w:space="0" w:color="auto"/>
          </w:divBdr>
        </w:div>
        <w:div w:id="2024705455">
          <w:marLeft w:val="0"/>
          <w:marRight w:val="0"/>
          <w:marTop w:val="0"/>
          <w:marBottom w:val="0"/>
          <w:divBdr>
            <w:top w:val="none" w:sz="0" w:space="0" w:color="auto"/>
            <w:left w:val="none" w:sz="0" w:space="0" w:color="auto"/>
            <w:bottom w:val="none" w:sz="0" w:space="0" w:color="auto"/>
            <w:right w:val="none" w:sz="0" w:space="0" w:color="auto"/>
          </w:divBdr>
        </w:div>
        <w:div w:id="2024705456">
          <w:marLeft w:val="0"/>
          <w:marRight w:val="0"/>
          <w:marTop w:val="0"/>
          <w:marBottom w:val="0"/>
          <w:divBdr>
            <w:top w:val="none" w:sz="0" w:space="0" w:color="auto"/>
            <w:left w:val="none" w:sz="0" w:space="0" w:color="auto"/>
            <w:bottom w:val="none" w:sz="0" w:space="0" w:color="auto"/>
            <w:right w:val="none" w:sz="0" w:space="0" w:color="auto"/>
          </w:divBdr>
        </w:div>
        <w:div w:id="2024705457">
          <w:marLeft w:val="0"/>
          <w:marRight w:val="0"/>
          <w:marTop w:val="0"/>
          <w:marBottom w:val="0"/>
          <w:divBdr>
            <w:top w:val="none" w:sz="0" w:space="0" w:color="auto"/>
            <w:left w:val="none" w:sz="0" w:space="0" w:color="auto"/>
            <w:bottom w:val="none" w:sz="0" w:space="0" w:color="auto"/>
            <w:right w:val="none" w:sz="0" w:space="0" w:color="auto"/>
          </w:divBdr>
        </w:div>
        <w:div w:id="2024705458">
          <w:marLeft w:val="0"/>
          <w:marRight w:val="0"/>
          <w:marTop w:val="0"/>
          <w:marBottom w:val="0"/>
          <w:divBdr>
            <w:top w:val="none" w:sz="0" w:space="0" w:color="auto"/>
            <w:left w:val="none" w:sz="0" w:space="0" w:color="auto"/>
            <w:bottom w:val="none" w:sz="0" w:space="0" w:color="auto"/>
            <w:right w:val="none" w:sz="0" w:space="0" w:color="auto"/>
          </w:divBdr>
        </w:div>
        <w:div w:id="2024705459">
          <w:marLeft w:val="0"/>
          <w:marRight w:val="0"/>
          <w:marTop w:val="0"/>
          <w:marBottom w:val="0"/>
          <w:divBdr>
            <w:top w:val="none" w:sz="0" w:space="0" w:color="auto"/>
            <w:left w:val="none" w:sz="0" w:space="0" w:color="auto"/>
            <w:bottom w:val="none" w:sz="0" w:space="0" w:color="auto"/>
            <w:right w:val="none" w:sz="0" w:space="0" w:color="auto"/>
          </w:divBdr>
        </w:div>
        <w:div w:id="2024705460">
          <w:marLeft w:val="0"/>
          <w:marRight w:val="0"/>
          <w:marTop w:val="0"/>
          <w:marBottom w:val="0"/>
          <w:divBdr>
            <w:top w:val="none" w:sz="0" w:space="0" w:color="auto"/>
            <w:left w:val="none" w:sz="0" w:space="0" w:color="auto"/>
            <w:bottom w:val="none" w:sz="0" w:space="0" w:color="auto"/>
            <w:right w:val="none" w:sz="0" w:space="0" w:color="auto"/>
          </w:divBdr>
        </w:div>
        <w:div w:id="2024705461">
          <w:marLeft w:val="0"/>
          <w:marRight w:val="0"/>
          <w:marTop w:val="0"/>
          <w:marBottom w:val="0"/>
          <w:divBdr>
            <w:top w:val="none" w:sz="0" w:space="0" w:color="auto"/>
            <w:left w:val="none" w:sz="0" w:space="0" w:color="auto"/>
            <w:bottom w:val="none" w:sz="0" w:space="0" w:color="auto"/>
            <w:right w:val="none" w:sz="0" w:space="0" w:color="auto"/>
          </w:divBdr>
        </w:div>
        <w:div w:id="2024705462">
          <w:marLeft w:val="0"/>
          <w:marRight w:val="0"/>
          <w:marTop w:val="0"/>
          <w:marBottom w:val="0"/>
          <w:divBdr>
            <w:top w:val="none" w:sz="0" w:space="0" w:color="auto"/>
            <w:left w:val="none" w:sz="0" w:space="0" w:color="auto"/>
            <w:bottom w:val="none" w:sz="0" w:space="0" w:color="auto"/>
            <w:right w:val="none" w:sz="0" w:space="0" w:color="auto"/>
          </w:divBdr>
        </w:div>
        <w:div w:id="2024705463">
          <w:marLeft w:val="0"/>
          <w:marRight w:val="0"/>
          <w:marTop w:val="0"/>
          <w:marBottom w:val="0"/>
          <w:divBdr>
            <w:top w:val="none" w:sz="0" w:space="0" w:color="auto"/>
            <w:left w:val="none" w:sz="0" w:space="0" w:color="auto"/>
            <w:bottom w:val="none" w:sz="0" w:space="0" w:color="auto"/>
            <w:right w:val="none" w:sz="0" w:space="0" w:color="auto"/>
          </w:divBdr>
        </w:div>
        <w:div w:id="2024705464">
          <w:marLeft w:val="0"/>
          <w:marRight w:val="0"/>
          <w:marTop w:val="0"/>
          <w:marBottom w:val="0"/>
          <w:divBdr>
            <w:top w:val="none" w:sz="0" w:space="0" w:color="auto"/>
            <w:left w:val="none" w:sz="0" w:space="0" w:color="auto"/>
            <w:bottom w:val="none" w:sz="0" w:space="0" w:color="auto"/>
            <w:right w:val="none" w:sz="0" w:space="0" w:color="auto"/>
          </w:divBdr>
        </w:div>
        <w:div w:id="2024705466">
          <w:marLeft w:val="0"/>
          <w:marRight w:val="0"/>
          <w:marTop w:val="0"/>
          <w:marBottom w:val="0"/>
          <w:divBdr>
            <w:top w:val="none" w:sz="0" w:space="0" w:color="auto"/>
            <w:left w:val="none" w:sz="0" w:space="0" w:color="auto"/>
            <w:bottom w:val="none" w:sz="0" w:space="0" w:color="auto"/>
            <w:right w:val="none" w:sz="0" w:space="0" w:color="auto"/>
          </w:divBdr>
        </w:div>
        <w:div w:id="2024705467">
          <w:marLeft w:val="0"/>
          <w:marRight w:val="0"/>
          <w:marTop w:val="0"/>
          <w:marBottom w:val="0"/>
          <w:divBdr>
            <w:top w:val="none" w:sz="0" w:space="0" w:color="auto"/>
            <w:left w:val="none" w:sz="0" w:space="0" w:color="auto"/>
            <w:bottom w:val="none" w:sz="0" w:space="0" w:color="auto"/>
            <w:right w:val="none" w:sz="0" w:space="0" w:color="auto"/>
          </w:divBdr>
        </w:div>
        <w:div w:id="2024705468">
          <w:marLeft w:val="0"/>
          <w:marRight w:val="0"/>
          <w:marTop w:val="0"/>
          <w:marBottom w:val="0"/>
          <w:divBdr>
            <w:top w:val="none" w:sz="0" w:space="0" w:color="auto"/>
            <w:left w:val="none" w:sz="0" w:space="0" w:color="auto"/>
            <w:bottom w:val="none" w:sz="0" w:space="0" w:color="auto"/>
            <w:right w:val="none" w:sz="0" w:space="0" w:color="auto"/>
          </w:divBdr>
        </w:div>
        <w:div w:id="2024705469">
          <w:marLeft w:val="0"/>
          <w:marRight w:val="0"/>
          <w:marTop w:val="0"/>
          <w:marBottom w:val="0"/>
          <w:divBdr>
            <w:top w:val="none" w:sz="0" w:space="0" w:color="auto"/>
            <w:left w:val="none" w:sz="0" w:space="0" w:color="auto"/>
            <w:bottom w:val="none" w:sz="0" w:space="0" w:color="auto"/>
            <w:right w:val="none" w:sz="0" w:space="0" w:color="auto"/>
          </w:divBdr>
        </w:div>
        <w:div w:id="2024705470">
          <w:marLeft w:val="0"/>
          <w:marRight w:val="0"/>
          <w:marTop w:val="0"/>
          <w:marBottom w:val="0"/>
          <w:divBdr>
            <w:top w:val="none" w:sz="0" w:space="0" w:color="auto"/>
            <w:left w:val="none" w:sz="0" w:space="0" w:color="auto"/>
            <w:bottom w:val="none" w:sz="0" w:space="0" w:color="auto"/>
            <w:right w:val="none" w:sz="0" w:space="0" w:color="auto"/>
          </w:divBdr>
        </w:div>
        <w:div w:id="2024705471">
          <w:marLeft w:val="0"/>
          <w:marRight w:val="0"/>
          <w:marTop w:val="0"/>
          <w:marBottom w:val="0"/>
          <w:divBdr>
            <w:top w:val="none" w:sz="0" w:space="0" w:color="auto"/>
            <w:left w:val="none" w:sz="0" w:space="0" w:color="auto"/>
            <w:bottom w:val="none" w:sz="0" w:space="0" w:color="auto"/>
            <w:right w:val="none" w:sz="0" w:space="0" w:color="auto"/>
          </w:divBdr>
        </w:div>
        <w:div w:id="2024705472">
          <w:marLeft w:val="0"/>
          <w:marRight w:val="0"/>
          <w:marTop w:val="0"/>
          <w:marBottom w:val="0"/>
          <w:divBdr>
            <w:top w:val="none" w:sz="0" w:space="0" w:color="auto"/>
            <w:left w:val="none" w:sz="0" w:space="0" w:color="auto"/>
            <w:bottom w:val="none" w:sz="0" w:space="0" w:color="auto"/>
            <w:right w:val="none" w:sz="0" w:space="0" w:color="auto"/>
          </w:divBdr>
        </w:div>
        <w:div w:id="2024705473">
          <w:marLeft w:val="0"/>
          <w:marRight w:val="0"/>
          <w:marTop w:val="0"/>
          <w:marBottom w:val="0"/>
          <w:divBdr>
            <w:top w:val="none" w:sz="0" w:space="0" w:color="auto"/>
            <w:left w:val="none" w:sz="0" w:space="0" w:color="auto"/>
            <w:bottom w:val="none" w:sz="0" w:space="0" w:color="auto"/>
            <w:right w:val="none" w:sz="0" w:space="0" w:color="auto"/>
          </w:divBdr>
        </w:div>
        <w:div w:id="2024705474">
          <w:marLeft w:val="0"/>
          <w:marRight w:val="0"/>
          <w:marTop w:val="0"/>
          <w:marBottom w:val="0"/>
          <w:divBdr>
            <w:top w:val="none" w:sz="0" w:space="0" w:color="auto"/>
            <w:left w:val="none" w:sz="0" w:space="0" w:color="auto"/>
            <w:bottom w:val="none" w:sz="0" w:space="0" w:color="auto"/>
            <w:right w:val="none" w:sz="0" w:space="0" w:color="auto"/>
          </w:divBdr>
        </w:div>
        <w:div w:id="2024705475">
          <w:marLeft w:val="0"/>
          <w:marRight w:val="0"/>
          <w:marTop w:val="0"/>
          <w:marBottom w:val="0"/>
          <w:divBdr>
            <w:top w:val="none" w:sz="0" w:space="0" w:color="auto"/>
            <w:left w:val="none" w:sz="0" w:space="0" w:color="auto"/>
            <w:bottom w:val="none" w:sz="0" w:space="0" w:color="auto"/>
            <w:right w:val="none" w:sz="0" w:space="0" w:color="auto"/>
          </w:divBdr>
        </w:div>
        <w:div w:id="2024705476">
          <w:marLeft w:val="0"/>
          <w:marRight w:val="0"/>
          <w:marTop w:val="0"/>
          <w:marBottom w:val="0"/>
          <w:divBdr>
            <w:top w:val="none" w:sz="0" w:space="0" w:color="auto"/>
            <w:left w:val="none" w:sz="0" w:space="0" w:color="auto"/>
            <w:bottom w:val="none" w:sz="0" w:space="0" w:color="auto"/>
            <w:right w:val="none" w:sz="0" w:space="0" w:color="auto"/>
          </w:divBdr>
        </w:div>
        <w:div w:id="2024705477">
          <w:marLeft w:val="0"/>
          <w:marRight w:val="0"/>
          <w:marTop w:val="0"/>
          <w:marBottom w:val="0"/>
          <w:divBdr>
            <w:top w:val="none" w:sz="0" w:space="0" w:color="auto"/>
            <w:left w:val="none" w:sz="0" w:space="0" w:color="auto"/>
            <w:bottom w:val="none" w:sz="0" w:space="0" w:color="auto"/>
            <w:right w:val="none" w:sz="0" w:space="0" w:color="auto"/>
          </w:divBdr>
        </w:div>
        <w:div w:id="2024705479">
          <w:marLeft w:val="0"/>
          <w:marRight w:val="0"/>
          <w:marTop w:val="0"/>
          <w:marBottom w:val="0"/>
          <w:divBdr>
            <w:top w:val="none" w:sz="0" w:space="0" w:color="auto"/>
            <w:left w:val="none" w:sz="0" w:space="0" w:color="auto"/>
            <w:bottom w:val="none" w:sz="0" w:space="0" w:color="auto"/>
            <w:right w:val="none" w:sz="0" w:space="0" w:color="auto"/>
          </w:divBdr>
        </w:div>
        <w:div w:id="2024705480">
          <w:marLeft w:val="0"/>
          <w:marRight w:val="0"/>
          <w:marTop w:val="0"/>
          <w:marBottom w:val="0"/>
          <w:divBdr>
            <w:top w:val="none" w:sz="0" w:space="0" w:color="auto"/>
            <w:left w:val="none" w:sz="0" w:space="0" w:color="auto"/>
            <w:bottom w:val="none" w:sz="0" w:space="0" w:color="auto"/>
            <w:right w:val="none" w:sz="0" w:space="0" w:color="auto"/>
          </w:divBdr>
        </w:div>
        <w:div w:id="2024705481">
          <w:marLeft w:val="0"/>
          <w:marRight w:val="0"/>
          <w:marTop w:val="0"/>
          <w:marBottom w:val="0"/>
          <w:divBdr>
            <w:top w:val="none" w:sz="0" w:space="0" w:color="auto"/>
            <w:left w:val="none" w:sz="0" w:space="0" w:color="auto"/>
            <w:bottom w:val="none" w:sz="0" w:space="0" w:color="auto"/>
            <w:right w:val="none" w:sz="0" w:space="0" w:color="auto"/>
          </w:divBdr>
        </w:div>
        <w:div w:id="2024705482">
          <w:marLeft w:val="0"/>
          <w:marRight w:val="0"/>
          <w:marTop w:val="0"/>
          <w:marBottom w:val="0"/>
          <w:divBdr>
            <w:top w:val="none" w:sz="0" w:space="0" w:color="auto"/>
            <w:left w:val="none" w:sz="0" w:space="0" w:color="auto"/>
            <w:bottom w:val="none" w:sz="0" w:space="0" w:color="auto"/>
            <w:right w:val="none" w:sz="0" w:space="0" w:color="auto"/>
          </w:divBdr>
        </w:div>
        <w:div w:id="2024705483">
          <w:marLeft w:val="0"/>
          <w:marRight w:val="0"/>
          <w:marTop w:val="0"/>
          <w:marBottom w:val="0"/>
          <w:divBdr>
            <w:top w:val="none" w:sz="0" w:space="0" w:color="auto"/>
            <w:left w:val="none" w:sz="0" w:space="0" w:color="auto"/>
            <w:bottom w:val="none" w:sz="0" w:space="0" w:color="auto"/>
            <w:right w:val="none" w:sz="0" w:space="0" w:color="auto"/>
          </w:divBdr>
        </w:div>
        <w:div w:id="2024705484">
          <w:marLeft w:val="0"/>
          <w:marRight w:val="0"/>
          <w:marTop w:val="0"/>
          <w:marBottom w:val="0"/>
          <w:divBdr>
            <w:top w:val="none" w:sz="0" w:space="0" w:color="auto"/>
            <w:left w:val="none" w:sz="0" w:space="0" w:color="auto"/>
            <w:bottom w:val="none" w:sz="0" w:space="0" w:color="auto"/>
            <w:right w:val="none" w:sz="0" w:space="0" w:color="auto"/>
          </w:divBdr>
        </w:div>
        <w:div w:id="2024705485">
          <w:marLeft w:val="0"/>
          <w:marRight w:val="0"/>
          <w:marTop w:val="0"/>
          <w:marBottom w:val="0"/>
          <w:divBdr>
            <w:top w:val="none" w:sz="0" w:space="0" w:color="auto"/>
            <w:left w:val="none" w:sz="0" w:space="0" w:color="auto"/>
            <w:bottom w:val="none" w:sz="0" w:space="0" w:color="auto"/>
            <w:right w:val="none" w:sz="0" w:space="0" w:color="auto"/>
          </w:divBdr>
        </w:div>
        <w:div w:id="2024705486">
          <w:marLeft w:val="0"/>
          <w:marRight w:val="0"/>
          <w:marTop w:val="0"/>
          <w:marBottom w:val="0"/>
          <w:divBdr>
            <w:top w:val="none" w:sz="0" w:space="0" w:color="auto"/>
            <w:left w:val="none" w:sz="0" w:space="0" w:color="auto"/>
            <w:bottom w:val="none" w:sz="0" w:space="0" w:color="auto"/>
            <w:right w:val="none" w:sz="0" w:space="0" w:color="auto"/>
          </w:divBdr>
        </w:div>
        <w:div w:id="2024705487">
          <w:marLeft w:val="0"/>
          <w:marRight w:val="0"/>
          <w:marTop w:val="0"/>
          <w:marBottom w:val="0"/>
          <w:divBdr>
            <w:top w:val="none" w:sz="0" w:space="0" w:color="auto"/>
            <w:left w:val="none" w:sz="0" w:space="0" w:color="auto"/>
            <w:bottom w:val="none" w:sz="0" w:space="0" w:color="auto"/>
            <w:right w:val="none" w:sz="0" w:space="0" w:color="auto"/>
          </w:divBdr>
        </w:div>
        <w:div w:id="2024705488">
          <w:marLeft w:val="0"/>
          <w:marRight w:val="0"/>
          <w:marTop w:val="0"/>
          <w:marBottom w:val="0"/>
          <w:divBdr>
            <w:top w:val="none" w:sz="0" w:space="0" w:color="auto"/>
            <w:left w:val="none" w:sz="0" w:space="0" w:color="auto"/>
            <w:bottom w:val="none" w:sz="0" w:space="0" w:color="auto"/>
            <w:right w:val="none" w:sz="0" w:space="0" w:color="auto"/>
          </w:divBdr>
        </w:div>
        <w:div w:id="2024705489">
          <w:marLeft w:val="0"/>
          <w:marRight w:val="0"/>
          <w:marTop w:val="0"/>
          <w:marBottom w:val="0"/>
          <w:divBdr>
            <w:top w:val="none" w:sz="0" w:space="0" w:color="auto"/>
            <w:left w:val="none" w:sz="0" w:space="0" w:color="auto"/>
            <w:bottom w:val="none" w:sz="0" w:space="0" w:color="auto"/>
            <w:right w:val="none" w:sz="0" w:space="0" w:color="auto"/>
          </w:divBdr>
        </w:div>
        <w:div w:id="2024705490">
          <w:marLeft w:val="0"/>
          <w:marRight w:val="0"/>
          <w:marTop w:val="0"/>
          <w:marBottom w:val="0"/>
          <w:divBdr>
            <w:top w:val="none" w:sz="0" w:space="0" w:color="auto"/>
            <w:left w:val="none" w:sz="0" w:space="0" w:color="auto"/>
            <w:bottom w:val="none" w:sz="0" w:space="0" w:color="auto"/>
            <w:right w:val="none" w:sz="0" w:space="0" w:color="auto"/>
          </w:divBdr>
        </w:div>
        <w:div w:id="2024705491">
          <w:marLeft w:val="0"/>
          <w:marRight w:val="0"/>
          <w:marTop w:val="0"/>
          <w:marBottom w:val="0"/>
          <w:divBdr>
            <w:top w:val="none" w:sz="0" w:space="0" w:color="auto"/>
            <w:left w:val="none" w:sz="0" w:space="0" w:color="auto"/>
            <w:bottom w:val="none" w:sz="0" w:space="0" w:color="auto"/>
            <w:right w:val="none" w:sz="0" w:space="0" w:color="auto"/>
          </w:divBdr>
        </w:div>
        <w:div w:id="2024705492">
          <w:marLeft w:val="0"/>
          <w:marRight w:val="0"/>
          <w:marTop w:val="0"/>
          <w:marBottom w:val="0"/>
          <w:divBdr>
            <w:top w:val="none" w:sz="0" w:space="0" w:color="auto"/>
            <w:left w:val="none" w:sz="0" w:space="0" w:color="auto"/>
            <w:bottom w:val="none" w:sz="0" w:space="0" w:color="auto"/>
            <w:right w:val="none" w:sz="0" w:space="0" w:color="auto"/>
          </w:divBdr>
        </w:div>
        <w:div w:id="2024705493">
          <w:marLeft w:val="0"/>
          <w:marRight w:val="0"/>
          <w:marTop w:val="0"/>
          <w:marBottom w:val="0"/>
          <w:divBdr>
            <w:top w:val="none" w:sz="0" w:space="0" w:color="auto"/>
            <w:left w:val="none" w:sz="0" w:space="0" w:color="auto"/>
            <w:bottom w:val="none" w:sz="0" w:space="0" w:color="auto"/>
            <w:right w:val="none" w:sz="0" w:space="0" w:color="auto"/>
          </w:divBdr>
        </w:div>
        <w:div w:id="2024705494">
          <w:marLeft w:val="0"/>
          <w:marRight w:val="0"/>
          <w:marTop w:val="0"/>
          <w:marBottom w:val="0"/>
          <w:divBdr>
            <w:top w:val="none" w:sz="0" w:space="0" w:color="auto"/>
            <w:left w:val="none" w:sz="0" w:space="0" w:color="auto"/>
            <w:bottom w:val="none" w:sz="0" w:space="0" w:color="auto"/>
            <w:right w:val="none" w:sz="0" w:space="0" w:color="auto"/>
          </w:divBdr>
        </w:div>
        <w:div w:id="2024705495">
          <w:marLeft w:val="0"/>
          <w:marRight w:val="0"/>
          <w:marTop w:val="0"/>
          <w:marBottom w:val="0"/>
          <w:divBdr>
            <w:top w:val="none" w:sz="0" w:space="0" w:color="auto"/>
            <w:left w:val="none" w:sz="0" w:space="0" w:color="auto"/>
            <w:bottom w:val="none" w:sz="0" w:space="0" w:color="auto"/>
            <w:right w:val="none" w:sz="0" w:space="0" w:color="auto"/>
          </w:divBdr>
        </w:div>
        <w:div w:id="2024705496">
          <w:marLeft w:val="0"/>
          <w:marRight w:val="0"/>
          <w:marTop w:val="0"/>
          <w:marBottom w:val="0"/>
          <w:divBdr>
            <w:top w:val="none" w:sz="0" w:space="0" w:color="auto"/>
            <w:left w:val="none" w:sz="0" w:space="0" w:color="auto"/>
            <w:bottom w:val="none" w:sz="0" w:space="0" w:color="auto"/>
            <w:right w:val="none" w:sz="0" w:space="0" w:color="auto"/>
          </w:divBdr>
        </w:div>
        <w:div w:id="2024705497">
          <w:marLeft w:val="0"/>
          <w:marRight w:val="0"/>
          <w:marTop w:val="0"/>
          <w:marBottom w:val="0"/>
          <w:divBdr>
            <w:top w:val="none" w:sz="0" w:space="0" w:color="auto"/>
            <w:left w:val="none" w:sz="0" w:space="0" w:color="auto"/>
            <w:bottom w:val="none" w:sz="0" w:space="0" w:color="auto"/>
            <w:right w:val="none" w:sz="0" w:space="0" w:color="auto"/>
          </w:divBdr>
        </w:div>
        <w:div w:id="2024705498">
          <w:marLeft w:val="0"/>
          <w:marRight w:val="0"/>
          <w:marTop w:val="0"/>
          <w:marBottom w:val="0"/>
          <w:divBdr>
            <w:top w:val="none" w:sz="0" w:space="0" w:color="auto"/>
            <w:left w:val="none" w:sz="0" w:space="0" w:color="auto"/>
            <w:bottom w:val="none" w:sz="0" w:space="0" w:color="auto"/>
            <w:right w:val="none" w:sz="0" w:space="0" w:color="auto"/>
          </w:divBdr>
        </w:div>
        <w:div w:id="2024705499">
          <w:marLeft w:val="0"/>
          <w:marRight w:val="0"/>
          <w:marTop w:val="0"/>
          <w:marBottom w:val="0"/>
          <w:divBdr>
            <w:top w:val="none" w:sz="0" w:space="0" w:color="auto"/>
            <w:left w:val="none" w:sz="0" w:space="0" w:color="auto"/>
            <w:bottom w:val="none" w:sz="0" w:space="0" w:color="auto"/>
            <w:right w:val="none" w:sz="0" w:space="0" w:color="auto"/>
          </w:divBdr>
        </w:div>
        <w:div w:id="2024705500">
          <w:marLeft w:val="0"/>
          <w:marRight w:val="0"/>
          <w:marTop w:val="0"/>
          <w:marBottom w:val="0"/>
          <w:divBdr>
            <w:top w:val="none" w:sz="0" w:space="0" w:color="auto"/>
            <w:left w:val="none" w:sz="0" w:space="0" w:color="auto"/>
            <w:bottom w:val="none" w:sz="0" w:space="0" w:color="auto"/>
            <w:right w:val="none" w:sz="0" w:space="0" w:color="auto"/>
          </w:divBdr>
        </w:div>
        <w:div w:id="2024705501">
          <w:marLeft w:val="0"/>
          <w:marRight w:val="0"/>
          <w:marTop w:val="0"/>
          <w:marBottom w:val="0"/>
          <w:divBdr>
            <w:top w:val="none" w:sz="0" w:space="0" w:color="auto"/>
            <w:left w:val="none" w:sz="0" w:space="0" w:color="auto"/>
            <w:bottom w:val="none" w:sz="0" w:space="0" w:color="auto"/>
            <w:right w:val="none" w:sz="0" w:space="0" w:color="auto"/>
          </w:divBdr>
        </w:div>
        <w:div w:id="2024705502">
          <w:marLeft w:val="0"/>
          <w:marRight w:val="0"/>
          <w:marTop w:val="0"/>
          <w:marBottom w:val="0"/>
          <w:divBdr>
            <w:top w:val="none" w:sz="0" w:space="0" w:color="auto"/>
            <w:left w:val="none" w:sz="0" w:space="0" w:color="auto"/>
            <w:bottom w:val="none" w:sz="0" w:space="0" w:color="auto"/>
            <w:right w:val="none" w:sz="0" w:space="0" w:color="auto"/>
          </w:divBdr>
        </w:div>
        <w:div w:id="2024705503">
          <w:marLeft w:val="0"/>
          <w:marRight w:val="0"/>
          <w:marTop w:val="0"/>
          <w:marBottom w:val="0"/>
          <w:divBdr>
            <w:top w:val="none" w:sz="0" w:space="0" w:color="auto"/>
            <w:left w:val="none" w:sz="0" w:space="0" w:color="auto"/>
            <w:bottom w:val="none" w:sz="0" w:space="0" w:color="auto"/>
            <w:right w:val="none" w:sz="0" w:space="0" w:color="auto"/>
          </w:divBdr>
        </w:div>
        <w:div w:id="2024705504">
          <w:marLeft w:val="0"/>
          <w:marRight w:val="0"/>
          <w:marTop w:val="0"/>
          <w:marBottom w:val="0"/>
          <w:divBdr>
            <w:top w:val="none" w:sz="0" w:space="0" w:color="auto"/>
            <w:left w:val="none" w:sz="0" w:space="0" w:color="auto"/>
            <w:bottom w:val="none" w:sz="0" w:space="0" w:color="auto"/>
            <w:right w:val="none" w:sz="0" w:space="0" w:color="auto"/>
          </w:divBdr>
        </w:div>
        <w:div w:id="2024705505">
          <w:marLeft w:val="0"/>
          <w:marRight w:val="0"/>
          <w:marTop w:val="0"/>
          <w:marBottom w:val="0"/>
          <w:divBdr>
            <w:top w:val="none" w:sz="0" w:space="0" w:color="auto"/>
            <w:left w:val="none" w:sz="0" w:space="0" w:color="auto"/>
            <w:bottom w:val="none" w:sz="0" w:space="0" w:color="auto"/>
            <w:right w:val="none" w:sz="0" w:space="0" w:color="auto"/>
          </w:divBdr>
        </w:div>
        <w:div w:id="2024705506">
          <w:marLeft w:val="0"/>
          <w:marRight w:val="0"/>
          <w:marTop w:val="0"/>
          <w:marBottom w:val="0"/>
          <w:divBdr>
            <w:top w:val="none" w:sz="0" w:space="0" w:color="auto"/>
            <w:left w:val="none" w:sz="0" w:space="0" w:color="auto"/>
            <w:bottom w:val="none" w:sz="0" w:space="0" w:color="auto"/>
            <w:right w:val="none" w:sz="0" w:space="0" w:color="auto"/>
          </w:divBdr>
        </w:div>
        <w:div w:id="2024705507">
          <w:marLeft w:val="0"/>
          <w:marRight w:val="0"/>
          <w:marTop w:val="0"/>
          <w:marBottom w:val="0"/>
          <w:divBdr>
            <w:top w:val="none" w:sz="0" w:space="0" w:color="auto"/>
            <w:left w:val="none" w:sz="0" w:space="0" w:color="auto"/>
            <w:bottom w:val="none" w:sz="0" w:space="0" w:color="auto"/>
            <w:right w:val="none" w:sz="0" w:space="0" w:color="auto"/>
          </w:divBdr>
        </w:div>
        <w:div w:id="2024705508">
          <w:marLeft w:val="0"/>
          <w:marRight w:val="0"/>
          <w:marTop w:val="0"/>
          <w:marBottom w:val="0"/>
          <w:divBdr>
            <w:top w:val="none" w:sz="0" w:space="0" w:color="auto"/>
            <w:left w:val="none" w:sz="0" w:space="0" w:color="auto"/>
            <w:bottom w:val="none" w:sz="0" w:space="0" w:color="auto"/>
            <w:right w:val="none" w:sz="0" w:space="0" w:color="auto"/>
          </w:divBdr>
        </w:div>
        <w:div w:id="2024705509">
          <w:marLeft w:val="0"/>
          <w:marRight w:val="0"/>
          <w:marTop w:val="0"/>
          <w:marBottom w:val="0"/>
          <w:divBdr>
            <w:top w:val="none" w:sz="0" w:space="0" w:color="auto"/>
            <w:left w:val="none" w:sz="0" w:space="0" w:color="auto"/>
            <w:bottom w:val="none" w:sz="0" w:space="0" w:color="auto"/>
            <w:right w:val="none" w:sz="0" w:space="0" w:color="auto"/>
          </w:divBdr>
        </w:div>
        <w:div w:id="2024705510">
          <w:marLeft w:val="0"/>
          <w:marRight w:val="0"/>
          <w:marTop w:val="0"/>
          <w:marBottom w:val="0"/>
          <w:divBdr>
            <w:top w:val="none" w:sz="0" w:space="0" w:color="auto"/>
            <w:left w:val="none" w:sz="0" w:space="0" w:color="auto"/>
            <w:bottom w:val="none" w:sz="0" w:space="0" w:color="auto"/>
            <w:right w:val="none" w:sz="0" w:space="0" w:color="auto"/>
          </w:divBdr>
        </w:div>
        <w:div w:id="2024705511">
          <w:marLeft w:val="0"/>
          <w:marRight w:val="0"/>
          <w:marTop w:val="0"/>
          <w:marBottom w:val="0"/>
          <w:divBdr>
            <w:top w:val="none" w:sz="0" w:space="0" w:color="auto"/>
            <w:left w:val="none" w:sz="0" w:space="0" w:color="auto"/>
            <w:bottom w:val="none" w:sz="0" w:space="0" w:color="auto"/>
            <w:right w:val="none" w:sz="0" w:space="0" w:color="auto"/>
          </w:divBdr>
        </w:div>
        <w:div w:id="2024705512">
          <w:marLeft w:val="0"/>
          <w:marRight w:val="0"/>
          <w:marTop w:val="0"/>
          <w:marBottom w:val="0"/>
          <w:divBdr>
            <w:top w:val="none" w:sz="0" w:space="0" w:color="auto"/>
            <w:left w:val="none" w:sz="0" w:space="0" w:color="auto"/>
            <w:bottom w:val="none" w:sz="0" w:space="0" w:color="auto"/>
            <w:right w:val="none" w:sz="0" w:space="0" w:color="auto"/>
          </w:divBdr>
        </w:div>
        <w:div w:id="2024705513">
          <w:marLeft w:val="0"/>
          <w:marRight w:val="0"/>
          <w:marTop w:val="0"/>
          <w:marBottom w:val="0"/>
          <w:divBdr>
            <w:top w:val="none" w:sz="0" w:space="0" w:color="auto"/>
            <w:left w:val="none" w:sz="0" w:space="0" w:color="auto"/>
            <w:bottom w:val="none" w:sz="0" w:space="0" w:color="auto"/>
            <w:right w:val="none" w:sz="0" w:space="0" w:color="auto"/>
          </w:divBdr>
        </w:div>
        <w:div w:id="2024705514">
          <w:marLeft w:val="0"/>
          <w:marRight w:val="0"/>
          <w:marTop w:val="0"/>
          <w:marBottom w:val="0"/>
          <w:divBdr>
            <w:top w:val="none" w:sz="0" w:space="0" w:color="auto"/>
            <w:left w:val="none" w:sz="0" w:space="0" w:color="auto"/>
            <w:bottom w:val="none" w:sz="0" w:space="0" w:color="auto"/>
            <w:right w:val="none" w:sz="0" w:space="0" w:color="auto"/>
          </w:divBdr>
        </w:div>
        <w:div w:id="2024705515">
          <w:marLeft w:val="0"/>
          <w:marRight w:val="0"/>
          <w:marTop w:val="0"/>
          <w:marBottom w:val="0"/>
          <w:divBdr>
            <w:top w:val="none" w:sz="0" w:space="0" w:color="auto"/>
            <w:left w:val="none" w:sz="0" w:space="0" w:color="auto"/>
            <w:bottom w:val="none" w:sz="0" w:space="0" w:color="auto"/>
            <w:right w:val="none" w:sz="0" w:space="0" w:color="auto"/>
          </w:divBdr>
        </w:div>
        <w:div w:id="2024705516">
          <w:marLeft w:val="0"/>
          <w:marRight w:val="0"/>
          <w:marTop w:val="0"/>
          <w:marBottom w:val="0"/>
          <w:divBdr>
            <w:top w:val="none" w:sz="0" w:space="0" w:color="auto"/>
            <w:left w:val="none" w:sz="0" w:space="0" w:color="auto"/>
            <w:bottom w:val="none" w:sz="0" w:space="0" w:color="auto"/>
            <w:right w:val="none" w:sz="0" w:space="0" w:color="auto"/>
          </w:divBdr>
        </w:div>
        <w:div w:id="2024705517">
          <w:marLeft w:val="0"/>
          <w:marRight w:val="0"/>
          <w:marTop w:val="0"/>
          <w:marBottom w:val="0"/>
          <w:divBdr>
            <w:top w:val="none" w:sz="0" w:space="0" w:color="auto"/>
            <w:left w:val="none" w:sz="0" w:space="0" w:color="auto"/>
            <w:bottom w:val="none" w:sz="0" w:space="0" w:color="auto"/>
            <w:right w:val="none" w:sz="0" w:space="0" w:color="auto"/>
          </w:divBdr>
        </w:div>
        <w:div w:id="2024705518">
          <w:marLeft w:val="0"/>
          <w:marRight w:val="0"/>
          <w:marTop w:val="0"/>
          <w:marBottom w:val="0"/>
          <w:divBdr>
            <w:top w:val="none" w:sz="0" w:space="0" w:color="auto"/>
            <w:left w:val="none" w:sz="0" w:space="0" w:color="auto"/>
            <w:bottom w:val="none" w:sz="0" w:space="0" w:color="auto"/>
            <w:right w:val="none" w:sz="0" w:space="0" w:color="auto"/>
          </w:divBdr>
        </w:div>
        <w:div w:id="2024705519">
          <w:marLeft w:val="0"/>
          <w:marRight w:val="0"/>
          <w:marTop w:val="0"/>
          <w:marBottom w:val="0"/>
          <w:divBdr>
            <w:top w:val="none" w:sz="0" w:space="0" w:color="auto"/>
            <w:left w:val="none" w:sz="0" w:space="0" w:color="auto"/>
            <w:bottom w:val="none" w:sz="0" w:space="0" w:color="auto"/>
            <w:right w:val="none" w:sz="0" w:space="0" w:color="auto"/>
          </w:divBdr>
        </w:div>
        <w:div w:id="2024705520">
          <w:marLeft w:val="0"/>
          <w:marRight w:val="0"/>
          <w:marTop w:val="0"/>
          <w:marBottom w:val="0"/>
          <w:divBdr>
            <w:top w:val="none" w:sz="0" w:space="0" w:color="auto"/>
            <w:left w:val="none" w:sz="0" w:space="0" w:color="auto"/>
            <w:bottom w:val="none" w:sz="0" w:space="0" w:color="auto"/>
            <w:right w:val="none" w:sz="0" w:space="0" w:color="auto"/>
          </w:divBdr>
        </w:div>
        <w:div w:id="2024705522">
          <w:marLeft w:val="0"/>
          <w:marRight w:val="0"/>
          <w:marTop w:val="0"/>
          <w:marBottom w:val="0"/>
          <w:divBdr>
            <w:top w:val="none" w:sz="0" w:space="0" w:color="auto"/>
            <w:left w:val="none" w:sz="0" w:space="0" w:color="auto"/>
            <w:bottom w:val="none" w:sz="0" w:space="0" w:color="auto"/>
            <w:right w:val="none" w:sz="0" w:space="0" w:color="auto"/>
          </w:divBdr>
        </w:div>
        <w:div w:id="2024705523">
          <w:marLeft w:val="0"/>
          <w:marRight w:val="0"/>
          <w:marTop w:val="0"/>
          <w:marBottom w:val="0"/>
          <w:divBdr>
            <w:top w:val="none" w:sz="0" w:space="0" w:color="auto"/>
            <w:left w:val="none" w:sz="0" w:space="0" w:color="auto"/>
            <w:bottom w:val="none" w:sz="0" w:space="0" w:color="auto"/>
            <w:right w:val="none" w:sz="0" w:space="0" w:color="auto"/>
          </w:divBdr>
        </w:div>
        <w:div w:id="2024705524">
          <w:marLeft w:val="0"/>
          <w:marRight w:val="0"/>
          <w:marTop w:val="0"/>
          <w:marBottom w:val="0"/>
          <w:divBdr>
            <w:top w:val="none" w:sz="0" w:space="0" w:color="auto"/>
            <w:left w:val="none" w:sz="0" w:space="0" w:color="auto"/>
            <w:bottom w:val="none" w:sz="0" w:space="0" w:color="auto"/>
            <w:right w:val="none" w:sz="0" w:space="0" w:color="auto"/>
          </w:divBdr>
        </w:div>
        <w:div w:id="2024705525">
          <w:marLeft w:val="0"/>
          <w:marRight w:val="0"/>
          <w:marTop w:val="0"/>
          <w:marBottom w:val="0"/>
          <w:divBdr>
            <w:top w:val="none" w:sz="0" w:space="0" w:color="auto"/>
            <w:left w:val="none" w:sz="0" w:space="0" w:color="auto"/>
            <w:bottom w:val="none" w:sz="0" w:space="0" w:color="auto"/>
            <w:right w:val="none" w:sz="0" w:space="0" w:color="auto"/>
          </w:divBdr>
        </w:div>
        <w:div w:id="2024705526">
          <w:marLeft w:val="0"/>
          <w:marRight w:val="0"/>
          <w:marTop w:val="0"/>
          <w:marBottom w:val="0"/>
          <w:divBdr>
            <w:top w:val="none" w:sz="0" w:space="0" w:color="auto"/>
            <w:left w:val="none" w:sz="0" w:space="0" w:color="auto"/>
            <w:bottom w:val="none" w:sz="0" w:space="0" w:color="auto"/>
            <w:right w:val="none" w:sz="0" w:space="0" w:color="auto"/>
          </w:divBdr>
        </w:div>
        <w:div w:id="2024705527">
          <w:marLeft w:val="0"/>
          <w:marRight w:val="0"/>
          <w:marTop w:val="0"/>
          <w:marBottom w:val="0"/>
          <w:divBdr>
            <w:top w:val="none" w:sz="0" w:space="0" w:color="auto"/>
            <w:left w:val="none" w:sz="0" w:space="0" w:color="auto"/>
            <w:bottom w:val="none" w:sz="0" w:space="0" w:color="auto"/>
            <w:right w:val="none" w:sz="0" w:space="0" w:color="auto"/>
          </w:divBdr>
        </w:div>
        <w:div w:id="2024705528">
          <w:marLeft w:val="0"/>
          <w:marRight w:val="0"/>
          <w:marTop w:val="0"/>
          <w:marBottom w:val="0"/>
          <w:divBdr>
            <w:top w:val="none" w:sz="0" w:space="0" w:color="auto"/>
            <w:left w:val="none" w:sz="0" w:space="0" w:color="auto"/>
            <w:bottom w:val="none" w:sz="0" w:space="0" w:color="auto"/>
            <w:right w:val="none" w:sz="0" w:space="0" w:color="auto"/>
          </w:divBdr>
        </w:div>
        <w:div w:id="2024705529">
          <w:marLeft w:val="0"/>
          <w:marRight w:val="0"/>
          <w:marTop w:val="0"/>
          <w:marBottom w:val="0"/>
          <w:divBdr>
            <w:top w:val="none" w:sz="0" w:space="0" w:color="auto"/>
            <w:left w:val="none" w:sz="0" w:space="0" w:color="auto"/>
            <w:bottom w:val="none" w:sz="0" w:space="0" w:color="auto"/>
            <w:right w:val="none" w:sz="0" w:space="0" w:color="auto"/>
          </w:divBdr>
        </w:div>
        <w:div w:id="2024705530">
          <w:marLeft w:val="0"/>
          <w:marRight w:val="0"/>
          <w:marTop w:val="0"/>
          <w:marBottom w:val="0"/>
          <w:divBdr>
            <w:top w:val="none" w:sz="0" w:space="0" w:color="auto"/>
            <w:left w:val="none" w:sz="0" w:space="0" w:color="auto"/>
            <w:bottom w:val="none" w:sz="0" w:space="0" w:color="auto"/>
            <w:right w:val="none" w:sz="0" w:space="0" w:color="auto"/>
          </w:divBdr>
        </w:div>
        <w:div w:id="2024705531">
          <w:marLeft w:val="0"/>
          <w:marRight w:val="0"/>
          <w:marTop w:val="0"/>
          <w:marBottom w:val="0"/>
          <w:divBdr>
            <w:top w:val="none" w:sz="0" w:space="0" w:color="auto"/>
            <w:left w:val="none" w:sz="0" w:space="0" w:color="auto"/>
            <w:bottom w:val="none" w:sz="0" w:space="0" w:color="auto"/>
            <w:right w:val="none" w:sz="0" w:space="0" w:color="auto"/>
          </w:divBdr>
        </w:div>
        <w:div w:id="2024705532">
          <w:marLeft w:val="0"/>
          <w:marRight w:val="0"/>
          <w:marTop w:val="0"/>
          <w:marBottom w:val="0"/>
          <w:divBdr>
            <w:top w:val="none" w:sz="0" w:space="0" w:color="auto"/>
            <w:left w:val="none" w:sz="0" w:space="0" w:color="auto"/>
            <w:bottom w:val="none" w:sz="0" w:space="0" w:color="auto"/>
            <w:right w:val="none" w:sz="0" w:space="0" w:color="auto"/>
          </w:divBdr>
        </w:div>
        <w:div w:id="2024705533">
          <w:marLeft w:val="0"/>
          <w:marRight w:val="0"/>
          <w:marTop w:val="0"/>
          <w:marBottom w:val="0"/>
          <w:divBdr>
            <w:top w:val="none" w:sz="0" w:space="0" w:color="auto"/>
            <w:left w:val="none" w:sz="0" w:space="0" w:color="auto"/>
            <w:bottom w:val="none" w:sz="0" w:space="0" w:color="auto"/>
            <w:right w:val="none" w:sz="0" w:space="0" w:color="auto"/>
          </w:divBdr>
        </w:div>
        <w:div w:id="2024705534">
          <w:marLeft w:val="0"/>
          <w:marRight w:val="0"/>
          <w:marTop w:val="0"/>
          <w:marBottom w:val="0"/>
          <w:divBdr>
            <w:top w:val="none" w:sz="0" w:space="0" w:color="auto"/>
            <w:left w:val="none" w:sz="0" w:space="0" w:color="auto"/>
            <w:bottom w:val="none" w:sz="0" w:space="0" w:color="auto"/>
            <w:right w:val="none" w:sz="0" w:space="0" w:color="auto"/>
          </w:divBdr>
        </w:div>
        <w:div w:id="2024705535">
          <w:marLeft w:val="0"/>
          <w:marRight w:val="0"/>
          <w:marTop w:val="0"/>
          <w:marBottom w:val="0"/>
          <w:divBdr>
            <w:top w:val="none" w:sz="0" w:space="0" w:color="auto"/>
            <w:left w:val="none" w:sz="0" w:space="0" w:color="auto"/>
            <w:bottom w:val="none" w:sz="0" w:space="0" w:color="auto"/>
            <w:right w:val="none" w:sz="0" w:space="0" w:color="auto"/>
          </w:divBdr>
        </w:div>
        <w:div w:id="2024705536">
          <w:marLeft w:val="0"/>
          <w:marRight w:val="0"/>
          <w:marTop w:val="0"/>
          <w:marBottom w:val="0"/>
          <w:divBdr>
            <w:top w:val="none" w:sz="0" w:space="0" w:color="auto"/>
            <w:left w:val="none" w:sz="0" w:space="0" w:color="auto"/>
            <w:bottom w:val="none" w:sz="0" w:space="0" w:color="auto"/>
            <w:right w:val="none" w:sz="0" w:space="0" w:color="auto"/>
          </w:divBdr>
        </w:div>
        <w:div w:id="2024705538">
          <w:marLeft w:val="0"/>
          <w:marRight w:val="0"/>
          <w:marTop w:val="0"/>
          <w:marBottom w:val="0"/>
          <w:divBdr>
            <w:top w:val="none" w:sz="0" w:space="0" w:color="auto"/>
            <w:left w:val="none" w:sz="0" w:space="0" w:color="auto"/>
            <w:bottom w:val="none" w:sz="0" w:space="0" w:color="auto"/>
            <w:right w:val="none" w:sz="0" w:space="0" w:color="auto"/>
          </w:divBdr>
        </w:div>
        <w:div w:id="2024705539">
          <w:marLeft w:val="0"/>
          <w:marRight w:val="0"/>
          <w:marTop w:val="0"/>
          <w:marBottom w:val="0"/>
          <w:divBdr>
            <w:top w:val="none" w:sz="0" w:space="0" w:color="auto"/>
            <w:left w:val="none" w:sz="0" w:space="0" w:color="auto"/>
            <w:bottom w:val="none" w:sz="0" w:space="0" w:color="auto"/>
            <w:right w:val="none" w:sz="0" w:space="0" w:color="auto"/>
          </w:divBdr>
        </w:div>
        <w:div w:id="2024705540">
          <w:marLeft w:val="0"/>
          <w:marRight w:val="0"/>
          <w:marTop w:val="0"/>
          <w:marBottom w:val="0"/>
          <w:divBdr>
            <w:top w:val="none" w:sz="0" w:space="0" w:color="auto"/>
            <w:left w:val="none" w:sz="0" w:space="0" w:color="auto"/>
            <w:bottom w:val="none" w:sz="0" w:space="0" w:color="auto"/>
            <w:right w:val="none" w:sz="0" w:space="0" w:color="auto"/>
          </w:divBdr>
        </w:div>
        <w:div w:id="2024705541">
          <w:marLeft w:val="0"/>
          <w:marRight w:val="0"/>
          <w:marTop w:val="0"/>
          <w:marBottom w:val="0"/>
          <w:divBdr>
            <w:top w:val="none" w:sz="0" w:space="0" w:color="auto"/>
            <w:left w:val="none" w:sz="0" w:space="0" w:color="auto"/>
            <w:bottom w:val="none" w:sz="0" w:space="0" w:color="auto"/>
            <w:right w:val="none" w:sz="0" w:space="0" w:color="auto"/>
          </w:divBdr>
        </w:div>
        <w:div w:id="2024705542">
          <w:marLeft w:val="0"/>
          <w:marRight w:val="0"/>
          <w:marTop w:val="0"/>
          <w:marBottom w:val="0"/>
          <w:divBdr>
            <w:top w:val="none" w:sz="0" w:space="0" w:color="auto"/>
            <w:left w:val="none" w:sz="0" w:space="0" w:color="auto"/>
            <w:bottom w:val="none" w:sz="0" w:space="0" w:color="auto"/>
            <w:right w:val="none" w:sz="0" w:space="0" w:color="auto"/>
          </w:divBdr>
        </w:div>
        <w:div w:id="2024705543">
          <w:marLeft w:val="0"/>
          <w:marRight w:val="0"/>
          <w:marTop w:val="0"/>
          <w:marBottom w:val="0"/>
          <w:divBdr>
            <w:top w:val="none" w:sz="0" w:space="0" w:color="auto"/>
            <w:left w:val="none" w:sz="0" w:space="0" w:color="auto"/>
            <w:bottom w:val="none" w:sz="0" w:space="0" w:color="auto"/>
            <w:right w:val="none" w:sz="0" w:space="0" w:color="auto"/>
          </w:divBdr>
        </w:div>
        <w:div w:id="2024705544">
          <w:marLeft w:val="0"/>
          <w:marRight w:val="0"/>
          <w:marTop w:val="0"/>
          <w:marBottom w:val="0"/>
          <w:divBdr>
            <w:top w:val="none" w:sz="0" w:space="0" w:color="auto"/>
            <w:left w:val="none" w:sz="0" w:space="0" w:color="auto"/>
            <w:bottom w:val="none" w:sz="0" w:space="0" w:color="auto"/>
            <w:right w:val="none" w:sz="0" w:space="0" w:color="auto"/>
          </w:divBdr>
        </w:div>
        <w:div w:id="2024705545">
          <w:marLeft w:val="0"/>
          <w:marRight w:val="0"/>
          <w:marTop w:val="0"/>
          <w:marBottom w:val="0"/>
          <w:divBdr>
            <w:top w:val="none" w:sz="0" w:space="0" w:color="auto"/>
            <w:left w:val="none" w:sz="0" w:space="0" w:color="auto"/>
            <w:bottom w:val="none" w:sz="0" w:space="0" w:color="auto"/>
            <w:right w:val="none" w:sz="0" w:space="0" w:color="auto"/>
          </w:divBdr>
        </w:div>
        <w:div w:id="2024705546">
          <w:marLeft w:val="0"/>
          <w:marRight w:val="0"/>
          <w:marTop w:val="0"/>
          <w:marBottom w:val="0"/>
          <w:divBdr>
            <w:top w:val="none" w:sz="0" w:space="0" w:color="auto"/>
            <w:left w:val="none" w:sz="0" w:space="0" w:color="auto"/>
            <w:bottom w:val="none" w:sz="0" w:space="0" w:color="auto"/>
            <w:right w:val="none" w:sz="0" w:space="0" w:color="auto"/>
          </w:divBdr>
        </w:div>
        <w:div w:id="2024705547">
          <w:marLeft w:val="0"/>
          <w:marRight w:val="0"/>
          <w:marTop w:val="0"/>
          <w:marBottom w:val="0"/>
          <w:divBdr>
            <w:top w:val="none" w:sz="0" w:space="0" w:color="auto"/>
            <w:left w:val="none" w:sz="0" w:space="0" w:color="auto"/>
            <w:bottom w:val="none" w:sz="0" w:space="0" w:color="auto"/>
            <w:right w:val="none" w:sz="0" w:space="0" w:color="auto"/>
          </w:divBdr>
        </w:div>
        <w:div w:id="2024705548">
          <w:marLeft w:val="0"/>
          <w:marRight w:val="0"/>
          <w:marTop w:val="0"/>
          <w:marBottom w:val="0"/>
          <w:divBdr>
            <w:top w:val="none" w:sz="0" w:space="0" w:color="auto"/>
            <w:left w:val="none" w:sz="0" w:space="0" w:color="auto"/>
            <w:bottom w:val="none" w:sz="0" w:space="0" w:color="auto"/>
            <w:right w:val="none" w:sz="0" w:space="0" w:color="auto"/>
          </w:divBdr>
        </w:div>
        <w:div w:id="2024705549">
          <w:marLeft w:val="0"/>
          <w:marRight w:val="0"/>
          <w:marTop w:val="0"/>
          <w:marBottom w:val="0"/>
          <w:divBdr>
            <w:top w:val="none" w:sz="0" w:space="0" w:color="auto"/>
            <w:left w:val="none" w:sz="0" w:space="0" w:color="auto"/>
            <w:bottom w:val="none" w:sz="0" w:space="0" w:color="auto"/>
            <w:right w:val="none" w:sz="0" w:space="0" w:color="auto"/>
          </w:divBdr>
        </w:div>
        <w:div w:id="2024705550">
          <w:marLeft w:val="0"/>
          <w:marRight w:val="0"/>
          <w:marTop w:val="0"/>
          <w:marBottom w:val="0"/>
          <w:divBdr>
            <w:top w:val="none" w:sz="0" w:space="0" w:color="auto"/>
            <w:left w:val="none" w:sz="0" w:space="0" w:color="auto"/>
            <w:bottom w:val="none" w:sz="0" w:space="0" w:color="auto"/>
            <w:right w:val="none" w:sz="0" w:space="0" w:color="auto"/>
          </w:divBdr>
        </w:div>
        <w:div w:id="2024705551">
          <w:marLeft w:val="0"/>
          <w:marRight w:val="0"/>
          <w:marTop w:val="0"/>
          <w:marBottom w:val="0"/>
          <w:divBdr>
            <w:top w:val="none" w:sz="0" w:space="0" w:color="auto"/>
            <w:left w:val="none" w:sz="0" w:space="0" w:color="auto"/>
            <w:bottom w:val="none" w:sz="0" w:space="0" w:color="auto"/>
            <w:right w:val="none" w:sz="0" w:space="0" w:color="auto"/>
          </w:divBdr>
        </w:div>
        <w:div w:id="2024705552">
          <w:marLeft w:val="0"/>
          <w:marRight w:val="0"/>
          <w:marTop w:val="0"/>
          <w:marBottom w:val="0"/>
          <w:divBdr>
            <w:top w:val="none" w:sz="0" w:space="0" w:color="auto"/>
            <w:left w:val="none" w:sz="0" w:space="0" w:color="auto"/>
            <w:bottom w:val="none" w:sz="0" w:space="0" w:color="auto"/>
            <w:right w:val="none" w:sz="0" w:space="0" w:color="auto"/>
          </w:divBdr>
        </w:div>
        <w:div w:id="2024705553">
          <w:marLeft w:val="0"/>
          <w:marRight w:val="0"/>
          <w:marTop w:val="0"/>
          <w:marBottom w:val="0"/>
          <w:divBdr>
            <w:top w:val="none" w:sz="0" w:space="0" w:color="auto"/>
            <w:left w:val="none" w:sz="0" w:space="0" w:color="auto"/>
            <w:bottom w:val="none" w:sz="0" w:space="0" w:color="auto"/>
            <w:right w:val="none" w:sz="0" w:space="0" w:color="auto"/>
          </w:divBdr>
        </w:div>
        <w:div w:id="2024705554">
          <w:marLeft w:val="0"/>
          <w:marRight w:val="0"/>
          <w:marTop w:val="0"/>
          <w:marBottom w:val="0"/>
          <w:divBdr>
            <w:top w:val="none" w:sz="0" w:space="0" w:color="auto"/>
            <w:left w:val="none" w:sz="0" w:space="0" w:color="auto"/>
            <w:bottom w:val="none" w:sz="0" w:space="0" w:color="auto"/>
            <w:right w:val="none" w:sz="0" w:space="0" w:color="auto"/>
          </w:divBdr>
        </w:div>
        <w:div w:id="2024705555">
          <w:marLeft w:val="0"/>
          <w:marRight w:val="0"/>
          <w:marTop w:val="0"/>
          <w:marBottom w:val="0"/>
          <w:divBdr>
            <w:top w:val="none" w:sz="0" w:space="0" w:color="auto"/>
            <w:left w:val="none" w:sz="0" w:space="0" w:color="auto"/>
            <w:bottom w:val="none" w:sz="0" w:space="0" w:color="auto"/>
            <w:right w:val="none" w:sz="0" w:space="0" w:color="auto"/>
          </w:divBdr>
        </w:div>
        <w:div w:id="2024705556">
          <w:marLeft w:val="0"/>
          <w:marRight w:val="0"/>
          <w:marTop w:val="0"/>
          <w:marBottom w:val="0"/>
          <w:divBdr>
            <w:top w:val="none" w:sz="0" w:space="0" w:color="auto"/>
            <w:left w:val="none" w:sz="0" w:space="0" w:color="auto"/>
            <w:bottom w:val="none" w:sz="0" w:space="0" w:color="auto"/>
            <w:right w:val="none" w:sz="0" w:space="0" w:color="auto"/>
          </w:divBdr>
        </w:div>
        <w:div w:id="2024705557">
          <w:marLeft w:val="0"/>
          <w:marRight w:val="0"/>
          <w:marTop w:val="0"/>
          <w:marBottom w:val="0"/>
          <w:divBdr>
            <w:top w:val="none" w:sz="0" w:space="0" w:color="auto"/>
            <w:left w:val="none" w:sz="0" w:space="0" w:color="auto"/>
            <w:bottom w:val="none" w:sz="0" w:space="0" w:color="auto"/>
            <w:right w:val="none" w:sz="0" w:space="0" w:color="auto"/>
          </w:divBdr>
        </w:div>
        <w:div w:id="2024705558">
          <w:marLeft w:val="0"/>
          <w:marRight w:val="0"/>
          <w:marTop w:val="0"/>
          <w:marBottom w:val="0"/>
          <w:divBdr>
            <w:top w:val="none" w:sz="0" w:space="0" w:color="auto"/>
            <w:left w:val="none" w:sz="0" w:space="0" w:color="auto"/>
            <w:bottom w:val="none" w:sz="0" w:space="0" w:color="auto"/>
            <w:right w:val="none" w:sz="0" w:space="0" w:color="auto"/>
          </w:divBdr>
        </w:div>
        <w:div w:id="2024705559">
          <w:marLeft w:val="0"/>
          <w:marRight w:val="0"/>
          <w:marTop w:val="0"/>
          <w:marBottom w:val="0"/>
          <w:divBdr>
            <w:top w:val="none" w:sz="0" w:space="0" w:color="auto"/>
            <w:left w:val="none" w:sz="0" w:space="0" w:color="auto"/>
            <w:bottom w:val="none" w:sz="0" w:space="0" w:color="auto"/>
            <w:right w:val="none" w:sz="0" w:space="0" w:color="auto"/>
          </w:divBdr>
        </w:div>
        <w:div w:id="2024705560">
          <w:marLeft w:val="0"/>
          <w:marRight w:val="0"/>
          <w:marTop w:val="0"/>
          <w:marBottom w:val="0"/>
          <w:divBdr>
            <w:top w:val="none" w:sz="0" w:space="0" w:color="auto"/>
            <w:left w:val="none" w:sz="0" w:space="0" w:color="auto"/>
            <w:bottom w:val="none" w:sz="0" w:space="0" w:color="auto"/>
            <w:right w:val="none" w:sz="0" w:space="0" w:color="auto"/>
          </w:divBdr>
        </w:div>
        <w:div w:id="2024705561">
          <w:marLeft w:val="0"/>
          <w:marRight w:val="0"/>
          <w:marTop w:val="0"/>
          <w:marBottom w:val="0"/>
          <w:divBdr>
            <w:top w:val="none" w:sz="0" w:space="0" w:color="auto"/>
            <w:left w:val="none" w:sz="0" w:space="0" w:color="auto"/>
            <w:bottom w:val="none" w:sz="0" w:space="0" w:color="auto"/>
            <w:right w:val="none" w:sz="0" w:space="0" w:color="auto"/>
          </w:divBdr>
        </w:div>
        <w:div w:id="2024705562">
          <w:marLeft w:val="0"/>
          <w:marRight w:val="0"/>
          <w:marTop w:val="0"/>
          <w:marBottom w:val="0"/>
          <w:divBdr>
            <w:top w:val="none" w:sz="0" w:space="0" w:color="auto"/>
            <w:left w:val="none" w:sz="0" w:space="0" w:color="auto"/>
            <w:bottom w:val="none" w:sz="0" w:space="0" w:color="auto"/>
            <w:right w:val="none" w:sz="0" w:space="0" w:color="auto"/>
          </w:divBdr>
        </w:div>
        <w:div w:id="2024705563">
          <w:marLeft w:val="0"/>
          <w:marRight w:val="0"/>
          <w:marTop w:val="0"/>
          <w:marBottom w:val="0"/>
          <w:divBdr>
            <w:top w:val="none" w:sz="0" w:space="0" w:color="auto"/>
            <w:left w:val="none" w:sz="0" w:space="0" w:color="auto"/>
            <w:bottom w:val="none" w:sz="0" w:space="0" w:color="auto"/>
            <w:right w:val="none" w:sz="0" w:space="0" w:color="auto"/>
          </w:divBdr>
        </w:div>
        <w:div w:id="2024705565">
          <w:marLeft w:val="0"/>
          <w:marRight w:val="0"/>
          <w:marTop w:val="0"/>
          <w:marBottom w:val="0"/>
          <w:divBdr>
            <w:top w:val="none" w:sz="0" w:space="0" w:color="auto"/>
            <w:left w:val="none" w:sz="0" w:space="0" w:color="auto"/>
            <w:bottom w:val="none" w:sz="0" w:space="0" w:color="auto"/>
            <w:right w:val="none" w:sz="0" w:space="0" w:color="auto"/>
          </w:divBdr>
        </w:div>
        <w:div w:id="2024705566">
          <w:marLeft w:val="0"/>
          <w:marRight w:val="0"/>
          <w:marTop w:val="0"/>
          <w:marBottom w:val="0"/>
          <w:divBdr>
            <w:top w:val="none" w:sz="0" w:space="0" w:color="auto"/>
            <w:left w:val="none" w:sz="0" w:space="0" w:color="auto"/>
            <w:bottom w:val="none" w:sz="0" w:space="0" w:color="auto"/>
            <w:right w:val="none" w:sz="0" w:space="0" w:color="auto"/>
          </w:divBdr>
        </w:div>
        <w:div w:id="2024705567">
          <w:marLeft w:val="0"/>
          <w:marRight w:val="0"/>
          <w:marTop w:val="0"/>
          <w:marBottom w:val="0"/>
          <w:divBdr>
            <w:top w:val="none" w:sz="0" w:space="0" w:color="auto"/>
            <w:left w:val="none" w:sz="0" w:space="0" w:color="auto"/>
            <w:bottom w:val="none" w:sz="0" w:space="0" w:color="auto"/>
            <w:right w:val="none" w:sz="0" w:space="0" w:color="auto"/>
          </w:divBdr>
        </w:div>
        <w:div w:id="2024705568">
          <w:marLeft w:val="0"/>
          <w:marRight w:val="0"/>
          <w:marTop w:val="0"/>
          <w:marBottom w:val="0"/>
          <w:divBdr>
            <w:top w:val="none" w:sz="0" w:space="0" w:color="auto"/>
            <w:left w:val="none" w:sz="0" w:space="0" w:color="auto"/>
            <w:bottom w:val="none" w:sz="0" w:space="0" w:color="auto"/>
            <w:right w:val="none" w:sz="0" w:space="0" w:color="auto"/>
          </w:divBdr>
        </w:div>
        <w:div w:id="2024705569">
          <w:marLeft w:val="0"/>
          <w:marRight w:val="0"/>
          <w:marTop w:val="0"/>
          <w:marBottom w:val="0"/>
          <w:divBdr>
            <w:top w:val="none" w:sz="0" w:space="0" w:color="auto"/>
            <w:left w:val="none" w:sz="0" w:space="0" w:color="auto"/>
            <w:bottom w:val="none" w:sz="0" w:space="0" w:color="auto"/>
            <w:right w:val="none" w:sz="0" w:space="0" w:color="auto"/>
          </w:divBdr>
        </w:div>
        <w:div w:id="2024705570">
          <w:marLeft w:val="0"/>
          <w:marRight w:val="0"/>
          <w:marTop w:val="0"/>
          <w:marBottom w:val="0"/>
          <w:divBdr>
            <w:top w:val="none" w:sz="0" w:space="0" w:color="auto"/>
            <w:left w:val="none" w:sz="0" w:space="0" w:color="auto"/>
            <w:bottom w:val="none" w:sz="0" w:space="0" w:color="auto"/>
            <w:right w:val="none" w:sz="0" w:space="0" w:color="auto"/>
          </w:divBdr>
        </w:div>
        <w:div w:id="2024705571">
          <w:marLeft w:val="0"/>
          <w:marRight w:val="0"/>
          <w:marTop w:val="0"/>
          <w:marBottom w:val="0"/>
          <w:divBdr>
            <w:top w:val="none" w:sz="0" w:space="0" w:color="auto"/>
            <w:left w:val="none" w:sz="0" w:space="0" w:color="auto"/>
            <w:bottom w:val="none" w:sz="0" w:space="0" w:color="auto"/>
            <w:right w:val="none" w:sz="0" w:space="0" w:color="auto"/>
          </w:divBdr>
        </w:div>
        <w:div w:id="2024705572">
          <w:marLeft w:val="0"/>
          <w:marRight w:val="0"/>
          <w:marTop w:val="0"/>
          <w:marBottom w:val="0"/>
          <w:divBdr>
            <w:top w:val="none" w:sz="0" w:space="0" w:color="auto"/>
            <w:left w:val="none" w:sz="0" w:space="0" w:color="auto"/>
            <w:bottom w:val="none" w:sz="0" w:space="0" w:color="auto"/>
            <w:right w:val="none" w:sz="0" w:space="0" w:color="auto"/>
          </w:divBdr>
        </w:div>
        <w:div w:id="2024705573">
          <w:marLeft w:val="0"/>
          <w:marRight w:val="0"/>
          <w:marTop w:val="0"/>
          <w:marBottom w:val="0"/>
          <w:divBdr>
            <w:top w:val="none" w:sz="0" w:space="0" w:color="auto"/>
            <w:left w:val="none" w:sz="0" w:space="0" w:color="auto"/>
            <w:bottom w:val="none" w:sz="0" w:space="0" w:color="auto"/>
            <w:right w:val="none" w:sz="0" w:space="0" w:color="auto"/>
          </w:divBdr>
        </w:div>
        <w:div w:id="2024705574">
          <w:marLeft w:val="0"/>
          <w:marRight w:val="0"/>
          <w:marTop w:val="0"/>
          <w:marBottom w:val="0"/>
          <w:divBdr>
            <w:top w:val="none" w:sz="0" w:space="0" w:color="auto"/>
            <w:left w:val="none" w:sz="0" w:space="0" w:color="auto"/>
            <w:bottom w:val="none" w:sz="0" w:space="0" w:color="auto"/>
            <w:right w:val="none" w:sz="0" w:space="0" w:color="auto"/>
          </w:divBdr>
        </w:div>
        <w:div w:id="2024705575">
          <w:marLeft w:val="0"/>
          <w:marRight w:val="0"/>
          <w:marTop w:val="0"/>
          <w:marBottom w:val="0"/>
          <w:divBdr>
            <w:top w:val="none" w:sz="0" w:space="0" w:color="auto"/>
            <w:left w:val="none" w:sz="0" w:space="0" w:color="auto"/>
            <w:bottom w:val="none" w:sz="0" w:space="0" w:color="auto"/>
            <w:right w:val="none" w:sz="0" w:space="0" w:color="auto"/>
          </w:divBdr>
        </w:div>
        <w:div w:id="2024705576">
          <w:marLeft w:val="0"/>
          <w:marRight w:val="0"/>
          <w:marTop w:val="0"/>
          <w:marBottom w:val="0"/>
          <w:divBdr>
            <w:top w:val="none" w:sz="0" w:space="0" w:color="auto"/>
            <w:left w:val="none" w:sz="0" w:space="0" w:color="auto"/>
            <w:bottom w:val="none" w:sz="0" w:space="0" w:color="auto"/>
            <w:right w:val="none" w:sz="0" w:space="0" w:color="auto"/>
          </w:divBdr>
        </w:div>
        <w:div w:id="2024705577">
          <w:marLeft w:val="0"/>
          <w:marRight w:val="0"/>
          <w:marTop w:val="0"/>
          <w:marBottom w:val="0"/>
          <w:divBdr>
            <w:top w:val="none" w:sz="0" w:space="0" w:color="auto"/>
            <w:left w:val="none" w:sz="0" w:space="0" w:color="auto"/>
            <w:bottom w:val="none" w:sz="0" w:space="0" w:color="auto"/>
            <w:right w:val="none" w:sz="0" w:space="0" w:color="auto"/>
          </w:divBdr>
        </w:div>
        <w:div w:id="2024705578">
          <w:marLeft w:val="0"/>
          <w:marRight w:val="0"/>
          <w:marTop w:val="0"/>
          <w:marBottom w:val="0"/>
          <w:divBdr>
            <w:top w:val="none" w:sz="0" w:space="0" w:color="auto"/>
            <w:left w:val="none" w:sz="0" w:space="0" w:color="auto"/>
            <w:bottom w:val="none" w:sz="0" w:space="0" w:color="auto"/>
            <w:right w:val="none" w:sz="0" w:space="0" w:color="auto"/>
          </w:divBdr>
        </w:div>
        <w:div w:id="2024705579">
          <w:marLeft w:val="0"/>
          <w:marRight w:val="0"/>
          <w:marTop w:val="0"/>
          <w:marBottom w:val="0"/>
          <w:divBdr>
            <w:top w:val="none" w:sz="0" w:space="0" w:color="auto"/>
            <w:left w:val="none" w:sz="0" w:space="0" w:color="auto"/>
            <w:bottom w:val="none" w:sz="0" w:space="0" w:color="auto"/>
            <w:right w:val="none" w:sz="0" w:space="0" w:color="auto"/>
          </w:divBdr>
        </w:div>
        <w:div w:id="2024705581">
          <w:marLeft w:val="0"/>
          <w:marRight w:val="0"/>
          <w:marTop w:val="0"/>
          <w:marBottom w:val="0"/>
          <w:divBdr>
            <w:top w:val="none" w:sz="0" w:space="0" w:color="auto"/>
            <w:left w:val="none" w:sz="0" w:space="0" w:color="auto"/>
            <w:bottom w:val="none" w:sz="0" w:space="0" w:color="auto"/>
            <w:right w:val="none" w:sz="0" w:space="0" w:color="auto"/>
          </w:divBdr>
        </w:div>
        <w:div w:id="2024705582">
          <w:marLeft w:val="0"/>
          <w:marRight w:val="0"/>
          <w:marTop w:val="0"/>
          <w:marBottom w:val="0"/>
          <w:divBdr>
            <w:top w:val="none" w:sz="0" w:space="0" w:color="auto"/>
            <w:left w:val="none" w:sz="0" w:space="0" w:color="auto"/>
            <w:bottom w:val="none" w:sz="0" w:space="0" w:color="auto"/>
            <w:right w:val="none" w:sz="0" w:space="0" w:color="auto"/>
          </w:divBdr>
        </w:div>
        <w:div w:id="2024705584">
          <w:marLeft w:val="0"/>
          <w:marRight w:val="0"/>
          <w:marTop w:val="0"/>
          <w:marBottom w:val="0"/>
          <w:divBdr>
            <w:top w:val="none" w:sz="0" w:space="0" w:color="auto"/>
            <w:left w:val="none" w:sz="0" w:space="0" w:color="auto"/>
            <w:bottom w:val="none" w:sz="0" w:space="0" w:color="auto"/>
            <w:right w:val="none" w:sz="0" w:space="0" w:color="auto"/>
          </w:divBdr>
        </w:div>
        <w:div w:id="2024705585">
          <w:marLeft w:val="0"/>
          <w:marRight w:val="0"/>
          <w:marTop w:val="0"/>
          <w:marBottom w:val="0"/>
          <w:divBdr>
            <w:top w:val="none" w:sz="0" w:space="0" w:color="auto"/>
            <w:left w:val="none" w:sz="0" w:space="0" w:color="auto"/>
            <w:bottom w:val="none" w:sz="0" w:space="0" w:color="auto"/>
            <w:right w:val="none" w:sz="0" w:space="0" w:color="auto"/>
          </w:divBdr>
        </w:div>
        <w:div w:id="2024705586">
          <w:marLeft w:val="0"/>
          <w:marRight w:val="0"/>
          <w:marTop w:val="0"/>
          <w:marBottom w:val="0"/>
          <w:divBdr>
            <w:top w:val="none" w:sz="0" w:space="0" w:color="auto"/>
            <w:left w:val="none" w:sz="0" w:space="0" w:color="auto"/>
            <w:bottom w:val="none" w:sz="0" w:space="0" w:color="auto"/>
            <w:right w:val="none" w:sz="0" w:space="0" w:color="auto"/>
          </w:divBdr>
        </w:div>
        <w:div w:id="2024705587">
          <w:marLeft w:val="0"/>
          <w:marRight w:val="0"/>
          <w:marTop w:val="0"/>
          <w:marBottom w:val="0"/>
          <w:divBdr>
            <w:top w:val="none" w:sz="0" w:space="0" w:color="auto"/>
            <w:left w:val="none" w:sz="0" w:space="0" w:color="auto"/>
            <w:bottom w:val="none" w:sz="0" w:space="0" w:color="auto"/>
            <w:right w:val="none" w:sz="0" w:space="0" w:color="auto"/>
          </w:divBdr>
        </w:div>
        <w:div w:id="2024705588">
          <w:marLeft w:val="0"/>
          <w:marRight w:val="0"/>
          <w:marTop w:val="0"/>
          <w:marBottom w:val="0"/>
          <w:divBdr>
            <w:top w:val="none" w:sz="0" w:space="0" w:color="auto"/>
            <w:left w:val="none" w:sz="0" w:space="0" w:color="auto"/>
            <w:bottom w:val="none" w:sz="0" w:space="0" w:color="auto"/>
            <w:right w:val="none" w:sz="0" w:space="0" w:color="auto"/>
          </w:divBdr>
        </w:div>
        <w:div w:id="2024705589">
          <w:marLeft w:val="0"/>
          <w:marRight w:val="0"/>
          <w:marTop w:val="0"/>
          <w:marBottom w:val="0"/>
          <w:divBdr>
            <w:top w:val="none" w:sz="0" w:space="0" w:color="auto"/>
            <w:left w:val="none" w:sz="0" w:space="0" w:color="auto"/>
            <w:bottom w:val="none" w:sz="0" w:space="0" w:color="auto"/>
            <w:right w:val="none" w:sz="0" w:space="0" w:color="auto"/>
          </w:divBdr>
        </w:div>
        <w:div w:id="2024705590">
          <w:marLeft w:val="0"/>
          <w:marRight w:val="0"/>
          <w:marTop w:val="0"/>
          <w:marBottom w:val="0"/>
          <w:divBdr>
            <w:top w:val="none" w:sz="0" w:space="0" w:color="auto"/>
            <w:left w:val="none" w:sz="0" w:space="0" w:color="auto"/>
            <w:bottom w:val="none" w:sz="0" w:space="0" w:color="auto"/>
            <w:right w:val="none" w:sz="0" w:space="0" w:color="auto"/>
          </w:divBdr>
        </w:div>
        <w:div w:id="2024705591">
          <w:marLeft w:val="0"/>
          <w:marRight w:val="0"/>
          <w:marTop w:val="0"/>
          <w:marBottom w:val="0"/>
          <w:divBdr>
            <w:top w:val="none" w:sz="0" w:space="0" w:color="auto"/>
            <w:left w:val="none" w:sz="0" w:space="0" w:color="auto"/>
            <w:bottom w:val="none" w:sz="0" w:space="0" w:color="auto"/>
            <w:right w:val="none" w:sz="0" w:space="0" w:color="auto"/>
          </w:divBdr>
        </w:div>
        <w:div w:id="2024705592">
          <w:marLeft w:val="0"/>
          <w:marRight w:val="0"/>
          <w:marTop w:val="0"/>
          <w:marBottom w:val="0"/>
          <w:divBdr>
            <w:top w:val="none" w:sz="0" w:space="0" w:color="auto"/>
            <w:left w:val="none" w:sz="0" w:space="0" w:color="auto"/>
            <w:bottom w:val="none" w:sz="0" w:space="0" w:color="auto"/>
            <w:right w:val="none" w:sz="0" w:space="0" w:color="auto"/>
          </w:divBdr>
        </w:div>
        <w:div w:id="2024705593">
          <w:marLeft w:val="0"/>
          <w:marRight w:val="0"/>
          <w:marTop w:val="0"/>
          <w:marBottom w:val="0"/>
          <w:divBdr>
            <w:top w:val="none" w:sz="0" w:space="0" w:color="auto"/>
            <w:left w:val="none" w:sz="0" w:space="0" w:color="auto"/>
            <w:bottom w:val="none" w:sz="0" w:space="0" w:color="auto"/>
            <w:right w:val="none" w:sz="0" w:space="0" w:color="auto"/>
          </w:divBdr>
        </w:div>
        <w:div w:id="2024705594">
          <w:marLeft w:val="0"/>
          <w:marRight w:val="0"/>
          <w:marTop w:val="0"/>
          <w:marBottom w:val="0"/>
          <w:divBdr>
            <w:top w:val="none" w:sz="0" w:space="0" w:color="auto"/>
            <w:left w:val="none" w:sz="0" w:space="0" w:color="auto"/>
            <w:bottom w:val="none" w:sz="0" w:space="0" w:color="auto"/>
            <w:right w:val="none" w:sz="0" w:space="0" w:color="auto"/>
          </w:divBdr>
        </w:div>
        <w:div w:id="2024705595">
          <w:marLeft w:val="0"/>
          <w:marRight w:val="0"/>
          <w:marTop w:val="0"/>
          <w:marBottom w:val="0"/>
          <w:divBdr>
            <w:top w:val="none" w:sz="0" w:space="0" w:color="auto"/>
            <w:left w:val="none" w:sz="0" w:space="0" w:color="auto"/>
            <w:bottom w:val="none" w:sz="0" w:space="0" w:color="auto"/>
            <w:right w:val="none" w:sz="0" w:space="0" w:color="auto"/>
          </w:divBdr>
        </w:div>
        <w:div w:id="2024705596">
          <w:marLeft w:val="0"/>
          <w:marRight w:val="0"/>
          <w:marTop w:val="0"/>
          <w:marBottom w:val="0"/>
          <w:divBdr>
            <w:top w:val="none" w:sz="0" w:space="0" w:color="auto"/>
            <w:left w:val="none" w:sz="0" w:space="0" w:color="auto"/>
            <w:bottom w:val="none" w:sz="0" w:space="0" w:color="auto"/>
            <w:right w:val="none" w:sz="0" w:space="0" w:color="auto"/>
          </w:divBdr>
        </w:div>
        <w:div w:id="2024705597">
          <w:marLeft w:val="0"/>
          <w:marRight w:val="0"/>
          <w:marTop w:val="0"/>
          <w:marBottom w:val="0"/>
          <w:divBdr>
            <w:top w:val="none" w:sz="0" w:space="0" w:color="auto"/>
            <w:left w:val="none" w:sz="0" w:space="0" w:color="auto"/>
            <w:bottom w:val="none" w:sz="0" w:space="0" w:color="auto"/>
            <w:right w:val="none" w:sz="0" w:space="0" w:color="auto"/>
          </w:divBdr>
        </w:div>
        <w:div w:id="2024705598">
          <w:marLeft w:val="0"/>
          <w:marRight w:val="0"/>
          <w:marTop w:val="0"/>
          <w:marBottom w:val="0"/>
          <w:divBdr>
            <w:top w:val="none" w:sz="0" w:space="0" w:color="auto"/>
            <w:left w:val="none" w:sz="0" w:space="0" w:color="auto"/>
            <w:bottom w:val="none" w:sz="0" w:space="0" w:color="auto"/>
            <w:right w:val="none" w:sz="0" w:space="0" w:color="auto"/>
          </w:divBdr>
        </w:div>
        <w:div w:id="2024705599">
          <w:marLeft w:val="0"/>
          <w:marRight w:val="0"/>
          <w:marTop w:val="0"/>
          <w:marBottom w:val="0"/>
          <w:divBdr>
            <w:top w:val="none" w:sz="0" w:space="0" w:color="auto"/>
            <w:left w:val="none" w:sz="0" w:space="0" w:color="auto"/>
            <w:bottom w:val="none" w:sz="0" w:space="0" w:color="auto"/>
            <w:right w:val="none" w:sz="0" w:space="0" w:color="auto"/>
          </w:divBdr>
        </w:div>
        <w:div w:id="2024705600">
          <w:marLeft w:val="0"/>
          <w:marRight w:val="0"/>
          <w:marTop w:val="0"/>
          <w:marBottom w:val="0"/>
          <w:divBdr>
            <w:top w:val="none" w:sz="0" w:space="0" w:color="auto"/>
            <w:left w:val="none" w:sz="0" w:space="0" w:color="auto"/>
            <w:bottom w:val="none" w:sz="0" w:space="0" w:color="auto"/>
            <w:right w:val="none" w:sz="0" w:space="0" w:color="auto"/>
          </w:divBdr>
        </w:div>
        <w:div w:id="2024705601">
          <w:marLeft w:val="0"/>
          <w:marRight w:val="0"/>
          <w:marTop w:val="0"/>
          <w:marBottom w:val="0"/>
          <w:divBdr>
            <w:top w:val="none" w:sz="0" w:space="0" w:color="auto"/>
            <w:left w:val="none" w:sz="0" w:space="0" w:color="auto"/>
            <w:bottom w:val="none" w:sz="0" w:space="0" w:color="auto"/>
            <w:right w:val="none" w:sz="0" w:space="0" w:color="auto"/>
          </w:divBdr>
        </w:div>
        <w:div w:id="2024705602">
          <w:marLeft w:val="0"/>
          <w:marRight w:val="0"/>
          <w:marTop w:val="0"/>
          <w:marBottom w:val="0"/>
          <w:divBdr>
            <w:top w:val="none" w:sz="0" w:space="0" w:color="auto"/>
            <w:left w:val="none" w:sz="0" w:space="0" w:color="auto"/>
            <w:bottom w:val="none" w:sz="0" w:space="0" w:color="auto"/>
            <w:right w:val="none" w:sz="0" w:space="0" w:color="auto"/>
          </w:divBdr>
        </w:div>
        <w:div w:id="2024705603">
          <w:marLeft w:val="0"/>
          <w:marRight w:val="0"/>
          <w:marTop w:val="0"/>
          <w:marBottom w:val="0"/>
          <w:divBdr>
            <w:top w:val="none" w:sz="0" w:space="0" w:color="auto"/>
            <w:left w:val="none" w:sz="0" w:space="0" w:color="auto"/>
            <w:bottom w:val="none" w:sz="0" w:space="0" w:color="auto"/>
            <w:right w:val="none" w:sz="0" w:space="0" w:color="auto"/>
          </w:divBdr>
        </w:div>
        <w:div w:id="2024705604">
          <w:marLeft w:val="0"/>
          <w:marRight w:val="0"/>
          <w:marTop w:val="0"/>
          <w:marBottom w:val="0"/>
          <w:divBdr>
            <w:top w:val="none" w:sz="0" w:space="0" w:color="auto"/>
            <w:left w:val="none" w:sz="0" w:space="0" w:color="auto"/>
            <w:bottom w:val="none" w:sz="0" w:space="0" w:color="auto"/>
            <w:right w:val="none" w:sz="0" w:space="0" w:color="auto"/>
          </w:divBdr>
        </w:div>
        <w:div w:id="2024705605">
          <w:marLeft w:val="0"/>
          <w:marRight w:val="0"/>
          <w:marTop w:val="0"/>
          <w:marBottom w:val="0"/>
          <w:divBdr>
            <w:top w:val="none" w:sz="0" w:space="0" w:color="auto"/>
            <w:left w:val="none" w:sz="0" w:space="0" w:color="auto"/>
            <w:bottom w:val="none" w:sz="0" w:space="0" w:color="auto"/>
            <w:right w:val="none" w:sz="0" w:space="0" w:color="auto"/>
          </w:divBdr>
        </w:div>
        <w:div w:id="2024705608">
          <w:marLeft w:val="0"/>
          <w:marRight w:val="0"/>
          <w:marTop w:val="0"/>
          <w:marBottom w:val="0"/>
          <w:divBdr>
            <w:top w:val="none" w:sz="0" w:space="0" w:color="auto"/>
            <w:left w:val="none" w:sz="0" w:space="0" w:color="auto"/>
            <w:bottom w:val="none" w:sz="0" w:space="0" w:color="auto"/>
            <w:right w:val="none" w:sz="0" w:space="0" w:color="auto"/>
          </w:divBdr>
        </w:div>
        <w:div w:id="2024705609">
          <w:marLeft w:val="0"/>
          <w:marRight w:val="0"/>
          <w:marTop w:val="0"/>
          <w:marBottom w:val="0"/>
          <w:divBdr>
            <w:top w:val="none" w:sz="0" w:space="0" w:color="auto"/>
            <w:left w:val="none" w:sz="0" w:space="0" w:color="auto"/>
            <w:bottom w:val="none" w:sz="0" w:space="0" w:color="auto"/>
            <w:right w:val="none" w:sz="0" w:space="0" w:color="auto"/>
          </w:divBdr>
        </w:div>
        <w:div w:id="2024705611">
          <w:marLeft w:val="0"/>
          <w:marRight w:val="0"/>
          <w:marTop w:val="0"/>
          <w:marBottom w:val="0"/>
          <w:divBdr>
            <w:top w:val="none" w:sz="0" w:space="0" w:color="auto"/>
            <w:left w:val="none" w:sz="0" w:space="0" w:color="auto"/>
            <w:bottom w:val="none" w:sz="0" w:space="0" w:color="auto"/>
            <w:right w:val="none" w:sz="0" w:space="0" w:color="auto"/>
          </w:divBdr>
        </w:div>
        <w:div w:id="2024705612">
          <w:marLeft w:val="0"/>
          <w:marRight w:val="0"/>
          <w:marTop w:val="0"/>
          <w:marBottom w:val="0"/>
          <w:divBdr>
            <w:top w:val="none" w:sz="0" w:space="0" w:color="auto"/>
            <w:left w:val="none" w:sz="0" w:space="0" w:color="auto"/>
            <w:bottom w:val="none" w:sz="0" w:space="0" w:color="auto"/>
            <w:right w:val="none" w:sz="0" w:space="0" w:color="auto"/>
          </w:divBdr>
        </w:div>
        <w:div w:id="2024705613">
          <w:marLeft w:val="0"/>
          <w:marRight w:val="0"/>
          <w:marTop w:val="0"/>
          <w:marBottom w:val="0"/>
          <w:divBdr>
            <w:top w:val="none" w:sz="0" w:space="0" w:color="auto"/>
            <w:left w:val="none" w:sz="0" w:space="0" w:color="auto"/>
            <w:bottom w:val="none" w:sz="0" w:space="0" w:color="auto"/>
            <w:right w:val="none" w:sz="0" w:space="0" w:color="auto"/>
          </w:divBdr>
        </w:div>
        <w:div w:id="2024705614">
          <w:marLeft w:val="0"/>
          <w:marRight w:val="0"/>
          <w:marTop w:val="0"/>
          <w:marBottom w:val="0"/>
          <w:divBdr>
            <w:top w:val="none" w:sz="0" w:space="0" w:color="auto"/>
            <w:left w:val="none" w:sz="0" w:space="0" w:color="auto"/>
            <w:bottom w:val="none" w:sz="0" w:space="0" w:color="auto"/>
            <w:right w:val="none" w:sz="0" w:space="0" w:color="auto"/>
          </w:divBdr>
        </w:div>
        <w:div w:id="2024705615">
          <w:marLeft w:val="0"/>
          <w:marRight w:val="0"/>
          <w:marTop w:val="0"/>
          <w:marBottom w:val="0"/>
          <w:divBdr>
            <w:top w:val="none" w:sz="0" w:space="0" w:color="auto"/>
            <w:left w:val="none" w:sz="0" w:space="0" w:color="auto"/>
            <w:bottom w:val="none" w:sz="0" w:space="0" w:color="auto"/>
            <w:right w:val="none" w:sz="0" w:space="0" w:color="auto"/>
          </w:divBdr>
        </w:div>
        <w:div w:id="2024705616">
          <w:marLeft w:val="0"/>
          <w:marRight w:val="0"/>
          <w:marTop w:val="0"/>
          <w:marBottom w:val="0"/>
          <w:divBdr>
            <w:top w:val="none" w:sz="0" w:space="0" w:color="auto"/>
            <w:left w:val="none" w:sz="0" w:space="0" w:color="auto"/>
            <w:bottom w:val="none" w:sz="0" w:space="0" w:color="auto"/>
            <w:right w:val="none" w:sz="0" w:space="0" w:color="auto"/>
          </w:divBdr>
        </w:div>
        <w:div w:id="2024705617">
          <w:marLeft w:val="0"/>
          <w:marRight w:val="0"/>
          <w:marTop w:val="0"/>
          <w:marBottom w:val="0"/>
          <w:divBdr>
            <w:top w:val="none" w:sz="0" w:space="0" w:color="auto"/>
            <w:left w:val="none" w:sz="0" w:space="0" w:color="auto"/>
            <w:bottom w:val="none" w:sz="0" w:space="0" w:color="auto"/>
            <w:right w:val="none" w:sz="0" w:space="0" w:color="auto"/>
          </w:divBdr>
        </w:div>
        <w:div w:id="2024705618">
          <w:marLeft w:val="0"/>
          <w:marRight w:val="0"/>
          <w:marTop w:val="0"/>
          <w:marBottom w:val="0"/>
          <w:divBdr>
            <w:top w:val="none" w:sz="0" w:space="0" w:color="auto"/>
            <w:left w:val="none" w:sz="0" w:space="0" w:color="auto"/>
            <w:bottom w:val="none" w:sz="0" w:space="0" w:color="auto"/>
            <w:right w:val="none" w:sz="0" w:space="0" w:color="auto"/>
          </w:divBdr>
        </w:div>
        <w:div w:id="2024705619">
          <w:marLeft w:val="0"/>
          <w:marRight w:val="0"/>
          <w:marTop w:val="0"/>
          <w:marBottom w:val="0"/>
          <w:divBdr>
            <w:top w:val="none" w:sz="0" w:space="0" w:color="auto"/>
            <w:left w:val="none" w:sz="0" w:space="0" w:color="auto"/>
            <w:bottom w:val="none" w:sz="0" w:space="0" w:color="auto"/>
            <w:right w:val="none" w:sz="0" w:space="0" w:color="auto"/>
          </w:divBdr>
        </w:div>
        <w:div w:id="2024705620">
          <w:marLeft w:val="0"/>
          <w:marRight w:val="0"/>
          <w:marTop w:val="0"/>
          <w:marBottom w:val="0"/>
          <w:divBdr>
            <w:top w:val="none" w:sz="0" w:space="0" w:color="auto"/>
            <w:left w:val="none" w:sz="0" w:space="0" w:color="auto"/>
            <w:bottom w:val="none" w:sz="0" w:space="0" w:color="auto"/>
            <w:right w:val="none" w:sz="0" w:space="0" w:color="auto"/>
          </w:divBdr>
        </w:div>
        <w:div w:id="2024705621">
          <w:marLeft w:val="0"/>
          <w:marRight w:val="0"/>
          <w:marTop w:val="0"/>
          <w:marBottom w:val="0"/>
          <w:divBdr>
            <w:top w:val="none" w:sz="0" w:space="0" w:color="auto"/>
            <w:left w:val="none" w:sz="0" w:space="0" w:color="auto"/>
            <w:bottom w:val="none" w:sz="0" w:space="0" w:color="auto"/>
            <w:right w:val="none" w:sz="0" w:space="0" w:color="auto"/>
          </w:divBdr>
        </w:div>
        <w:div w:id="2024705622">
          <w:marLeft w:val="0"/>
          <w:marRight w:val="0"/>
          <w:marTop w:val="0"/>
          <w:marBottom w:val="0"/>
          <w:divBdr>
            <w:top w:val="none" w:sz="0" w:space="0" w:color="auto"/>
            <w:left w:val="none" w:sz="0" w:space="0" w:color="auto"/>
            <w:bottom w:val="none" w:sz="0" w:space="0" w:color="auto"/>
            <w:right w:val="none" w:sz="0" w:space="0" w:color="auto"/>
          </w:divBdr>
        </w:div>
        <w:div w:id="2024705623">
          <w:marLeft w:val="0"/>
          <w:marRight w:val="0"/>
          <w:marTop w:val="0"/>
          <w:marBottom w:val="0"/>
          <w:divBdr>
            <w:top w:val="none" w:sz="0" w:space="0" w:color="auto"/>
            <w:left w:val="none" w:sz="0" w:space="0" w:color="auto"/>
            <w:bottom w:val="none" w:sz="0" w:space="0" w:color="auto"/>
            <w:right w:val="none" w:sz="0" w:space="0" w:color="auto"/>
          </w:divBdr>
        </w:div>
        <w:div w:id="2024705624">
          <w:marLeft w:val="0"/>
          <w:marRight w:val="0"/>
          <w:marTop w:val="0"/>
          <w:marBottom w:val="0"/>
          <w:divBdr>
            <w:top w:val="none" w:sz="0" w:space="0" w:color="auto"/>
            <w:left w:val="none" w:sz="0" w:space="0" w:color="auto"/>
            <w:bottom w:val="none" w:sz="0" w:space="0" w:color="auto"/>
            <w:right w:val="none" w:sz="0" w:space="0" w:color="auto"/>
          </w:divBdr>
        </w:div>
        <w:div w:id="2024705625">
          <w:marLeft w:val="0"/>
          <w:marRight w:val="0"/>
          <w:marTop w:val="0"/>
          <w:marBottom w:val="0"/>
          <w:divBdr>
            <w:top w:val="none" w:sz="0" w:space="0" w:color="auto"/>
            <w:left w:val="none" w:sz="0" w:space="0" w:color="auto"/>
            <w:bottom w:val="none" w:sz="0" w:space="0" w:color="auto"/>
            <w:right w:val="none" w:sz="0" w:space="0" w:color="auto"/>
          </w:divBdr>
        </w:div>
        <w:div w:id="2024705627">
          <w:marLeft w:val="0"/>
          <w:marRight w:val="0"/>
          <w:marTop w:val="0"/>
          <w:marBottom w:val="0"/>
          <w:divBdr>
            <w:top w:val="none" w:sz="0" w:space="0" w:color="auto"/>
            <w:left w:val="none" w:sz="0" w:space="0" w:color="auto"/>
            <w:bottom w:val="none" w:sz="0" w:space="0" w:color="auto"/>
            <w:right w:val="none" w:sz="0" w:space="0" w:color="auto"/>
          </w:divBdr>
        </w:div>
        <w:div w:id="2024705629">
          <w:marLeft w:val="0"/>
          <w:marRight w:val="0"/>
          <w:marTop w:val="0"/>
          <w:marBottom w:val="0"/>
          <w:divBdr>
            <w:top w:val="none" w:sz="0" w:space="0" w:color="auto"/>
            <w:left w:val="none" w:sz="0" w:space="0" w:color="auto"/>
            <w:bottom w:val="none" w:sz="0" w:space="0" w:color="auto"/>
            <w:right w:val="none" w:sz="0" w:space="0" w:color="auto"/>
          </w:divBdr>
        </w:div>
        <w:div w:id="2024705630">
          <w:marLeft w:val="0"/>
          <w:marRight w:val="0"/>
          <w:marTop w:val="0"/>
          <w:marBottom w:val="0"/>
          <w:divBdr>
            <w:top w:val="none" w:sz="0" w:space="0" w:color="auto"/>
            <w:left w:val="none" w:sz="0" w:space="0" w:color="auto"/>
            <w:bottom w:val="none" w:sz="0" w:space="0" w:color="auto"/>
            <w:right w:val="none" w:sz="0" w:space="0" w:color="auto"/>
          </w:divBdr>
        </w:div>
        <w:div w:id="2024705631">
          <w:marLeft w:val="0"/>
          <w:marRight w:val="0"/>
          <w:marTop w:val="0"/>
          <w:marBottom w:val="0"/>
          <w:divBdr>
            <w:top w:val="none" w:sz="0" w:space="0" w:color="auto"/>
            <w:left w:val="none" w:sz="0" w:space="0" w:color="auto"/>
            <w:bottom w:val="none" w:sz="0" w:space="0" w:color="auto"/>
            <w:right w:val="none" w:sz="0" w:space="0" w:color="auto"/>
          </w:divBdr>
        </w:div>
        <w:div w:id="2024705632">
          <w:marLeft w:val="0"/>
          <w:marRight w:val="0"/>
          <w:marTop w:val="0"/>
          <w:marBottom w:val="0"/>
          <w:divBdr>
            <w:top w:val="none" w:sz="0" w:space="0" w:color="auto"/>
            <w:left w:val="none" w:sz="0" w:space="0" w:color="auto"/>
            <w:bottom w:val="none" w:sz="0" w:space="0" w:color="auto"/>
            <w:right w:val="none" w:sz="0" w:space="0" w:color="auto"/>
          </w:divBdr>
        </w:div>
        <w:div w:id="2024705633">
          <w:marLeft w:val="0"/>
          <w:marRight w:val="0"/>
          <w:marTop w:val="0"/>
          <w:marBottom w:val="0"/>
          <w:divBdr>
            <w:top w:val="none" w:sz="0" w:space="0" w:color="auto"/>
            <w:left w:val="none" w:sz="0" w:space="0" w:color="auto"/>
            <w:bottom w:val="none" w:sz="0" w:space="0" w:color="auto"/>
            <w:right w:val="none" w:sz="0" w:space="0" w:color="auto"/>
          </w:divBdr>
        </w:div>
        <w:div w:id="2024705634">
          <w:marLeft w:val="0"/>
          <w:marRight w:val="0"/>
          <w:marTop w:val="0"/>
          <w:marBottom w:val="0"/>
          <w:divBdr>
            <w:top w:val="none" w:sz="0" w:space="0" w:color="auto"/>
            <w:left w:val="none" w:sz="0" w:space="0" w:color="auto"/>
            <w:bottom w:val="none" w:sz="0" w:space="0" w:color="auto"/>
            <w:right w:val="none" w:sz="0" w:space="0" w:color="auto"/>
          </w:divBdr>
        </w:div>
        <w:div w:id="2024705635">
          <w:marLeft w:val="0"/>
          <w:marRight w:val="0"/>
          <w:marTop w:val="0"/>
          <w:marBottom w:val="0"/>
          <w:divBdr>
            <w:top w:val="none" w:sz="0" w:space="0" w:color="auto"/>
            <w:left w:val="none" w:sz="0" w:space="0" w:color="auto"/>
            <w:bottom w:val="none" w:sz="0" w:space="0" w:color="auto"/>
            <w:right w:val="none" w:sz="0" w:space="0" w:color="auto"/>
          </w:divBdr>
        </w:div>
        <w:div w:id="2024705636">
          <w:marLeft w:val="0"/>
          <w:marRight w:val="0"/>
          <w:marTop w:val="0"/>
          <w:marBottom w:val="0"/>
          <w:divBdr>
            <w:top w:val="none" w:sz="0" w:space="0" w:color="auto"/>
            <w:left w:val="none" w:sz="0" w:space="0" w:color="auto"/>
            <w:bottom w:val="none" w:sz="0" w:space="0" w:color="auto"/>
            <w:right w:val="none" w:sz="0" w:space="0" w:color="auto"/>
          </w:divBdr>
        </w:div>
        <w:div w:id="2024705637">
          <w:marLeft w:val="0"/>
          <w:marRight w:val="0"/>
          <w:marTop w:val="0"/>
          <w:marBottom w:val="0"/>
          <w:divBdr>
            <w:top w:val="none" w:sz="0" w:space="0" w:color="auto"/>
            <w:left w:val="none" w:sz="0" w:space="0" w:color="auto"/>
            <w:bottom w:val="none" w:sz="0" w:space="0" w:color="auto"/>
            <w:right w:val="none" w:sz="0" w:space="0" w:color="auto"/>
          </w:divBdr>
        </w:div>
        <w:div w:id="2024705638">
          <w:marLeft w:val="0"/>
          <w:marRight w:val="0"/>
          <w:marTop w:val="0"/>
          <w:marBottom w:val="0"/>
          <w:divBdr>
            <w:top w:val="none" w:sz="0" w:space="0" w:color="auto"/>
            <w:left w:val="none" w:sz="0" w:space="0" w:color="auto"/>
            <w:bottom w:val="none" w:sz="0" w:space="0" w:color="auto"/>
            <w:right w:val="none" w:sz="0" w:space="0" w:color="auto"/>
          </w:divBdr>
        </w:div>
        <w:div w:id="2024705639">
          <w:marLeft w:val="0"/>
          <w:marRight w:val="0"/>
          <w:marTop w:val="0"/>
          <w:marBottom w:val="0"/>
          <w:divBdr>
            <w:top w:val="none" w:sz="0" w:space="0" w:color="auto"/>
            <w:left w:val="none" w:sz="0" w:space="0" w:color="auto"/>
            <w:bottom w:val="none" w:sz="0" w:space="0" w:color="auto"/>
            <w:right w:val="none" w:sz="0" w:space="0" w:color="auto"/>
          </w:divBdr>
        </w:div>
        <w:div w:id="2024705640">
          <w:marLeft w:val="0"/>
          <w:marRight w:val="0"/>
          <w:marTop w:val="0"/>
          <w:marBottom w:val="0"/>
          <w:divBdr>
            <w:top w:val="none" w:sz="0" w:space="0" w:color="auto"/>
            <w:left w:val="none" w:sz="0" w:space="0" w:color="auto"/>
            <w:bottom w:val="none" w:sz="0" w:space="0" w:color="auto"/>
            <w:right w:val="none" w:sz="0" w:space="0" w:color="auto"/>
          </w:divBdr>
        </w:div>
        <w:div w:id="2024705641">
          <w:marLeft w:val="0"/>
          <w:marRight w:val="0"/>
          <w:marTop w:val="0"/>
          <w:marBottom w:val="0"/>
          <w:divBdr>
            <w:top w:val="none" w:sz="0" w:space="0" w:color="auto"/>
            <w:left w:val="none" w:sz="0" w:space="0" w:color="auto"/>
            <w:bottom w:val="none" w:sz="0" w:space="0" w:color="auto"/>
            <w:right w:val="none" w:sz="0" w:space="0" w:color="auto"/>
          </w:divBdr>
        </w:div>
        <w:div w:id="2024705642">
          <w:marLeft w:val="0"/>
          <w:marRight w:val="0"/>
          <w:marTop w:val="0"/>
          <w:marBottom w:val="0"/>
          <w:divBdr>
            <w:top w:val="none" w:sz="0" w:space="0" w:color="auto"/>
            <w:left w:val="none" w:sz="0" w:space="0" w:color="auto"/>
            <w:bottom w:val="none" w:sz="0" w:space="0" w:color="auto"/>
            <w:right w:val="none" w:sz="0" w:space="0" w:color="auto"/>
          </w:divBdr>
        </w:div>
        <w:div w:id="2024705643">
          <w:marLeft w:val="0"/>
          <w:marRight w:val="0"/>
          <w:marTop w:val="0"/>
          <w:marBottom w:val="0"/>
          <w:divBdr>
            <w:top w:val="none" w:sz="0" w:space="0" w:color="auto"/>
            <w:left w:val="none" w:sz="0" w:space="0" w:color="auto"/>
            <w:bottom w:val="none" w:sz="0" w:space="0" w:color="auto"/>
            <w:right w:val="none" w:sz="0" w:space="0" w:color="auto"/>
          </w:divBdr>
        </w:div>
        <w:div w:id="2024705644">
          <w:marLeft w:val="0"/>
          <w:marRight w:val="0"/>
          <w:marTop w:val="0"/>
          <w:marBottom w:val="0"/>
          <w:divBdr>
            <w:top w:val="none" w:sz="0" w:space="0" w:color="auto"/>
            <w:left w:val="none" w:sz="0" w:space="0" w:color="auto"/>
            <w:bottom w:val="none" w:sz="0" w:space="0" w:color="auto"/>
            <w:right w:val="none" w:sz="0" w:space="0" w:color="auto"/>
          </w:divBdr>
        </w:div>
        <w:div w:id="2024705646">
          <w:marLeft w:val="0"/>
          <w:marRight w:val="0"/>
          <w:marTop w:val="0"/>
          <w:marBottom w:val="0"/>
          <w:divBdr>
            <w:top w:val="none" w:sz="0" w:space="0" w:color="auto"/>
            <w:left w:val="none" w:sz="0" w:space="0" w:color="auto"/>
            <w:bottom w:val="none" w:sz="0" w:space="0" w:color="auto"/>
            <w:right w:val="none" w:sz="0" w:space="0" w:color="auto"/>
          </w:divBdr>
        </w:div>
        <w:div w:id="2024705647">
          <w:marLeft w:val="0"/>
          <w:marRight w:val="0"/>
          <w:marTop w:val="0"/>
          <w:marBottom w:val="0"/>
          <w:divBdr>
            <w:top w:val="none" w:sz="0" w:space="0" w:color="auto"/>
            <w:left w:val="none" w:sz="0" w:space="0" w:color="auto"/>
            <w:bottom w:val="none" w:sz="0" w:space="0" w:color="auto"/>
            <w:right w:val="none" w:sz="0" w:space="0" w:color="auto"/>
          </w:divBdr>
        </w:div>
        <w:div w:id="2024705648">
          <w:marLeft w:val="0"/>
          <w:marRight w:val="0"/>
          <w:marTop w:val="0"/>
          <w:marBottom w:val="0"/>
          <w:divBdr>
            <w:top w:val="none" w:sz="0" w:space="0" w:color="auto"/>
            <w:left w:val="none" w:sz="0" w:space="0" w:color="auto"/>
            <w:bottom w:val="none" w:sz="0" w:space="0" w:color="auto"/>
            <w:right w:val="none" w:sz="0" w:space="0" w:color="auto"/>
          </w:divBdr>
        </w:div>
        <w:div w:id="2024705649">
          <w:marLeft w:val="0"/>
          <w:marRight w:val="0"/>
          <w:marTop w:val="0"/>
          <w:marBottom w:val="0"/>
          <w:divBdr>
            <w:top w:val="none" w:sz="0" w:space="0" w:color="auto"/>
            <w:left w:val="none" w:sz="0" w:space="0" w:color="auto"/>
            <w:bottom w:val="none" w:sz="0" w:space="0" w:color="auto"/>
            <w:right w:val="none" w:sz="0" w:space="0" w:color="auto"/>
          </w:divBdr>
        </w:div>
        <w:div w:id="2024705650">
          <w:marLeft w:val="0"/>
          <w:marRight w:val="0"/>
          <w:marTop w:val="0"/>
          <w:marBottom w:val="0"/>
          <w:divBdr>
            <w:top w:val="none" w:sz="0" w:space="0" w:color="auto"/>
            <w:left w:val="none" w:sz="0" w:space="0" w:color="auto"/>
            <w:bottom w:val="none" w:sz="0" w:space="0" w:color="auto"/>
            <w:right w:val="none" w:sz="0" w:space="0" w:color="auto"/>
          </w:divBdr>
        </w:div>
        <w:div w:id="2024705651">
          <w:marLeft w:val="0"/>
          <w:marRight w:val="0"/>
          <w:marTop w:val="0"/>
          <w:marBottom w:val="0"/>
          <w:divBdr>
            <w:top w:val="none" w:sz="0" w:space="0" w:color="auto"/>
            <w:left w:val="none" w:sz="0" w:space="0" w:color="auto"/>
            <w:bottom w:val="none" w:sz="0" w:space="0" w:color="auto"/>
            <w:right w:val="none" w:sz="0" w:space="0" w:color="auto"/>
          </w:divBdr>
        </w:div>
        <w:div w:id="2024705653">
          <w:marLeft w:val="0"/>
          <w:marRight w:val="0"/>
          <w:marTop w:val="0"/>
          <w:marBottom w:val="0"/>
          <w:divBdr>
            <w:top w:val="none" w:sz="0" w:space="0" w:color="auto"/>
            <w:left w:val="none" w:sz="0" w:space="0" w:color="auto"/>
            <w:bottom w:val="none" w:sz="0" w:space="0" w:color="auto"/>
            <w:right w:val="none" w:sz="0" w:space="0" w:color="auto"/>
          </w:divBdr>
        </w:div>
        <w:div w:id="2024705654">
          <w:marLeft w:val="0"/>
          <w:marRight w:val="0"/>
          <w:marTop w:val="0"/>
          <w:marBottom w:val="0"/>
          <w:divBdr>
            <w:top w:val="none" w:sz="0" w:space="0" w:color="auto"/>
            <w:left w:val="none" w:sz="0" w:space="0" w:color="auto"/>
            <w:bottom w:val="none" w:sz="0" w:space="0" w:color="auto"/>
            <w:right w:val="none" w:sz="0" w:space="0" w:color="auto"/>
          </w:divBdr>
        </w:div>
        <w:div w:id="2024705655">
          <w:marLeft w:val="0"/>
          <w:marRight w:val="0"/>
          <w:marTop w:val="0"/>
          <w:marBottom w:val="0"/>
          <w:divBdr>
            <w:top w:val="none" w:sz="0" w:space="0" w:color="auto"/>
            <w:left w:val="none" w:sz="0" w:space="0" w:color="auto"/>
            <w:bottom w:val="none" w:sz="0" w:space="0" w:color="auto"/>
            <w:right w:val="none" w:sz="0" w:space="0" w:color="auto"/>
          </w:divBdr>
        </w:div>
        <w:div w:id="2024705656">
          <w:marLeft w:val="0"/>
          <w:marRight w:val="0"/>
          <w:marTop w:val="0"/>
          <w:marBottom w:val="0"/>
          <w:divBdr>
            <w:top w:val="none" w:sz="0" w:space="0" w:color="auto"/>
            <w:left w:val="none" w:sz="0" w:space="0" w:color="auto"/>
            <w:bottom w:val="none" w:sz="0" w:space="0" w:color="auto"/>
            <w:right w:val="none" w:sz="0" w:space="0" w:color="auto"/>
          </w:divBdr>
        </w:div>
        <w:div w:id="2024705657">
          <w:marLeft w:val="0"/>
          <w:marRight w:val="0"/>
          <w:marTop w:val="0"/>
          <w:marBottom w:val="0"/>
          <w:divBdr>
            <w:top w:val="none" w:sz="0" w:space="0" w:color="auto"/>
            <w:left w:val="none" w:sz="0" w:space="0" w:color="auto"/>
            <w:bottom w:val="none" w:sz="0" w:space="0" w:color="auto"/>
            <w:right w:val="none" w:sz="0" w:space="0" w:color="auto"/>
          </w:divBdr>
        </w:div>
        <w:div w:id="2024705658">
          <w:marLeft w:val="0"/>
          <w:marRight w:val="0"/>
          <w:marTop w:val="0"/>
          <w:marBottom w:val="0"/>
          <w:divBdr>
            <w:top w:val="none" w:sz="0" w:space="0" w:color="auto"/>
            <w:left w:val="none" w:sz="0" w:space="0" w:color="auto"/>
            <w:bottom w:val="none" w:sz="0" w:space="0" w:color="auto"/>
            <w:right w:val="none" w:sz="0" w:space="0" w:color="auto"/>
          </w:divBdr>
        </w:div>
        <w:div w:id="2024705659">
          <w:marLeft w:val="0"/>
          <w:marRight w:val="0"/>
          <w:marTop w:val="0"/>
          <w:marBottom w:val="0"/>
          <w:divBdr>
            <w:top w:val="none" w:sz="0" w:space="0" w:color="auto"/>
            <w:left w:val="none" w:sz="0" w:space="0" w:color="auto"/>
            <w:bottom w:val="none" w:sz="0" w:space="0" w:color="auto"/>
            <w:right w:val="none" w:sz="0" w:space="0" w:color="auto"/>
          </w:divBdr>
        </w:div>
        <w:div w:id="2024705660">
          <w:marLeft w:val="0"/>
          <w:marRight w:val="0"/>
          <w:marTop w:val="0"/>
          <w:marBottom w:val="0"/>
          <w:divBdr>
            <w:top w:val="none" w:sz="0" w:space="0" w:color="auto"/>
            <w:left w:val="none" w:sz="0" w:space="0" w:color="auto"/>
            <w:bottom w:val="none" w:sz="0" w:space="0" w:color="auto"/>
            <w:right w:val="none" w:sz="0" w:space="0" w:color="auto"/>
          </w:divBdr>
        </w:div>
        <w:div w:id="2024705661">
          <w:marLeft w:val="0"/>
          <w:marRight w:val="0"/>
          <w:marTop w:val="0"/>
          <w:marBottom w:val="0"/>
          <w:divBdr>
            <w:top w:val="none" w:sz="0" w:space="0" w:color="auto"/>
            <w:left w:val="none" w:sz="0" w:space="0" w:color="auto"/>
            <w:bottom w:val="none" w:sz="0" w:space="0" w:color="auto"/>
            <w:right w:val="none" w:sz="0" w:space="0" w:color="auto"/>
          </w:divBdr>
        </w:div>
        <w:div w:id="2024705662">
          <w:marLeft w:val="0"/>
          <w:marRight w:val="0"/>
          <w:marTop w:val="0"/>
          <w:marBottom w:val="0"/>
          <w:divBdr>
            <w:top w:val="none" w:sz="0" w:space="0" w:color="auto"/>
            <w:left w:val="none" w:sz="0" w:space="0" w:color="auto"/>
            <w:bottom w:val="none" w:sz="0" w:space="0" w:color="auto"/>
            <w:right w:val="none" w:sz="0" w:space="0" w:color="auto"/>
          </w:divBdr>
        </w:div>
        <w:div w:id="2024705663">
          <w:marLeft w:val="0"/>
          <w:marRight w:val="0"/>
          <w:marTop w:val="0"/>
          <w:marBottom w:val="0"/>
          <w:divBdr>
            <w:top w:val="none" w:sz="0" w:space="0" w:color="auto"/>
            <w:left w:val="none" w:sz="0" w:space="0" w:color="auto"/>
            <w:bottom w:val="none" w:sz="0" w:space="0" w:color="auto"/>
            <w:right w:val="none" w:sz="0" w:space="0" w:color="auto"/>
          </w:divBdr>
        </w:div>
        <w:div w:id="2024705664">
          <w:marLeft w:val="0"/>
          <w:marRight w:val="0"/>
          <w:marTop w:val="0"/>
          <w:marBottom w:val="0"/>
          <w:divBdr>
            <w:top w:val="none" w:sz="0" w:space="0" w:color="auto"/>
            <w:left w:val="none" w:sz="0" w:space="0" w:color="auto"/>
            <w:bottom w:val="none" w:sz="0" w:space="0" w:color="auto"/>
            <w:right w:val="none" w:sz="0" w:space="0" w:color="auto"/>
          </w:divBdr>
        </w:div>
        <w:div w:id="2024705665">
          <w:marLeft w:val="0"/>
          <w:marRight w:val="0"/>
          <w:marTop w:val="0"/>
          <w:marBottom w:val="0"/>
          <w:divBdr>
            <w:top w:val="none" w:sz="0" w:space="0" w:color="auto"/>
            <w:left w:val="none" w:sz="0" w:space="0" w:color="auto"/>
            <w:bottom w:val="none" w:sz="0" w:space="0" w:color="auto"/>
            <w:right w:val="none" w:sz="0" w:space="0" w:color="auto"/>
          </w:divBdr>
        </w:div>
        <w:div w:id="2024705666">
          <w:marLeft w:val="0"/>
          <w:marRight w:val="0"/>
          <w:marTop w:val="0"/>
          <w:marBottom w:val="0"/>
          <w:divBdr>
            <w:top w:val="none" w:sz="0" w:space="0" w:color="auto"/>
            <w:left w:val="none" w:sz="0" w:space="0" w:color="auto"/>
            <w:bottom w:val="none" w:sz="0" w:space="0" w:color="auto"/>
            <w:right w:val="none" w:sz="0" w:space="0" w:color="auto"/>
          </w:divBdr>
        </w:div>
        <w:div w:id="2024705667">
          <w:marLeft w:val="0"/>
          <w:marRight w:val="0"/>
          <w:marTop w:val="0"/>
          <w:marBottom w:val="0"/>
          <w:divBdr>
            <w:top w:val="none" w:sz="0" w:space="0" w:color="auto"/>
            <w:left w:val="none" w:sz="0" w:space="0" w:color="auto"/>
            <w:bottom w:val="none" w:sz="0" w:space="0" w:color="auto"/>
            <w:right w:val="none" w:sz="0" w:space="0" w:color="auto"/>
          </w:divBdr>
        </w:div>
        <w:div w:id="2024705668">
          <w:marLeft w:val="0"/>
          <w:marRight w:val="0"/>
          <w:marTop w:val="0"/>
          <w:marBottom w:val="0"/>
          <w:divBdr>
            <w:top w:val="none" w:sz="0" w:space="0" w:color="auto"/>
            <w:left w:val="none" w:sz="0" w:space="0" w:color="auto"/>
            <w:bottom w:val="none" w:sz="0" w:space="0" w:color="auto"/>
            <w:right w:val="none" w:sz="0" w:space="0" w:color="auto"/>
          </w:divBdr>
        </w:div>
        <w:div w:id="2024705669">
          <w:marLeft w:val="0"/>
          <w:marRight w:val="0"/>
          <w:marTop w:val="0"/>
          <w:marBottom w:val="0"/>
          <w:divBdr>
            <w:top w:val="none" w:sz="0" w:space="0" w:color="auto"/>
            <w:left w:val="none" w:sz="0" w:space="0" w:color="auto"/>
            <w:bottom w:val="none" w:sz="0" w:space="0" w:color="auto"/>
            <w:right w:val="none" w:sz="0" w:space="0" w:color="auto"/>
          </w:divBdr>
        </w:div>
        <w:div w:id="2024705670">
          <w:marLeft w:val="0"/>
          <w:marRight w:val="0"/>
          <w:marTop w:val="0"/>
          <w:marBottom w:val="0"/>
          <w:divBdr>
            <w:top w:val="none" w:sz="0" w:space="0" w:color="auto"/>
            <w:left w:val="none" w:sz="0" w:space="0" w:color="auto"/>
            <w:bottom w:val="none" w:sz="0" w:space="0" w:color="auto"/>
            <w:right w:val="none" w:sz="0" w:space="0" w:color="auto"/>
          </w:divBdr>
        </w:div>
        <w:div w:id="2024705671">
          <w:marLeft w:val="0"/>
          <w:marRight w:val="0"/>
          <w:marTop w:val="0"/>
          <w:marBottom w:val="0"/>
          <w:divBdr>
            <w:top w:val="none" w:sz="0" w:space="0" w:color="auto"/>
            <w:left w:val="none" w:sz="0" w:space="0" w:color="auto"/>
            <w:bottom w:val="none" w:sz="0" w:space="0" w:color="auto"/>
            <w:right w:val="none" w:sz="0" w:space="0" w:color="auto"/>
          </w:divBdr>
        </w:div>
        <w:div w:id="2024705672">
          <w:marLeft w:val="0"/>
          <w:marRight w:val="0"/>
          <w:marTop w:val="0"/>
          <w:marBottom w:val="0"/>
          <w:divBdr>
            <w:top w:val="none" w:sz="0" w:space="0" w:color="auto"/>
            <w:left w:val="none" w:sz="0" w:space="0" w:color="auto"/>
            <w:bottom w:val="none" w:sz="0" w:space="0" w:color="auto"/>
            <w:right w:val="none" w:sz="0" w:space="0" w:color="auto"/>
          </w:divBdr>
        </w:div>
        <w:div w:id="2024705673">
          <w:marLeft w:val="0"/>
          <w:marRight w:val="0"/>
          <w:marTop w:val="0"/>
          <w:marBottom w:val="0"/>
          <w:divBdr>
            <w:top w:val="none" w:sz="0" w:space="0" w:color="auto"/>
            <w:left w:val="none" w:sz="0" w:space="0" w:color="auto"/>
            <w:bottom w:val="none" w:sz="0" w:space="0" w:color="auto"/>
            <w:right w:val="none" w:sz="0" w:space="0" w:color="auto"/>
          </w:divBdr>
        </w:div>
        <w:div w:id="2024705674">
          <w:marLeft w:val="0"/>
          <w:marRight w:val="0"/>
          <w:marTop w:val="0"/>
          <w:marBottom w:val="0"/>
          <w:divBdr>
            <w:top w:val="none" w:sz="0" w:space="0" w:color="auto"/>
            <w:left w:val="none" w:sz="0" w:space="0" w:color="auto"/>
            <w:bottom w:val="none" w:sz="0" w:space="0" w:color="auto"/>
            <w:right w:val="none" w:sz="0" w:space="0" w:color="auto"/>
          </w:divBdr>
        </w:div>
        <w:div w:id="2024705675">
          <w:marLeft w:val="0"/>
          <w:marRight w:val="0"/>
          <w:marTop w:val="0"/>
          <w:marBottom w:val="0"/>
          <w:divBdr>
            <w:top w:val="none" w:sz="0" w:space="0" w:color="auto"/>
            <w:left w:val="none" w:sz="0" w:space="0" w:color="auto"/>
            <w:bottom w:val="none" w:sz="0" w:space="0" w:color="auto"/>
            <w:right w:val="none" w:sz="0" w:space="0" w:color="auto"/>
          </w:divBdr>
        </w:div>
        <w:div w:id="2024705676">
          <w:marLeft w:val="0"/>
          <w:marRight w:val="0"/>
          <w:marTop w:val="0"/>
          <w:marBottom w:val="0"/>
          <w:divBdr>
            <w:top w:val="none" w:sz="0" w:space="0" w:color="auto"/>
            <w:left w:val="none" w:sz="0" w:space="0" w:color="auto"/>
            <w:bottom w:val="none" w:sz="0" w:space="0" w:color="auto"/>
            <w:right w:val="none" w:sz="0" w:space="0" w:color="auto"/>
          </w:divBdr>
        </w:div>
        <w:div w:id="2024705677">
          <w:marLeft w:val="0"/>
          <w:marRight w:val="0"/>
          <w:marTop w:val="0"/>
          <w:marBottom w:val="0"/>
          <w:divBdr>
            <w:top w:val="none" w:sz="0" w:space="0" w:color="auto"/>
            <w:left w:val="none" w:sz="0" w:space="0" w:color="auto"/>
            <w:bottom w:val="none" w:sz="0" w:space="0" w:color="auto"/>
            <w:right w:val="none" w:sz="0" w:space="0" w:color="auto"/>
          </w:divBdr>
        </w:div>
        <w:div w:id="2024705678">
          <w:marLeft w:val="0"/>
          <w:marRight w:val="0"/>
          <w:marTop w:val="0"/>
          <w:marBottom w:val="0"/>
          <w:divBdr>
            <w:top w:val="none" w:sz="0" w:space="0" w:color="auto"/>
            <w:left w:val="none" w:sz="0" w:space="0" w:color="auto"/>
            <w:bottom w:val="none" w:sz="0" w:space="0" w:color="auto"/>
            <w:right w:val="none" w:sz="0" w:space="0" w:color="auto"/>
          </w:divBdr>
        </w:div>
        <w:div w:id="2024705679">
          <w:marLeft w:val="0"/>
          <w:marRight w:val="0"/>
          <w:marTop w:val="0"/>
          <w:marBottom w:val="0"/>
          <w:divBdr>
            <w:top w:val="none" w:sz="0" w:space="0" w:color="auto"/>
            <w:left w:val="none" w:sz="0" w:space="0" w:color="auto"/>
            <w:bottom w:val="none" w:sz="0" w:space="0" w:color="auto"/>
            <w:right w:val="none" w:sz="0" w:space="0" w:color="auto"/>
          </w:divBdr>
        </w:div>
        <w:div w:id="2024705680">
          <w:marLeft w:val="0"/>
          <w:marRight w:val="0"/>
          <w:marTop w:val="0"/>
          <w:marBottom w:val="0"/>
          <w:divBdr>
            <w:top w:val="none" w:sz="0" w:space="0" w:color="auto"/>
            <w:left w:val="none" w:sz="0" w:space="0" w:color="auto"/>
            <w:bottom w:val="none" w:sz="0" w:space="0" w:color="auto"/>
            <w:right w:val="none" w:sz="0" w:space="0" w:color="auto"/>
          </w:divBdr>
        </w:div>
        <w:div w:id="2024705681">
          <w:marLeft w:val="0"/>
          <w:marRight w:val="0"/>
          <w:marTop w:val="0"/>
          <w:marBottom w:val="0"/>
          <w:divBdr>
            <w:top w:val="none" w:sz="0" w:space="0" w:color="auto"/>
            <w:left w:val="none" w:sz="0" w:space="0" w:color="auto"/>
            <w:bottom w:val="none" w:sz="0" w:space="0" w:color="auto"/>
            <w:right w:val="none" w:sz="0" w:space="0" w:color="auto"/>
          </w:divBdr>
        </w:div>
        <w:div w:id="2024705682">
          <w:marLeft w:val="0"/>
          <w:marRight w:val="0"/>
          <w:marTop w:val="0"/>
          <w:marBottom w:val="0"/>
          <w:divBdr>
            <w:top w:val="none" w:sz="0" w:space="0" w:color="auto"/>
            <w:left w:val="none" w:sz="0" w:space="0" w:color="auto"/>
            <w:bottom w:val="none" w:sz="0" w:space="0" w:color="auto"/>
            <w:right w:val="none" w:sz="0" w:space="0" w:color="auto"/>
          </w:divBdr>
        </w:div>
        <w:div w:id="2024705683">
          <w:marLeft w:val="0"/>
          <w:marRight w:val="0"/>
          <w:marTop w:val="0"/>
          <w:marBottom w:val="0"/>
          <w:divBdr>
            <w:top w:val="none" w:sz="0" w:space="0" w:color="auto"/>
            <w:left w:val="none" w:sz="0" w:space="0" w:color="auto"/>
            <w:bottom w:val="none" w:sz="0" w:space="0" w:color="auto"/>
            <w:right w:val="none" w:sz="0" w:space="0" w:color="auto"/>
          </w:divBdr>
        </w:div>
        <w:div w:id="2024705684">
          <w:marLeft w:val="0"/>
          <w:marRight w:val="0"/>
          <w:marTop w:val="0"/>
          <w:marBottom w:val="0"/>
          <w:divBdr>
            <w:top w:val="none" w:sz="0" w:space="0" w:color="auto"/>
            <w:left w:val="none" w:sz="0" w:space="0" w:color="auto"/>
            <w:bottom w:val="none" w:sz="0" w:space="0" w:color="auto"/>
            <w:right w:val="none" w:sz="0" w:space="0" w:color="auto"/>
          </w:divBdr>
        </w:div>
        <w:div w:id="2024705685">
          <w:marLeft w:val="0"/>
          <w:marRight w:val="0"/>
          <w:marTop w:val="0"/>
          <w:marBottom w:val="0"/>
          <w:divBdr>
            <w:top w:val="none" w:sz="0" w:space="0" w:color="auto"/>
            <w:left w:val="none" w:sz="0" w:space="0" w:color="auto"/>
            <w:bottom w:val="none" w:sz="0" w:space="0" w:color="auto"/>
            <w:right w:val="none" w:sz="0" w:space="0" w:color="auto"/>
          </w:divBdr>
        </w:div>
        <w:div w:id="2024705686">
          <w:marLeft w:val="0"/>
          <w:marRight w:val="0"/>
          <w:marTop w:val="0"/>
          <w:marBottom w:val="0"/>
          <w:divBdr>
            <w:top w:val="none" w:sz="0" w:space="0" w:color="auto"/>
            <w:left w:val="none" w:sz="0" w:space="0" w:color="auto"/>
            <w:bottom w:val="none" w:sz="0" w:space="0" w:color="auto"/>
            <w:right w:val="none" w:sz="0" w:space="0" w:color="auto"/>
          </w:divBdr>
        </w:div>
        <w:div w:id="2024705687">
          <w:marLeft w:val="0"/>
          <w:marRight w:val="0"/>
          <w:marTop w:val="0"/>
          <w:marBottom w:val="0"/>
          <w:divBdr>
            <w:top w:val="none" w:sz="0" w:space="0" w:color="auto"/>
            <w:left w:val="none" w:sz="0" w:space="0" w:color="auto"/>
            <w:bottom w:val="none" w:sz="0" w:space="0" w:color="auto"/>
            <w:right w:val="none" w:sz="0" w:space="0" w:color="auto"/>
          </w:divBdr>
        </w:div>
        <w:div w:id="2024705688">
          <w:marLeft w:val="0"/>
          <w:marRight w:val="0"/>
          <w:marTop w:val="0"/>
          <w:marBottom w:val="0"/>
          <w:divBdr>
            <w:top w:val="none" w:sz="0" w:space="0" w:color="auto"/>
            <w:left w:val="none" w:sz="0" w:space="0" w:color="auto"/>
            <w:bottom w:val="none" w:sz="0" w:space="0" w:color="auto"/>
            <w:right w:val="none" w:sz="0" w:space="0" w:color="auto"/>
          </w:divBdr>
        </w:div>
        <w:div w:id="2024705689">
          <w:marLeft w:val="0"/>
          <w:marRight w:val="0"/>
          <w:marTop w:val="0"/>
          <w:marBottom w:val="0"/>
          <w:divBdr>
            <w:top w:val="none" w:sz="0" w:space="0" w:color="auto"/>
            <w:left w:val="none" w:sz="0" w:space="0" w:color="auto"/>
            <w:bottom w:val="none" w:sz="0" w:space="0" w:color="auto"/>
            <w:right w:val="none" w:sz="0" w:space="0" w:color="auto"/>
          </w:divBdr>
        </w:div>
        <w:div w:id="2024705690">
          <w:marLeft w:val="0"/>
          <w:marRight w:val="0"/>
          <w:marTop w:val="0"/>
          <w:marBottom w:val="0"/>
          <w:divBdr>
            <w:top w:val="none" w:sz="0" w:space="0" w:color="auto"/>
            <w:left w:val="none" w:sz="0" w:space="0" w:color="auto"/>
            <w:bottom w:val="none" w:sz="0" w:space="0" w:color="auto"/>
            <w:right w:val="none" w:sz="0" w:space="0" w:color="auto"/>
          </w:divBdr>
        </w:div>
        <w:div w:id="2024705692">
          <w:marLeft w:val="0"/>
          <w:marRight w:val="0"/>
          <w:marTop w:val="0"/>
          <w:marBottom w:val="0"/>
          <w:divBdr>
            <w:top w:val="none" w:sz="0" w:space="0" w:color="auto"/>
            <w:left w:val="none" w:sz="0" w:space="0" w:color="auto"/>
            <w:bottom w:val="none" w:sz="0" w:space="0" w:color="auto"/>
            <w:right w:val="none" w:sz="0" w:space="0" w:color="auto"/>
          </w:divBdr>
        </w:div>
        <w:div w:id="2024705693">
          <w:marLeft w:val="0"/>
          <w:marRight w:val="0"/>
          <w:marTop w:val="0"/>
          <w:marBottom w:val="0"/>
          <w:divBdr>
            <w:top w:val="none" w:sz="0" w:space="0" w:color="auto"/>
            <w:left w:val="none" w:sz="0" w:space="0" w:color="auto"/>
            <w:bottom w:val="none" w:sz="0" w:space="0" w:color="auto"/>
            <w:right w:val="none" w:sz="0" w:space="0" w:color="auto"/>
          </w:divBdr>
        </w:div>
        <w:div w:id="2024705694">
          <w:marLeft w:val="0"/>
          <w:marRight w:val="0"/>
          <w:marTop w:val="0"/>
          <w:marBottom w:val="0"/>
          <w:divBdr>
            <w:top w:val="none" w:sz="0" w:space="0" w:color="auto"/>
            <w:left w:val="none" w:sz="0" w:space="0" w:color="auto"/>
            <w:bottom w:val="none" w:sz="0" w:space="0" w:color="auto"/>
            <w:right w:val="none" w:sz="0" w:space="0" w:color="auto"/>
          </w:divBdr>
        </w:div>
        <w:div w:id="2024705695">
          <w:marLeft w:val="0"/>
          <w:marRight w:val="0"/>
          <w:marTop w:val="0"/>
          <w:marBottom w:val="0"/>
          <w:divBdr>
            <w:top w:val="none" w:sz="0" w:space="0" w:color="auto"/>
            <w:left w:val="none" w:sz="0" w:space="0" w:color="auto"/>
            <w:bottom w:val="none" w:sz="0" w:space="0" w:color="auto"/>
            <w:right w:val="none" w:sz="0" w:space="0" w:color="auto"/>
          </w:divBdr>
        </w:div>
        <w:div w:id="2024705696">
          <w:marLeft w:val="0"/>
          <w:marRight w:val="0"/>
          <w:marTop w:val="0"/>
          <w:marBottom w:val="0"/>
          <w:divBdr>
            <w:top w:val="none" w:sz="0" w:space="0" w:color="auto"/>
            <w:left w:val="none" w:sz="0" w:space="0" w:color="auto"/>
            <w:bottom w:val="none" w:sz="0" w:space="0" w:color="auto"/>
            <w:right w:val="none" w:sz="0" w:space="0" w:color="auto"/>
          </w:divBdr>
        </w:div>
        <w:div w:id="2024705697">
          <w:marLeft w:val="0"/>
          <w:marRight w:val="0"/>
          <w:marTop w:val="0"/>
          <w:marBottom w:val="0"/>
          <w:divBdr>
            <w:top w:val="none" w:sz="0" w:space="0" w:color="auto"/>
            <w:left w:val="none" w:sz="0" w:space="0" w:color="auto"/>
            <w:bottom w:val="none" w:sz="0" w:space="0" w:color="auto"/>
            <w:right w:val="none" w:sz="0" w:space="0" w:color="auto"/>
          </w:divBdr>
        </w:div>
        <w:div w:id="2024705698">
          <w:marLeft w:val="0"/>
          <w:marRight w:val="0"/>
          <w:marTop w:val="0"/>
          <w:marBottom w:val="0"/>
          <w:divBdr>
            <w:top w:val="none" w:sz="0" w:space="0" w:color="auto"/>
            <w:left w:val="none" w:sz="0" w:space="0" w:color="auto"/>
            <w:bottom w:val="none" w:sz="0" w:space="0" w:color="auto"/>
            <w:right w:val="none" w:sz="0" w:space="0" w:color="auto"/>
          </w:divBdr>
        </w:div>
        <w:div w:id="2024705699">
          <w:marLeft w:val="0"/>
          <w:marRight w:val="0"/>
          <w:marTop w:val="0"/>
          <w:marBottom w:val="0"/>
          <w:divBdr>
            <w:top w:val="none" w:sz="0" w:space="0" w:color="auto"/>
            <w:left w:val="none" w:sz="0" w:space="0" w:color="auto"/>
            <w:bottom w:val="none" w:sz="0" w:space="0" w:color="auto"/>
            <w:right w:val="none" w:sz="0" w:space="0" w:color="auto"/>
          </w:divBdr>
        </w:div>
        <w:div w:id="2024705700">
          <w:marLeft w:val="0"/>
          <w:marRight w:val="0"/>
          <w:marTop w:val="0"/>
          <w:marBottom w:val="0"/>
          <w:divBdr>
            <w:top w:val="none" w:sz="0" w:space="0" w:color="auto"/>
            <w:left w:val="none" w:sz="0" w:space="0" w:color="auto"/>
            <w:bottom w:val="none" w:sz="0" w:space="0" w:color="auto"/>
            <w:right w:val="none" w:sz="0" w:space="0" w:color="auto"/>
          </w:divBdr>
        </w:div>
        <w:div w:id="2024705701">
          <w:marLeft w:val="0"/>
          <w:marRight w:val="0"/>
          <w:marTop w:val="0"/>
          <w:marBottom w:val="0"/>
          <w:divBdr>
            <w:top w:val="none" w:sz="0" w:space="0" w:color="auto"/>
            <w:left w:val="none" w:sz="0" w:space="0" w:color="auto"/>
            <w:bottom w:val="none" w:sz="0" w:space="0" w:color="auto"/>
            <w:right w:val="none" w:sz="0" w:space="0" w:color="auto"/>
          </w:divBdr>
        </w:div>
        <w:div w:id="2024705702">
          <w:marLeft w:val="0"/>
          <w:marRight w:val="0"/>
          <w:marTop w:val="0"/>
          <w:marBottom w:val="0"/>
          <w:divBdr>
            <w:top w:val="none" w:sz="0" w:space="0" w:color="auto"/>
            <w:left w:val="none" w:sz="0" w:space="0" w:color="auto"/>
            <w:bottom w:val="none" w:sz="0" w:space="0" w:color="auto"/>
            <w:right w:val="none" w:sz="0" w:space="0" w:color="auto"/>
          </w:divBdr>
        </w:div>
        <w:div w:id="2024705704">
          <w:marLeft w:val="0"/>
          <w:marRight w:val="0"/>
          <w:marTop w:val="0"/>
          <w:marBottom w:val="0"/>
          <w:divBdr>
            <w:top w:val="none" w:sz="0" w:space="0" w:color="auto"/>
            <w:left w:val="none" w:sz="0" w:space="0" w:color="auto"/>
            <w:bottom w:val="none" w:sz="0" w:space="0" w:color="auto"/>
            <w:right w:val="none" w:sz="0" w:space="0" w:color="auto"/>
          </w:divBdr>
        </w:div>
        <w:div w:id="2024705705">
          <w:marLeft w:val="0"/>
          <w:marRight w:val="0"/>
          <w:marTop w:val="0"/>
          <w:marBottom w:val="0"/>
          <w:divBdr>
            <w:top w:val="none" w:sz="0" w:space="0" w:color="auto"/>
            <w:left w:val="none" w:sz="0" w:space="0" w:color="auto"/>
            <w:bottom w:val="none" w:sz="0" w:space="0" w:color="auto"/>
            <w:right w:val="none" w:sz="0" w:space="0" w:color="auto"/>
          </w:divBdr>
        </w:div>
        <w:div w:id="2024705706">
          <w:marLeft w:val="0"/>
          <w:marRight w:val="0"/>
          <w:marTop w:val="0"/>
          <w:marBottom w:val="0"/>
          <w:divBdr>
            <w:top w:val="none" w:sz="0" w:space="0" w:color="auto"/>
            <w:left w:val="none" w:sz="0" w:space="0" w:color="auto"/>
            <w:bottom w:val="none" w:sz="0" w:space="0" w:color="auto"/>
            <w:right w:val="none" w:sz="0" w:space="0" w:color="auto"/>
          </w:divBdr>
        </w:div>
        <w:div w:id="2024705707">
          <w:marLeft w:val="0"/>
          <w:marRight w:val="0"/>
          <w:marTop w:val="0"/>
          <w:marBottom w:val="0"/>
          <w:divBdr>
            <w:top w:val="none" w:sz="0" w:space="0" w:color="auto"/>
            <w:left w:val="none" w:sz="0" w:space="0" w:color="auto"/>
            <w:bottom w:val="none" w:sz="0" w:space="0" w:color="auto"/>
            <w:right w:val="none" w:sz="0" w:space="0" w:color="auto"/>
          </w:divBdr>
        </w:div>
        <w:div w:id="2024705708">
          <w:marLeft w:val="0"/>
          <w:marRight w:val="0"/>
          <w:marTop w:val="0"/>
          <w:marBottom w:val="0"/>
          <w:divBdr>
            <w:top w:val="none" w:sz="0" w:space="0" w:color="auto"/>
            <w:left w:val="none" w:sz="0" w:space="0" w:color="auto"/>
            <w:bottom w:val="none" w:sz="0" w:space="0" w:color="auto"/>
            <w:right w:val="none" w:sz="0" w:space="0" w:color="auto"/>
          </w:divBdr>
        </w:div>
        <w:div w:id="2024705709">
          <w:marLeft w:val="0"/>
          <w:marRight w:val="0"/>
          <w:marTop w:val="0"/>
          <w:marBottom w:val="0"/>
          <w:divBdr>
            <w:top w:val="none" w:sz="0" w:space="0" w:color="auto"/>
            <w:left w:val="none" w:sz="0" w:space="0" w:color="auto"/>
            <w:bottom w:val="none" w:sz="0" w:space="0" w:color="auto"/>
            <w:right w:val="none" w:sz="0" w:space="0" w:color="auto"/>
          </w:divBdr>
        </w:div>
        <w:div w:id="2024705710">
          <w:marLeft w:val="0"/>
          <w:marRight w:val="0"/>
          <w:marTop w:val="0"/>
          <w:marBottom w:val="0"/>
          <w:divBdr>
            <w:top w:val="none" w:sz="0" w:space="0" w:color="auto"/>
            <w:left w:val="none" w:sz="0" w:space="0" w:color="auto"/>
            <w:bottom w:val="none" w:sz="0" w:space="0" w:color="auto"/>
            <w:right w:val="none" w:sz="0" w:space="0" w:color="auto"/>
          </w:divBdr>
        </w:div>
        <w:div w:id="2024705711">
          <w:marLeft w:val="0"/>
          <w:marRight w:val="0"/>
          <w:marTop w:val="0"/>
          <w:marBottom w:val="0"/>
          <w:divBdr>
            <w:top w:val="none" w:sz="0" w:space="0" w:color="auto"/>
            <w:left w:val="none" w:sz="0" w:space="0" w:color="auto"/>
            <w:bottom w:val="none" w:sz="0" w:space="0" w:color="auto"/>
            <w:right w:val="none" w:sz="0" w:space="0" w:color="auto"/>
          </w:divBdr>
        </w:div>
        <w:div w:id="2024705712">
          <w:marLeft w:val="0"/>
          <w:marRight w:val="0"/>
          <w:marTop w:val="0"/>
          <w:marBottom w:val="0"/>
          <w:divBdr>
            <w:top w:val="none" w:sz="0" w:space="0" w:color="auto"/>
            <w:left w:val="none" w:sz="0" w:space="0" w:color="auto"/>
            <w:bottom w:val="none" w:sz="0" w:space="0" w:color="auto"/>
            <w:right w:val="none" w:sz="0" w:space="0" w:color="auto"/>
          </w:divBdr>
        </w:div>
        <w:div w:id="2024705714">
          <w:marLeft w:val="0"/>
          <w:marRight w:val="0"/>
          <w:marTop w:val="0"/>
          <w:marBottom w:val="0"/>
          <w:divBdr>
            <w:top w:val="none" w:sz="0" w:space="0" w:color="auto"/>
            <w:left w:val="none" w:sz="0" w:space="0" w:color="auto"/>
            <w:bottom w:val="none" w:sz="0" w:space="0" w:color="auto"/>
            <w:right w:val="none" w:sz="0" w:space="0" w:color="auto"/>
          </w:divBdr>
        </w:div>
        <w:div w:id="2024705715">
          <w:marLeft w:val="0"/>
          <w:marRight w:val="0"/>
          <w:marTop w:val="0"/>
          <w:marBottom w:val="0"/>
          <w:divBdr>
            <w:top w:val="none" w:sz="0" w:space="0" w:color="auto"/>
            <w:left w:val="none" w:sz="0" w:space="0" w:color="auto"/>
            <w:bottom w:val="none" w:sz="0" w:space="0" w:color="auto"/>
            <w:right w:val="none" w:sz="0" w:space="0" w:color="auto"/>
          </w:divBdr>
        </w:div>
        <w:div w:id="2024705716">
          <w:marLeft w:val="0"/>
          <w:marRight w:val="0"/>
          <w:marTop w:val="0"/>
          <w:marBottom w:val="0"/>
          <w:divBdr>
            <w:top w:val="none" w:sz="0" w:space="0" w:color="auto"/>
            <w:left w:val="none" w:sz="0" w:space="0" w:color="auto"/>
            <w:bottom w:val="none" w:sz="0" w:space="0" w:color="auto"/>
            <w:right w:val="none" w:sz="0" w:space="0" w:color="auto"/>
          </w:divBdr>
        </w:div>
        <w:div w:id="2024705717">
          <w:marLeft w:val="0"/>
          <w:marRight w:val="0"/>
          <w:marTop w:val="0"/>
          <w:marBottom w:val="0"/>
          <w:divBdr>
            <w:top w:val="none" w:sz="0" w:space="0" w:color="auto"/>
            <w:left w:val="none" w:sz="0" w:space="0" w:color="auto"/>
            <w:bottom w:val="none" w:sz="0" w:space="0" w:color="auto"/>
            <w:right w:val="none" w:sz="0" w:space="0" w:color="auto"/>
          </w:divBdr>
        </w:div>
        <w:div w:id="2024705718">
          <w:marLeft w:val="0"/>
          <w:marRight w:val="0"/>
          <w:marTop w:val="0"/>
          <w:marBottom w:val="0"/>
          <w:divBdr>
            <w:top w:val="none" w:sz="0" w:space="0" w:color="auto"/>
            <w:left w:val="none" w:sz="0" w:space="0" w:color="auto"/>
            <w:bottom w:val="none" w:sz="0" w:space="0" w:color="auto"/>
            <w:right w:val="none" w:sz="0" w:space="0" w:color="auto"/>
          </w:divBdr>
        </w:div>
        <w:div w:id="2024705719">
          <w:marLeft w:val="0"/>
          <w:marRight w:val="0"/>
          <w:marTop w:val="0"/>
          <w:marBottom w:val="0"/>
          <w:divBdr>
            <w:top w:val="none" w:sz="0" w:space="0" w:color="auto"/>
            <w:left w:val="none" w:sz="0" w:space="0" w:color="auto"/>
            <w:bottom w:val="none" w:sz="0" w:space="0" w:color="auto"/>
            <w:right w:val="none" w:sz="0" w:space="0" w:color="auto"/>
          </w:divBdr>
        </w:div>
        <w:div w:id="2024705720">
          <w:marLeft w:val="0"/>
          <w:marRight w:val="0"/>
          <w:marTop w:val="0"/>
          <w:marBottom w:val="0"/>
          <w:divBdr>
            <w:top w:val="none" w:sz="0" w:space="0" w:color="auto"/>
            <w:left w:val="none" w:sz="0" w:space="0" w:color="auto"/>
            <w:bottom w:val="none" w:sz="0" w:space="0" w:color="auto"/>
            <w:right w:val="none" w:sz="0" w:space="0" w:color="auto"/>
          </w:divBdr>
        </w:div>
        <w:div w:id="2024705721">
          <w:marLeft w:val="0"/>
          <w:marRight w:val="0"/>
          <w:marTop w:val="0"/>
          <w:marBottom w:val="0"/>
          <w:divBdr>
            <w:top w:val="none" w:sz="0" w:space="0" w:color="auto"/>
            <w:left w:val="none" w:sz="0" w:space="0" w:color="auto"/>
            <w:bottom w:val="none" w:sz="0" w:space="0" w:color="auto"/>
            <w:right w:val="none" w:sz="0" w:space="0" w:color="auto"/>
          </w:divBdr>
        </w:div>
        <w:div w:id="2024705722">
          <w:marLeft w:val="0"/>
          <w:marRight w:val="0"/>
          <w:marTop w:val="0"/>
          <w:marBottom w:val="0"/>
          <w:divBdr>
            <w:top w:val="none" w:sz="0" w:space="0" w:color="auto"/>
            <w:left w:val="none" w:sz="0" w:space="0" w:color="auto"/>
            <w:bottom w:val="none" w:sz="0" w:space="0" w:color="auto"/>
            <w:right w:val="none" w:sz="0" w:space="0" w:color="auto"/>
          </w:divBdr>
        </w:div>
        <w:div w:id="2024705723">
          <w:marLeft w:val="0"/>
          <w:marRight w:val="0"/>
          <w:marTop w:val="0"/>
          <w:marBottom w:val="0"/>
          <w:divBdr>
            <w:top w:val="none" w:sz="0" w:space="0" w:color="auto"/>
            <w:left w:val="none" w:sz="0" w:space="0" w:color="auto"/>
            <w:bottom w:val="none" w:sz="0" w:space="0" w:color="auto"/>
            <w:right w:val="none" w:sz="0" w:space="0" w:color="auto"/>
          </w:divBdr>
        </w:div>
        <w:div w:id="2024705724">
          <w:marLeft w:val="0"/>
          <w:marRight w:val="0"/>
          <w:marTop w:val="0"/>
          <w:marBottom w:val="0"/>
          <w:divBdr>
            <w:top w:val="none" w:sz="0" w:space="0" w:color="auto"/>
            <w:left w:val="none" w:sz="0" w:space="0" w:color="auto"/>
            <w:bottom w:val="none" w:sz="0" w:space="0" w:color="auto"/>
            <w:right w:val="none" w:sz="0" w:space="0" w:color="auto"/>
          </w:divBdr>
        </w:div>
        <w:div w:id="2024705725">
          <w:marLeft w:val="0"/>
          <w:marRight w:val="0"/>
          <w:marTop w:val="0"/>
          <w:marBottom w:val="0"/>
          <w:divBdr>
            <w:top w:val="none" w:sz="0" w:space="0" w:color="auto"/>
            <w:left w:val="none" w:sz="0" w:space="0" w:color="auto"/>
            <w:bottom w:val="none" w:sz="0" w:space="0" w:color="auto"/>
            <w:right w:val="none" w:sz="0" w:space="0" w:color="auto"/>
          </w:divBdr>
        </w:div>
        <w:div w:id="2024705726">
          <w:marLeft w:val="0"/>
          <w:marRight w:val="0"/>
          <w:marTop w:val="0"/>
          <w:marBottom w:val="0"/>
          <w:divBdr>
            <w:top w:val="none" w:sz="0" w:space="0" w:color="auto"/>
            <w:left w:val="none" w:sz="0" w:space="0" w:color="auto"/>
            <w:bottom w:val="none" w:sz="0" w:space="0" w:color="auto"/>
            <w:right w:val="none" w:sz="0" w:space="0" w:color="auto"/>
          </w:divBdr>
        </w:div>
        <w:div w:id="2024705727">
          <w:marLeft w:val="0"/>
          <w:marRight w:val="0"/>
          <w:marTop w:val="0"/>
          <w:marBottom w:val="0"/>
          <w:divBdr>
            <w:top w:val="none" w:sz="0" w:space="0" w:color="auto"/>
            <w:left w:val="none" w:sz="0" w:space="0" w:color="auto"/>
            <w:bottom w:val="none" w:sz="0" w:space="0" w:color="auto"/>
            <w:right w:val="none" w:sz="0" w:space="0" w:color="auto"/>
          </w:divBdr>
        </w:div>
        <w:div w:id="2024705729">
          <w:marLeft w:val="0"/>
          <w:marRight w:val="0"/>
          <w:marTop w:val="0"/>
          <w:marBottom w:val="0"/>
          <w:divBdr>
            <w:top w:val="none" w:sz="0" w:space="0" w:color="auto"/>
            <w:left w:val="none" w:sz="0" w:space="0" w:color="auto"/>
            <w:bottom w:val="none" w:sz="0" w:space="0" w:color="auto"/>
            <w:right w:val="none" w:sz="0" w:space="0" w:color="auto"/>
          </w:divBdr>
        </w:div>
        <w:div w:id="2024705730">
          <w:marLeft w:val="0"/>
          <w:marRight w:val="0"/>
          <w:marTop w:val="0"/>
          <w:marBottom w:val="0"/>
          <w:divBdr>
            <w:top w:val="none" w:sz="0" w:space="0" w:color="auto"/>
            <w:left w:val="none" w:sz="0" w:space="0" w:color="auto"/>
            <w:bottom w:val="none" w:sz="0" w:space="0" w:color="auto"/>
            <w:right w:val="none" w:sz="0" w:space="0" w:color="auto"/>
          </w:divBdr>
        </w:div>
        <w:div w:id="2024705731">
          <w:marLeft w:val="0"/>
          <w:marRight w:val="0"/>
          <w:marTop w:val="0"/>
          <w:marBottom w:val="0"/>
          <w:divBdr>
            <w:top w:val="none" w:sz="0" w:space="0" w:color="auto"/>
            <w:left w:val="none" w:sz="0" w:space="0" w:color="auto"/>
            <w:bottom w:val="none" w:sz="0" w:space="0" w:color="auto"/>
            <w:right w:val="none" w:sz="0" w:space="0" w:color="auto"/>
          </w:divBdr>
        </w:div>
        <w:div w:id="2024705732">
          <w:marLeft w:val="0"/>
          <w:marRight w:val="0"/>
          <w:marTop w:val="0"/>
          <w:marBottom w:val="0"/>
          <w:divBdr>
            <w:top w:val="none" w:sz="0" w:space="0" w:color="auto"/>
            <w:left w:val="none" w:sz="0" w:space="0" w:color="auto"/>
            <w:bottom w:val="none" w:sz="0" w:space="0" w:color="auto"/>
            <w:right w:val="none" w:sz="0" w:space="0" w:color="auto"/>
          </w:divBdr>
        </w:div>
        <w:div w:id="2024705733">
          <w:marLeft w:val="0"/>
          <w:marRight w:val="0"/>
          <w:marTop w:val="0"/>
          <w:marBottom w:val="0"/>
          <w:divBdr>
            <w:top w:val="none" w:sz="0" w:space="0" w:color="auto"/>
            <w:left w:val="none" w:sz="0" w:space="0" w:color="auto"/>
            <w:bottom w:val="none" w:sz="0" w:space="0" w:color="auto"/>
            <w:right w:val="none" w:sz="0" w:space="0" w:color="auto"/>
          </w:divBdr>
        </w:div>
        <w:div w:id="2024705734">
          <w:marLeft w:val="0"/>
          <w:marRight w:val="0"/>
          <w:marTop w:val="0"/>
          <w:marBottom w:val="0"/>
          <w:divBdr>
            <w:top w:val="none" w:sz="0" w:space="0" w:color="auto"/>
            <w:left w:val="none" w:sz="0" w:space="0" w:color="auto"/>
            <w:bottom w:val="none" w:sz="0" w:space="0" w:color="auto"/>
            <w:right w:val="none" w:sz="0" w:space="0" w:color="auto"/>
          </w:divBdr>
        </w:div>
        <w:div w:id="2024705735">
          <w:marLeft w:val="0"/>
          <w:marRight w:val="0"/>
          <w:marTop w:val="0"/>
          <w:marBottom w:val="0"/>
          <w:divBdr>
            <w:top w:val="none" w:sz="0" w:space="0" w:color="auto"/>
            <w:left w:val="none" w:sz="0" w:space="0" w:color="auto"/>
            <w:bottom w:val="none" w:sz="0" w:space="0" w:color="auto"/>
            <w:right w:val="none" w:sz="0" w:space="0" w:color="auto"/>
          </w:divBdr>
        </w:div>
        <w:div w:id="2024705736">
          <w:marLeft w:val="0"/>
          <w:marRight w:val="0"/>
          <w:marTop w:val="0"/>
          <w:marBottom w:val="0"/>
          <w:divBdr>
            <w:top w:val="none" w:sz="0" w:space="0" w:color="auto"/>
            <w:left w:val="none" w:sz="0" w:space="0" w:color="auto"/>
            <w:bottom w:val="none" w:sz="0" w:space="0" w:color="auto"/>
            <w:right w:val="none" w:sz="0" w:space="0" w:color="auto"/>
          </w:divBdr>
        </w:div>
        <w:div w:id="2024705737">
          <w:marLeft w:val="0"/>
          <w:marRight w:val="0"/>
          <w:marTop w:val="0"/>
          <w:marBottom w:val="0"/>
          <w:divBdr>
            <w:top w:val="none" w:sz="0" w:space="0" w:color="auto"/>
            <w:left w:val="none" w:sz="0" w:space="0" w:color="auto"/>
            <w:bottom w:val="none" w:sz="0" w:space="0" w:color="auto"/>
            <w:right w:val="none" w:sz="0" w:space="0" w:color="auto"/>
          </w:divBdr>
        </w:div>
        <w:div w:id="2024705738">
          <w:marLeft w:val="0"/>
          <w:marRight w:val="0"/>
          <w:marTop w:val="0"/>
          <w:marBottom w:val="0"/>
          <w:divBdr>
            <w:top w:val="none" w:sz="0" w:space="0" w:color="auto"/>
            <w:left w:val="none" w:sz="0" w:space="0" w:color="auto"/>
            <w:bottom w:val="none" w:sz="0" w:space="0" w:color="auto"/>
            <w:right w:val="none" w:sz="0" w:space="0" w:color="auto"/>
          </w:divBdr>
        </w:div>
        <w:div w:id="2024705739">
          <w:marLeft w:val="0"/>
          <w:marRight w:val="0"/>
          <w:marTop w:val="0"/>
          <w:marBottom w:val="0"/>
          <w:divBdr>
            <w:top w:val="none" w:sz="0" w:space="0" w:color="auto"/>
            <w:left w:val="none" w:sz="0" w:space="0" w:color="auto"/>
            <w:bottom w:val="none" w:sz="0" w:space="0" w:color="auto"/>
            <w:right w:val="none" w:sz="0" w:space="0" w:color="auto"/>
          </w:divBdr>
        </w:div>
        <w:div w:id="2024705740">
          <w:marLeft w:val="0"/>
          <w:marRight w:val="0"/>
          <w:marTop w:val="0"/>
          <w:marBottom w:val="0"/>
          <w:divBdr>
            <w:top w:val="none" w:sz="0" w:space="0" w:color="auto"/>
            <w:left w:val="none" w:sz="0" w:space="0" w:color="auto"/>
            <w:bottom w:val="none" w:sz="0" w:space="0" w:color="auto"/>
            <w:right w:val="none" w:sz="0" w:space="0" w:color="auto"/>
          </w:divBdr>
        </w:div>
        <w:div w:id="2024705741">
          <w:marLeft w:val="0"/>
          <w:marRight w:val="0"/>
          <w:marTop w:val="0"/>
          <w:marBottom w:val="0"/>
          <w:divBdr>
            <w:top w:val="none" w:sz="0" w:space="0" w:color="auto"/>
            <w:left w:val="none" w:sz="0" w:space="0" w:color="auto"/>
            <w:bottom w:val="none" w:sz="0" w:space="0" w:color="auto"/>
            <w:right w:val="none" w:sz="0" w:space="0" w:color="auto"/>
          </w:divBdr>
        </w:div>
        <w:div w:id="2024705742">
          <w:marLeft w:val="0"/>
          <w:marRight w:val="0"/>
          <w:marTop w:val="0"/>
          <w:marBottom w:val="0"/>
          <w:divBdr>
            <w:top w:val="none" w:sz="0" w:space="0" w:color="auto"/>
            <w:left w:val="none" w:sz="0" w:space="0" w:color="auto"/>
            <w:bottom w:val="none" w:sz="0" w:space="0" w:color="auto"/>
            <w:right w:val="none" w:sz="0" w:space="0" w:color="auto"/>
          </w:divBdr>
        </w:div>
        <w:div w:id="2024705743">
          <w:marLeft w:val="0"/>
          <w:marRight w:val="0"/>
          <w:marTop w:val="0"/>
          <w:marBottom w:val="0"/>
          <w:divBdr>
            <w:top w:val="none" w:sz="0" w:space="0" w:color="auto"/>
            <w:left w:val="none" w:sz="0" w:space="0" w:color="auto"/>
            <w:bottom w:val="none" w:sz="0" w:space="0" w:color="auto"/>
            <w:right w:val="none" w:sz="0" w:space="0" w:color="auto"/>
          </w:divBdr>
        </w:div>
        <w:div w:id="2024705744">
          <w:marLeft w:val="0"/>
          <w:marRight w:val="0"/>
          <w:marTop w:val="0"/>
          <w:marBottom w:val="0"/>
          <w:divBdr>
            <w:top w:val="none" w:sz="0" w:space="0" w:color="auto"/>
            <w:left w:val="none" w:sz="0" w:space="0" w:color="auto"/>
            <w:bottom w:val="none" w:sz="0" w:space="0" w:color="auto"/>
            <w:right w:val="none" w:sz="0" w:space="0" w:color="auto"/>
          </w:divBdr>
        </w:div>
        <w:div w:id="2024705745">
          <w:marLeft w:val="0"/>
          <w:marRight w:val="0"/>
          <w:marTop w:val="0"/>
          <w:marBottom w:val="0"/>
          <w:divBdr>
            <w:top w:val="none" w:sz="0" w:space="0" w:color="auto"/>
            <w:left w:val="none" w:sz="0" w:space="0" w:color="auto"/>
            <w:bottom w:val="none" w:sz="0" w:space="0" w:color="auto"/>
            <w:right w:val="none" w:sz="0" w:space="0" w:color="auto"/>
          </w:divBdr>
        </w:div>
        <w:div w:id="2024705746">
          <w:marLeft w:val="0"/>
          <w:marRight w:val="0"/>
          <w:marTop w:val="0"/>
          <w:marBottom w:val="0"/>
          <w:divBdr>
            <w:top w:val="none" w:sz="0" w:space="0" w:color="auto"/>
            <w:left w:val="none" w:sz="0" w:space="0" w:color="auto"/>
            <w:bottom w:val="none" w:sz="0" w:space="0" w:color="auto"/>
            <w:right w:val="none" w:sz="0" w:space="0" w:color="auto"/>
          </w:divBdr>
        </w:div>
        <w:div w:id="2024705747">
          <w:marLeft w:val="0"/>
          <w:marRight w:val="0"/>
          <w:marTop w:val="0"/>
          <w:marBottom w:val="0"/>
          <w:divBdr>
            <w:top w:val="none" w:sz="0" w:space="0" w:color="auto"/>
            <w:left w:val="none" w:sz="0" w:space="0" w:color="auto"/>
            <w:bottom w:val="none" w:sz="0" w:space="0" w:color="auto"/>
            <w:right w:val="none" w:sz="0" w:space="0" w:color="auto"/>
          </w:divBdr>
        </w:div>
        <w:div w:id="2024705748">
          <w:marLeft w:val="0"/>
          <w:marRight w:val="0"/>
          <w:marTop w:val="0"/>
          <w:marBottom w:val="0"/>
          <w:divBdr>
            <w:top w:val="none" w:sz="0" w:space="0" w:color="auto"/>
            <w:left w:val="none" w:sz="0" w:space="0" w:color="auto"/>
            <w:bottom w:val="none" w:sz="0" w:space="0" w:color="auto"/>
            <w:right w:val="none" w:sz="0" w:space="0" w:color="auto"/>
          </w:divBdr>
        </w:div>
        <w:div w:id="2024705749">
          <w:marLeft w:val="0"/>
          <w:marRight w:val="0"/>
          <w:marTop w:val="0"/>
          <w:marBottom w:val="0"/>
          <w:divBdr>
            <w:top w:val="none" w:sz="0" w:space="0" w:color="auto"/>
            <w:left w:val="none" w:sz="0" w:space="0" w:color="auto"/>
            <w:bottom w:val="none" w:sz="0" w:space="0" w:color="auto"/>
            <w:right w:val="none" w:sz="0" w:space="0" w:color="auto"/>
          </w:divBdr>
        </w:div>
        <w:div w:id="2024705750">
          <w:marLeft w:val="0"/>
          <w:marRight w:val="0"/>
          <w:marTop w:val="0"/>
          <w:marBottom w:val="0"/>
          <w:divBdr>
            <w:top w:val="none" w:sz="0" w:space="0" w:color="auto"/>
            <w:left w:val="none" w:sz="0" w:space="0" w:color="auto"/>
            <w:bottom w:val="none" w:sz="0" w:space="0" w:color="auto"/>
            <w:right w:val="none" w:sz="0" w:space="0" w:color="auto"/>
          </w:divBdr>
        </w:div>
        <w:div w:id="2024705751">
          <w:marLeft w:val="0"/>
          <w:marRight w:val="0"/>
          <w:marTop w:val="0"/>
          <w:marBottom w:val="0"/>
          <w:divBdr>
            <w:top w:val="none" w:sz="0" w:space="0" w:color="auto"/>
            <w:left w:val="none" w:sz="0" w:space="0" w:color="auto"/>
            <w:bottom w:val="none" w:sz="0" w:space="0" w:color="auto"/>
            <w:right w:val="none" w:sz="0" w:space="0" w:color="auto"/>
          </w:divBdr>
        </w:div>
        <w:div w:id="2024705752">
          <w:marLeft w:val="0"/>
          <w:marRight w:val="0"/>
          <w:marTop w:val="0"/>
          <w:marBottom w:val="0"/>
          <w:divBdr>
            <w:top w:val="none" w:sz="0" w:space="0" w:color="auto"/>
            <w:left w:val="none" w:sz="0" w:space="0" w:color="auto"/>
            <w:bottom w:val="none" w:sz="0" w:space="0" w:color="auto"/>
            <w:right w:val="none" w:sz="0" w:space="0" w:color="auto"/>
          </w:divBdr>
        </w:div>
        <w:div w:id="2024705753">
          <w:marLeft w:val="0"/>
          <w:marRight w:val="0"/>
          <w:marTop w:val="0"/>
          <w:marBottom w:val="0"/>
          <w:divBdr>
            <w:top w:val="none" w:sz="0" w:space="0" w:color="auto"/>
            <w:left w:val="none" w:sz="0" w:space="0" w:color="auto"/>
            <w:bottom w:val="none" w:sz="0" w:space="0" w:color="auto"/>
            <w:right w:val="none" w:sz="0" w:space="0" w:color="auto"/>
          </w:divBdr>
        </w:div>
        <w:div w:id="2024705754">
          <w:marLeft w:val="0"/>
          <w:marRight w:val="0"/>
          <w:marTop w:val="0"/>
          <w:marBottom w:val="0"/>
          <w:divBdr>
            <w:top w:val="none" w:sz="0" w:space="0" w:color="auto"/>
            <w:left w:val="none" w:sz="0" w:space="0" w:color="auto"/>
            <w:bottom w:val="none" w:sz="0" w:space="0" w:color="auto"/>
            <w:right w:val="none" w:sz="0" w:space="0" w:color="auto"/>
          </w:divBdr>
        </w:div>
        <w:div w:id="2024705755">
          <w:marLeft w:val="0"/>
          <w:marRight w:val="0"/>
          <w:marTop w:val="0"/>
          <w:marBottom w:val="0"/>
          <w:divBdr>
            <w:top w:val="none" w:sz="0" w:space="0" w:color="auto"/>
            <w:left w:val="none" w:sz="0" w:space="0" w:color="auto"/>
            <w:bottom w:val="none" w:sz="0" w:space="0" w:color="auto"/>
            <w:right w:val="none" w:sz="0" w:space="0" w:color="auto"/>
          </w:divBdr>
        </w:div>
        <w:div w:id="2024705756">
          <w:marLeft w:val="0"/>
          <w:marRight w:val="0"/>
          <w:marTop w:val="0"/>
          <w:marBottom w:val="0"/>
          <w:divBdr>
            <w:top w:val="none" w:sz="0" w:space="0" w:color="auto"/>
            <w:left w:val="none" w:sz="0" w:space="0" w:color="auto"/>
            <w:bottom w:val="none" w:sz="0" w:space="0" w:color="auto"/>
            <w:right w:val="none" w:sz="0" w:space="0" w:color="auto"/>
          </w:divBdr>
        </w:div>
        <w:div w:id="2024705757">
          <w:marLeft w:val="0"/>
          <w:marRight w:val="0"/>
          <w:marTop w:val="0"/>
          <w:marBottom w:val="0"/>
          <w:divBdr>
            <w:top w:val="none" w:sz="0" w:space="0" w:color="auto"/>
            <w:left w:val="none" w:sz="0" w:space="0" w:color="auto"/>
            <w:bottom w:val="none" w:sz="0" w:space="0" w:color="auto"/>
            <w:right w:val="none" w:sz="0" w:space="0" w:color="auto"/>
          </w:divBdr>
        </w:div>
        <w:div w:id="2024705758">
          <w:marLeft w:val="0"/>
          <w:marRight w:val="0"/>
          <w:marTop w:val="0"/>
          <w:marBottom w:val="0"/>
          <w:divBdr>
            <w:top w:val="none" w:sz="0" w:space="0" w:color="auto"/>
            <w:left w:val="none" w:sz="0" w:space="0" w:color="auto"/>
            <w:bottom w:val="none" w:sz="0" w:space="0" w:color="auto"/>
            <w:right w:val="none" w:sz="0" w:space="0" w:color="auto"/>
          </w:divBdr>
        </w:div>
        <w:div w:id="2024705759">
          <w:marLeft w:val="0"/>
          <w:marRight w:val="0"/>
          <w:marTop w:val="0"/>
          <w:marBottom w:val="0"/>
          <w:divBdr>
            <w:top w:val="none" w:sz="0" w:space="0" w:color="auto"/>
            <w:left w:val="none" w:sz="0" w:space="0" w:color="auto"/>
            <w:bottom w:val="none" w:sz="0" w:space="0" w:color="auto"/>
            <w:right w:val="none" w:sz="0" w:space="0" w:color="auto"/>
          </w:divBdr>
        </w:div>
        <w:div w:id="2024705760">
          <w:marLeft w:val="0"/>
          <w:marRight w:val="0"/>
          <w:marTop w:val="0"/>
          <w:marBottom w:val="0"/>
          <w:divBdr>
            <w:top w:val="none" w:sz="0" w:space="0" w:color="auto"/>
            <w:left w:val="none" w:sz="0" w:space="0" w:color="auto"/>
            <w:bottom w:val="none" w:sz="0" w:space="0" w:color="auto"/>
            <w:right w:val="none" w:sz="0" w:space="0" w:color="auto"/>
          </w:divBdr>
        </w:div>
        <w:div w:id="2024705761">
          <w:marLeft w:val="0"/>
          <w:marRight w:val="0"/>
          <w:marTop w:val="0"/>
          <w:marBottom w:val="0"/>
          <w:divBdr>
            <w:top w:val="none" w:sz="0" w:space="0" w:color="auto"/>
            <w:left w:val="none" w:sz="0" w:space="0" w:color="auto"/>
            <w:bottom w:val="none" w:sz="0" w:space="0" w:color="auto"/>
            <w:right w:val="none" w:sz="0" w:space="0" w:color="auto"/>
          </w:divBdr>
        </w:div>
        <w:div w:id="2024705762">
          <w:marLeft w:val="0"/>
          <w:marRight w:val="0"/>
          <w:marTop w:val="0"/>
          <w:marBottom w:val="0"/>
          <w:divBdr>
            <w:top w:val="none" w:sz="0" w:space="0" w:color="auto"/>
            <w:left w:val="none" w:sz="0" w:space="0" w:color="auto"/>
            <w:bottom w:val="none" w:sz="0" w:space="0" w:color="auto"/>
            <w:right w:val="none" w:sz="0" w:space="0" w:color="auto"/>
          </w:divBdr>
        </w:div>
        <w:div w:id="2024705763">
          <w:marLeft w:val="0"/>
          <w:marRight w:val="0"/>
          <w:marTop w:val="0"/>
          <w:marBottom w:val="0"/>
          <w:divBdr>
            <w:top w:val="none" w:sz="0" w:space="0" w:color="auto"/>
            <w:left w:val="none" w:sz="0" w:space="0" w:color="auto"/>
            <w:bottom w:val="none" w:sz="0" w:space="0" w:color="auto"/>
            <w:right w:val="none" w:sz="0" w:space="0" w:color="auto"/>
          </w:divBdr>
        </w:div>
        <w:div w:id="2024705764">
          <w:marLeft w:val="0"/>
          <w:marRight w:val="0"/>
          <w:marTop w:val="0"/>
          <w:marBottom w:val="0"/>
          <w:divBdr>
            <w:top w:val="none" w:sz="0" w:space="0" w:color="auto"/>
            <w:left w:val="none" w:sz="0" w:space="0" w:color="auto"/>
            <w:bottom w:val="none" w:sz="0" w:space="0" w:color="auto"/>
            <w:right w:val="none" w:sz="0" w:space="0" w:color="auto"/>
          </w:divBdr>
        </w:div>
        <w:div w:id="2024705765">
          <w:marLeft w:val="0"/>
          <w:marRight w:val="0"/>
          <w:marTop w:val="0"/>
          <w:marBottom w:val="0"/>
          <w:divBdr>
            <w:top w:val="none" w:sz="0" w:space="0" w:color="auto"/>
            <w:left w:val="none" w:sz="0" w:space="0" w:color="auto"/>
            <w:bottom w:val="none" w:sz="0" w:space="0" w:color="auto"/>
            <w:right w:val="none" w:sz="0" w:space="0" w:color="auto"/>
          </w:divBdr>
        </w:div>
        <w:div w:id="2024705766">
          <w:marLeft w:val="0"/>
          <w:marRight w:val="0"/>
          <w:marTop w:val="0"/>
          <w:marBottom w:val="0"/>
          <w:divBdr>
            <w:top w:val="none" w:sz="0" w:space="0" w:color="auto"/>
            <w:left w:val="none" w:sz="0" w:space="0" w:color="auto"/>
            <w:bottom w:val="none" w:sz="0" w:space="0" w:color="auto"/>
            <w:right w:val="none" w:sz="0" w:space="0" w:color="auto"/>
          </w:divBdr>
        </w:div>
        <w:div w:id="2024705767">
          <w:marLeft w:val="0"/>
          <w:marRight w:val="0"/>
          <w:marTop w:val="0"/>
          <w:marBottom w:val="0"/>
          <w:divBdr>
            <w:top w:val="none" w:sz="0" w:space="0" w:color="auto"/>
            <w:left w:val="none" w:sz="0" w:space="0" w:color="auto"/>
            <w:bottom w:val="none" w:sz="0" w:space="0" w:color="auto"/>
            <w:right w:val="none" w:sz="0" w:space="0" w:color="auto"/>
          </w:divBdr>
        </w:div>
        <w:div w:id="2024705768">
          <w:marLeft w:val="0"/>
          <w:marRight w:val="0"/>
          <w:marTop w:val="0"/>
          <w:marBottom w:val="0"/>
          <w:divBdr>
            <w:top w:val="none" w:sz="0" w:space="0" w:color="auto"/>
            <w:left w:val="none" w:sz="0" w:space="0" w:color="auto"/>
            <w:bottom w:val="none" w:sz="0" w:space="0" w:color="auto"/>
            <w:right w:val="none" w:sz="0" w:space="0" w:color="auto"/>
          </w:divBdr>
        </w:div>
        <w:div w:id="2024705769">
          <w:marLeft w:val="0"/>
          <w:marRight w:val="0"/>
          <w:marTop w:val="0"/>
          <w:marBottom w:val="0"/>
          <w:divBdr>
            <w:top w:val="none" w:sz="0" w:space="0" w:color="auto"/>
            <w:left w:val="none" w:sz="0" w:space="0" w:color="auto"/>
            <w:bottom w:val="none" w:sz="0" w:space="0" w:color="auto"/>
            <w:right w:val="none" w:sz="0" w:space="0" w:color="auto"/>
          </w:divBdr>
        </w:div>
        <w:div w:id="2024705770">
          <w:marLeft w:val="0"/>
          <w:marRight w:val="0"/>
          <w:marTop w:val="0"/>
          <w:marBottom w:val="0"/>
          <w:divBdr>
            <w:top w:val="none" w:sz="0" w:space="0" w:color="auto"/>
            <w:left w:val="none" w:sz="0" w:space="0" w:color="auto"/>
            <w:bottom w:val="none" w:sz="0" w:space="0" w:color="auto"/>
            <w:right w:val="none" w:sz="0" w:space="0" w:color="auto"/>
          </w:divBdr>
        </w:div>
        <w:div w:id="2024705771">
          <w:marLeft w:val="0"/>
          <w:marRight w:val="0"/>
          <w:marTop w:val="0"/>
          <w:marBottom w:val="0"/>
          <w:divBdr>
            <w:top w:val="none" w:sz="0" w:space="0" w:color="auto"/>
            <w:left w:val="none" w:sz="0" w:space="0" w:color="auto"/>
            <w:bottom w:val="none" w:sz="0" w:space="0" w:color="auto"/>
            <w:right w:val="none" w:sz="0" w:space="0" w:color="auto"/>
          </w:divBdr>
        </w:div>
        <w:div w:id="2024705772">
          <w:marLeft w:val="0"/>
          <w:marRight w:val="0"/>
          <w:marTop w:val="0"/>
          <w:marBottom w:val="0"/>
          <w:divBdr>
            <w:top w:val="none" w:sz="0" w:space="0" w:color="auto"/>
            <w:left w:val="none" w:sz="0" w:space="0" w:color="auto"/>
            <w:bottom w:val="none" w:sz="0" w:space="0" w:color="auto"/>
            <w:right w:val="none" w:sz="0" w:space="0" w:color="auto"/>
          </w:divBdr>
        </w:div>
        <w:div w:id="2024705773">
          <w:marLeft w:val="0"/>
          <w:marRight w:val="0"/>
          <w:marTop w:val="0"/>
          <w:marBottom w:val="0"/>
          <w:divBdr>
            <w:top w:val="none" w:sz="0" w:space="0" w:color="auto"/>
            <w:left w:val="none" w:sz="0" w:space="0" w:color="auto"/>
            <w:bottom w:val="none" w:sz="0" w:space="0" w:color="auto"/>
            <w:right w:val="none" w:sz="0" w:space="0" w:color="auto"/>
          </w:divBdr>
        </w:div>
        <w:div w:id="2024705774">
          <w:marLeft w:val="0"/>
          <w:marRight w:val="0"/>
          <w:marTop w:val="0"/>
          <w:marBottom w:val="0"/>
          <w:divBdr>
            <w:top w:val="none" w:sz="0" w:space="0" w:color="auto"/>
            <w:left w:val="none" w:sz="0" w:space="0" w:color="auto"/>
            <w:bottom w:val="none" w:sz="0" w:space="0" w:color="auto"/>
            <w:right w:val="none" w:sz="0" w:space="0" w:color="auto"/>
          </w:divBdr>
        </w:div>
        <w:div w:id="2024705775">
          <w:marLeft w:val="0"/>
          <w:marRight w:val="0"/>
          <w:marTop w:val="0"/>
          <w:marBottom w:val="0"/>
          <w:divBdr>
            <w:top w:val="none" w:sz="0" w:space="0" w:color="auto"/>
            <w:left w:val="none" w:sz="0" w:space="0" w:color="auto"/>
            <w:bottom w:val="none" w:sz="0" w:space="0" w:color="auto"/>
            <w:right w:val="none" w:sz="0" w:space="0" w:color="auto"/>
          </w:divBdr>
        </w:div>
        <w:div w:id="2024705776">
          <w:marLeft w:val="0"/>
          <w:marRight w:val="0"/>
          <w:marTop w:val="0"/>
          <w:marBottom w:val="0"/>
          <w:divBdr>
            <w:top w:val="none" w:sz="0" w:space="0" w:color="auto"/>
            <w:left w:val="none" w:sz="0" w:space="0" w:color="auto"/>
            <w:bottom w:val="none" w:sz="0" w:space="0" w:color="auto"/>
            <w:right w:val="none" w:sz="0" w:space="0" w:color="auto"/>
          </w:divBdr>
        </w:div>
        <w:div w:id="2024705777">
          <w:marLeft w:val="0"/>
          <w:marRight w:val="0"/>
          <w:marTop w:val="0"/>
          <w:marBottom w:val="0"/>
          <w:divBdr>
            <w:top w:val="none" w:sz="0" w:space="0" w:color="auto"/>
            <w:left w:val="none" w:sz="0" w:space="0" w:color="auto"/>
            <w:bottom w:val="none" w:sz="0" w:space="0" w:color="auto"/>
            <w:right w:val="none" w:sz="0" w:space="0" w:color="auto"/>
          </w:divBdr>
        </w:div>
        <w:div w:id="2024705778">
          <w:marLeft w:val="0"/>
          <w:marRight w:val="0"/>
          <w:marTop w:val="0"/>
          <w:marBottom w:val="0"/>
          <w:divBdr>
            <w:top w:val="none" w:sz="0" w:space="0" w:color="auto"/>
            <w:left w:val="none" w:sz="0" w:space="0" w:color="auto"/>
            <w:bottom w:val="none" w:sz="0" w:space="0" w:color="auto"/>
            <w:right w:val="none" w:sz="0" w:space="0" w:color="auto"/>
          </w:divBdr>
        </w:div>
        <w:div w:id="2024705779">
          <w:marLeft w:val="0"/>
          <w:marRight w:val="0"/>
          <w:marTop w:val="0"/>
          <w:marBottom w:val="0"/>
          <w:divBdr>
            <w:top w:val="none" w:sz="0" w:space="0" w:color="auto"/>
            <w:left w:val="none" w:sz="0" w:space="0" w:color="auto"/>
            <w:bottom w:val="none" w:sz="0" w:space="0" w:color="auto"/>
            <w:right w:val="none" w:sz="0" w:space="0" w:color="auto"/>
          </w:divBdr>
        </w:div>
        <w:div w:id="2024705780">
          <w:marLeft w:val="0"/>
          <w:marRight w:val="0"/>
          <w:marTop w:val="0"/>
          <w:marBottom w:val="0"/>
          <w:divBdr>
            <w:top w:val="none" w:sz="0" w:space="0" w:color="auto"/>
            <w:left w:val="none" w:sz="0" w:space="0" w:color="auto"/>
            <w:bottom w:val="none" w:sz="0" w:space="0" w:color="auto"/>
            <w:right w:val="none" w:sz="0" w:space="0" w:color="auto"/>
          </w:divBdr>
        </w:div>
        <w:div w:id="2024705781">
          <w:marLeft w:val="0"/>
          <w:marRight w:val="0"/>
          <w:marTop w:val="0"/>
          <w:marBottom w:val="0"/>
          <w:divBdr>
            <w:top w:val="none" w:sz="0" w:space="0" w:color="auto"/>
            <w:left w:val="none" w:sz="0" w:space="0" w:color="auto"/>
            <w:bottom w:val="none" w:sz="0" w:space="0" w:color="auto"/>
            <w:right w:val="none" w:sz="0" w:space="0" w:color="auto"/>
          </w:divBdr>
        </w:div>
        <w:div w:id="2024705782">
          <w:marLeft w:val="0"/>
          <w:marRight w:val="0"/>
          <w:marTop w:val="0"/>
          <w:marBottom w:val="0"/>
          <w:divBdr>
            <w:top w:val="none" w:sz="0" w:space="0" w:color="auto"/>
            <w:left w:val="none" w:sz="0" w:space="0" w:color="auto"/>
            <w:bottom w:val="none" w:sz="0" w:space="0" w:color="auto"/>
            <w:right w:val="none" w:sz="0" w:space="0" w:color="auto"/>
          </w:divBdr>
        </w:div>
        <w:div w:id="2024705783">
          <w:marLeft w:val="0"/>
          <w:marRight w:val="0"/>
          <w:marTop w:val="0"/>
          <w:marBottom w:val="0"/>
          <w:divBdr>
            <w:top w:val="none" w:sz="0" w:space="0" w:color="auto"/>
            <w:left w:val="none" w:sz="0" w:space="0" w:color="auto"/>
            <w:bottom w:val="none" w:sz="0" w:space="0" w:color="auto"/>
            <w:right w:val="none" w:sz="0" w:space="0" w:color="auto"/>
          </w:divBdr>
        </w:div>
        <w:div w:id="2024705784">
          <w:marLeft w:val="0"/>
          <w:marRight w:val="0"/>
          <w:marTop w:val="0"/>
          <w:marBottom w:val="0"/>
          <w:divBdr>
            <w:top w:val="none" w:sz="0" w:space="0" w:color="auto"/>
            <w:left w:val="none" w:sz="0" w:space="0" w:color="auto"/>
            <w:bottom w:val="none" w:sz="0" w:space="0" w:color="auto"/>
            <w:right w:val="none" w:sz="0" w:space="0" w:color="auto"/>
          </w:divBdr>
        </w:div>
        <w:div w:id="2024705785">
          <w:marLeft w:val="0"/>
          <w:marRight w:val="0"/>
          <w:marTop w:val="0"/>
          <w:marBottom w:val="0"/>
          <w:divBdr>
            <w:top w:val="none" w:sz="0" w:space="0" w:color="auto"/>
            <w:left w:val="none" w:sz="0" w:space="0" w:color="auto"/>
            <w:bottom w:val="none" w:sz="0" w:space="0" w:color="auto"/>
            <w:right w:val="none" w:sz="0" w:space="0" w:color="auto"/>
          </w:divBdr>
        </w:div>
        <w:div w:id="2024705786">
          <w:marLeft w:val="0"/>
          <w:marRight w:val="0"/>
          <w:marTop w:val="0"/>
          <w:marBottom w:val="0"/>
          <w:divBdr>
            <w:top w:val="none" w:sz="0" w:space="0" w:color="auto"/>
            <w:left w:val="none" w:sz="0" w:space="0" w:color="auto"/>
            <w:bottom w:val="none" w:sz="0" w:space="0" w:color="auto"/>
            <w:right w:val="none" w:sz="0" w:space="0" w:color="auto"/>
          </w:divBdr>
        </w:div>
        <w:div w:id="2024705787">
          <w:marLeft w:val="0"/>
          <w:marRight w:val="0"/>
          <w:marTop w:val="0"/>
          <w:marBottom w:val="0"/>
          <w:divBdr>
            <w:top w:val="none" w:sz="0" w:space="0" w:color="auto"/>
            <w:left w:val="none" w:sz="0" w:space="0" w:color="auto"/>
            <w:bottom w:val="none" w:sz="0" w:space="0" w:color="auto"/>
            <w:right w:val="none" w:sz="0" w:space="0" w:color="auto"/>
          </w:divBdr>
        </w:div>
        <w:div w:id="2024705788">
          <w:marLeft w:val="0"/>
          <w:marRight w:val="0"/>
          <w:marTop w:val="0"/>
          <w:marBottom w:val="0"/>
          <w:divBdr>
            <w:top w:val="none" w:sz="0" w:space="0" w:color="auto"/>
            <w:left w:val="none" w:sz="0" w:space="0" w:color="auto"/>
            <w:bottom w:val="none" w:sz="0" w:space="0" w:color="auto"/>
            <w:right w:val="none" w:sz="0" w:space="0" w:color="auto"/>
          </w:divBdr>
        </w:div>
        <w:div w:id="2024705789">
          <w:marLeft w:val="0"/>
          <w:marRight w:val="0"/>
          <w:marTop w:val="0"/>
          <w:marBottom w:val="0"/>
          <w:divBdr>
            <w:top w:val="none" w:sz="0" w:space="0" w:color="auto"/>
            <w:left w:val="none" w:sz="0" w:space="0" w:color="auto"/>
            <w:bottom w:val="none" w:sz="0" w:space="0" w:color="auto"/>
            <w:right w:val="none" w:sz="0" w:space="0" w:color="auto"/>
          </w:divBdr>
        </w:div>
        <w:div w:id="2024705790">
          <w:marLeft w:val="0"/>
          <w:marRight w:val="0"/>
          <w:marTop w:val="0"/>
          <w:marBottom w:val="0"/>
          <w:divBdr>
            <w:top w:val="none" w:sz="0" w:space="0" w:color="auto"/>
            <w:left w:val="none" w:sz="0" w:space="0" w:color="auto"/>
            <w:bottom w:val="none" w:sz="0" w:space="0" w:color="auto"/>
            <w:right w:val="none" w:sz="0" w:space="0" w:color="auto"/>
          </w:divBdr>
        </w:div>
        <w:div w:id="2024705791">
          <w:marLeft w:val="0"/>
          <w:marRight w:val="0"/>
          <w:marTop w:val="0"/>
          <w:marBottom w:val="0"/>
          <w:divBdr>
            <w:top w:val="none" w:sz="0" w:space="0" w:color="auto"/>
            <w:left w:val="none" w:sz="0" w:space="0" w:color="auto"/>
            <w:bottom w:val="none" w:sz="0" w:space="0" w:color="auto"/>
            <w:right w:val="none" w:sz="0" w:space="0" w:color="auto"/>
          </w:divBdr>
        </w:div>
        <w:div w:id="2024705792">
          <w:marLeft w:val="0"/>
          <w:marRight w:val="0"/>
          <w:marTop w:val="0"/>
          <w:marBottom w:val="0"/>
          <w:divBdr>
            <w:top w:val="none" w:sz="0" w:space="0" w:color="auto"/>
            <w:left w:val="none" w:sz="0" w:space="0" w:color="auto"/>
            <w:bottom w:val="none" w:sz="0" w:space="0" w:color="auto"/>
            <w:right w:val="none" w:sz="0" w:space="0" w:color="auto"/>
          </w:divBdr>
        </w:div>
        <w:div w:id="2024705793">
          <w:marLeft w:val="0"/>
          <w:marRight w:val="0"/>
          <w:marTop w:val="0"/>
          <w:marBottom w:val="0"/>
          <w:divBdr>
            <w:top w:val="none" w:sz="0" w:space="0" w:color="auto"/>
            <w:left w:val="none" w:sz="0" w:space="0" w:color="auto"/>
            <w:bottom w:val="none" w:sz="0" w:space="0" w:color="auto"/>
            <w:right w:val="none" w:sz="0" w:space="0" w:color="auto"/>
          </w:divBdr>
        </w:div>
        <w:div w:id="2024705794">
          <w:marLeft w:val="0"/>
          <w:marRight w:val="0"/>
          <w:marTop w:val="0"/>
          <w:marBottom w:val="0"/>
          <w:divBdr>
            <w:top w:val="none" w:sz="0" w:space="0" w:color="auto"/>
            <w:left w:val="none" w:sz="0" w:space="0" w:color="auto"/>
            <w:bottom w:val="none" w:sz="0" w:space="0" w:color="auto"/>
            <w:right w:val="none" w:sz="0" w:space="0" w:color="auto"/>
          </w:divBdr>
        </w:div>
        <w:div w:id="2024705795">
          <w:marLeft w:val="0"/>
          <w:marRight w:val="0"/>
          <w:marTop w:val="0"/>
          <w:marBottom w:val="0"/>
          <w:divBdr>
            <w:top w:val="none" w:sz="0" w:space="0" w:color="auto"/>
            <w:left w:val="none" w:sz="0" w:space="0" w:color="auto"/>
            <w:bottom w:val="none" w:sz="0" w:space="0" w:color="auto"/>
            <w:right w:val="none" w:sz="0" w:space="0" w:color="auto"/>
          </w:divBdr>
        </w:div>
        <w:div w:id="2024705796">
          <w:marLeft w:val="0"/>
          <w:marRight w:val="0"/>
          <w:marTop w:val="0"/>
          <w:marBottom w:val="0"/>
          <w:divBdr>
            <w:top w:val="none" w:sz="0" w:space="0" w:color="auto"/>
            <w:left w:val="none" w:sz="0" w:space="0" w:color="auto"/>
            <w:bottom w:val="none" w:sz="0" w:space="0" w:color="auto"/>
            <w:right w:val="none" w:sz="0" w:space="0" w:color="auto"/>
          </w:divBdr>
        </w:div>
        <w:div w:id="2024705797">
          <w:marLeft w:val="0"/>
          <w:marRight w:val="0"/>
          <w:marTop w:val="0"/>
          <w:marBottom w:val="0"/>
          <w:divBdr>
            <w:top w:val="none" w:sz="0" w:space="0" w:color="auto"/>
            <w:left w:val="none" w:sz="0" w:space="0" w:color="auto"/>
            <w:bottom w:val="none" w:sz="0" w:space="0" w:color="auto"/>
            <w:right w:val="none" w:sz="0" w:space="0" w:color="auto"/>
          </w:divBdr>
        </w:div>
        <w:div w:id="2024705798">
          <w:marLeft w:val="0"/>
          <w:marRight w:val="0"/>
          <w:marTop w:val="0"/>
          <w:marBottom w:val="0"/>
          <w:divBdr>
            <w:top w:val="none" w:sz="0" w:space="0" w:color="auto"/>
            <w:left w:val="none" w:sz="0" w:space="0" w:color="auto"/>
            <w:bottom w:val="none" w:sz="0" w:space="0" w:color="auto"/>
            <w:right w:val="none" w:sz="0" w:space="0" w:color="auto"/>
          </w:divBdr>
        </w:div>
        <w:div w:id="2024705799">
          <w:marLeft w:val="0"/>
          <w:marRight w:val="0"/>
          <w:marTop w:val="0"/>
          <w:marBottom w:val="0"/>
          <w:divBdr>
            <w:top w:val="none" w:sz="0" w:space="0" w:color="auto"/>
            <w:left w:val="none" w:sz="0" w:space="0" w:color="auto"/>
            <w:bottom w:val="none" w:sz="0" w:space="0" w:color="auto"/>
            <w:right w:val="none" w:sz="0" w:space="0" w:color="auto"/>
          </w:divBdr>
        </w:div>
        <w:div w:id="2024705800">
          <w:marLeft w:val="0"/>
          <w:marRight w:val="0"/>
          <w:marTop w:val="0"/>
          <w:marBottom w:val="0"/>
          <w:divBdr>
            <w:top w:val="none" w:sz="0" w:space="0" w:color="auto"/>
            <w:left w:val="none" w:sz="0" w:space="0" w:color="auto"/>
            <w:bottom w:val="none" w:sz="0" w:space="0" w:color="auto"/>
            <w:right w:val="none" w:sz="0" w:space="0" w:color="auto"/>
          </w:divBdr>
        </w:div>
        <w:div w:id="2024705801">
          <w:marLeft w:val="0"/>
          <w:marRight w:val="0"/>
          <w:marTop w:val="0"/>
          <w:marBottom w:val="0"/>
          <w:divBdr>
            <w:top w:val="none" w:sz="0" w:space="0" w:color="auto"/>
            <w:left w:val="none" w:sz="0" w:space="0" w:color="auto"/>
            <w:bottom w:val="none" w:sz="0" w:space="0" w:color="auto"/>
            <w:right w:val="none" w:sz="0" w:space="0" w:color="auto"/>
          </w:divBdr>
        </w:div>
        <w:div w:id="2024705802">
          <w:marLeft w:val="0"/>
          <w:marRight w:val="0"/>
          <w:marTop w:val="0"/>
          <w:marBottom w:val="0"/>
          <w:divBdr>
            <w:top w:val="none" w:sz="0" w:space="0" w:color="auto"/>
            <w:left w:val="none" w:sz="0" w:space="0" w:color="auto"/>
            <w:bottom w:val="none" w:sz="0" w:space="0" w:color="auto"/>
            <w:right w:val="none" w:sz="0" w:space="0" w:color="auto"/>
          </w:divBdr>
        </w:div>
        <w:div w:id="2024705803">
          <w:marLeft w:val="0"/>
          <w:marRight w:val="0"/>
          <w:marTop w:val="0"/>
          <w:marBottom w:val="0"/>
          <w:divBdr>
            <w:top w:val="none" w:sz="0" w:space="0" w:color="auto"/>
            <w:left w:val="none" w:sz="0" w:space="0" w:color="auto"/>
            <w:bottom w:val="none" w:sz="0" w:space="0" w:color="auto"/>
            <w:right w:val="none" w:sz="0" w:space="0" w:color="auto"/>
          </w:divBdr>
        </w:div>
        <w:div w:id="2024705804">
          <w:marLeft w:val="0"/>
          <w:marRight w:val="0"/>
          <w:marTop w:val="0"/>
          <w:marBottom w:val="0"/>
          <w:divBdr>
            <w:top w:val="none" w:sz="0" w:space="0" w:color="auto"/>
            <w:left w:val="none" w:sz="0" w:space="0" w:color="auto"/>
            <w:bottom w:val="none" w:sz="0" w:space="0" w:color="auto"/>
            <w:right w:val="none" w:sz="0" w:space="0" w:color="auto"/>
          </w:divBdr>
        </w:div>
        <w:div w:id="2024705805">
          <w:marLeft w:val="0"/>
          <w:marRight w:val="0"/>
          <w:marTop w:val="0"/>
          <w:marBottom w:val="0"/>
          <w:divBdr>
            <w:top w:val="none" w:sz="0" w:space="0" w:color="auto"/>
            <w:left w:val="none" w:sz="0" w:space="0" w:color="auto"/>
            <w:bottom w:val="none" w:sz="0" w:space="0" w:color="auto"/>
            <w:right w:val="none" w:sz="0" w:space="0" w:color="auto"/>
          </w:divBdr>
        </w:div>
        <w:div w:id="2024705806">
          <w:marLeft w:val="0"/>
          <w:marRight w:val="0"/>
          <w:marTop w:val="0"/>
          <w:marBottom w:val="0"/>
          <w:divBdr>
            <w:top w:val="none" w:sz="0" w:space="0" w:color="auto"/>
            <w:left w:val="none" w:sz="0" w:space="0" w:color="auto"/>
            <w:bottom w:val="none" w:sz="0" w:space="0" w:color="auto"/>
            <w:right w:val="none" w:sz="0" w:space="0" w:color="auto"/>
          </w:divBdr>
        </w:div>
        <w:div w:id="2024705807">
          <w:marLeft w:val="0"/>
          <w:marRight w:val="0"/>
          <w:marTop w:val="0"/>
          <w:marBottom w:val="0"/>
          <w:divBdr>
            <w:top w:val="none" w:sz="0" w:space="0" w:color="auto"/>
            <w:left w:val="none" w:sz="0" w:space="0" w:color="auto"/>
            <w:bottom w:val="none" w:sz="0" w:space="0" w:color="auto"/>
            <w:right w:val="none" w:sz="0" w:space="0" w:color="auto"/>
          </w:divBdr>
        </w:div>
        <w:div w:id="2024705808">
          <w:marLeft w:val="0"/>
          <w:marRight w:val="0"/>
          <w:marTop w:val="0"/>
          <w:marBottom w:val="0"/>
          <w:divBdr>
            <w:top w:val="none" w:sz="0" w:space="0" w:color="auto"/>
            <w:left w:val="none" w:sz="0" w:space="0" w:color="auto"/>
            <w:bottom w:val="none" w:sz="0" w:space="0" w:color="auto"/>
            <w:right w:val="none" w:sz="0" w:space="0" w:color="auto"/>
          </w:divBdr>
        </w:div>
        <w:div w:id="2024705810">
          <w:marLeft w:val="0"/>
          <w:marRight w:val="0"/>
          <w:marTop w:val="0"/>
          <w:marBottom w:val="0"/>
          <w:divBdr>
            <w:top w:val="none" w:sz="0" w:space="0" w:color="auto"/>
            <w:left w:val="none" w:sz="0" w:space="0" w:color="auto"/>
            <w:bottom w:val="none" w:sz="0" w:space="0" w:color="auto"/>
            <w:right w:val="none" w:sz="0" w:space="0" w:color="auto"/>
          </w:divBdr>
        </w:div>
        <w:div w:id="2024705811">
          <w:marLeft w:val="0"/>
          <w:marRight w:val="0"/>
          <w:marTop w:val="0"/>
          <w:marBottom w:val="0"/>
          <w:divBdr>
            <w:top w:val="none" w:sz="0" w:space="0" w:color="auto"/>
            <w:left w:val="none" w:sz="0" w:space="0" w:color="auto"/>
            <w:bottom w:val="none" w:sz="0" w:space="0" w:color="auto"/>
            <w:right w:val="none" w:sz="0" w:space="0" w:color="auto"/>
          </w:divBdr>
        </w:div>
        <w:div w:id="2024705812">
          <w:marLeft w:val="0"/>
          <w:marRight w:val="0"/>
          <w:marTop w:val="0"/>
          <w:marBottom w:val="0"/>
          <w:divBdr>
            <w:top w:val="none" w:sz="0" w:space="0" w:color="auto"/>
            <w:left w:val="none" w:sz="0" w:space="0" w:color="auto"/>
            <w:bottom w:val="none" w:sz="0" w:space="0" w:color="auto"/>
            <w:right w:val="none" w:sz="0" w:space="0" w:color="auto"/>
          </w:divBdr>
        </w:div>
        <w:div w:id="2024705813">
          <w:marLeft w:val="0"/>
          <w:marRight w:val="0"/>
          <w:marTop w:val="0"/>
          <w:marBottom w:val="0"/>
          <w:divBdr>
            <w:top w:val="none" w:sz="0" w:space="0" w:color="auto"/>
            <w:left w:val="none" w:sz="0" w:space="0" w:color="auto"/>
            <w:bottom w:val="none" w:sz="0" w:space="0" w:color="auto"/>
            <w:right w:val="none" w:sz="0" w:space="0" w:color="auto"/>
          </w:divBdr>
        </w:div>
        <w:div w:id="2024705814">
          <w:marLeft w:val="0"/>
          <w:marRight w:val="0"/>
          <w:marTop w:val="0"/>
          <w:marBottom w:val="0"/>
          <w:divBdr>
            <w:top w:val="none" w:sz="0" w:space="0" w:color="auto"/>
            <w:left w:val="none" w:sz="0" w:space="0" w:color="auto"/>
            <w:bottom w:val="none" w:sz="0" w:space="0" w:color="auto"/>
            <w:right w:val="none" w:sz="0" w:space="0" w:color="auto"/>
          </w:divBdr>
        </w:div>
        <w:div w:id="2024705815">
          <w:marLeft w:val="0"/>
          <w:marRight w:val="0"/>
          <w:marTop w:val="0"/>
          <w:marBottom w:val="0"/>
          <w:divBdr>
            <w:top w:val="none" w:sz="0" w:space="0" w:color="auto"/>
            <w:left w:val="none" w:sz="0" w:space="0" w:color="auto"/>
            <w:bottom w:val="none" w:sz="0" w:space="0" w:color="auto"/>
            <w:right w:val="none" w:sz="0" w:space="0" w:color="auto"/>
          </w:divBdr>
        </w:div>
        <w:div w:id="2024705816">
          <w:marLeft w:val="0"/>
          <w:marRight w:val="0"/>
          <w:marTop w:val="0"/>
          <w:marBottom w:val="0"/>
          <w:divBdr>
            <w:top w:val="none" w:sz="0" w:space="0" w:color="auto"/>
            <w:left w:val="none" w:sz="0" w:space="0" w:color="auto"/>
            <w:bottom w:val="none" w:sz="0" w:space="0" w:color="auto"/>
            <w:right w:val="none" w:sz="0" w:space="0" w:color="auto"/>
          </w:divBdr>
        </w:div>
        <w:div w:id="2024705817">
          <w:marLeft w:val="0"/>
          <w:marRight w:val="0"/>
          <w:marTop w:val="0"/>
          <w:marBottom w:val="0"/>
          <w:divBdr>
            <w:top w:val="none" w:sz="0" w:space="0" w:color="auto"/>
            <w:left w:val="none" w:sz="0" w:space="0" w:color="auto"/>
            <w:bottom w:val="none" w:sz="0" w:space="0" w:color="auto"/>
            <w:right w:val="none" w:sz="0" w:space="0" w:color="auto"/>
          </w:divBdr>
        </w:div>
        <w:div w:id="2024705818">
          <w:marLeft w:val="0"/>
          <w:marRight w:val="0"/>
          <w:marTop w:val="0"/>
          <w:marBottom w:val="0"/>
          <w:divBdr>
            <w:top w:val="none" w:sz="0" w:space="0" w:color="auto"/>
            <w:left w:val="none" w:sz="0" w:space="0" w:color="auto"/>
            <w:bottom w:val="none" w:sz="0" w:space="0" w:color="auto"/>
            <w:right w:val="none" w:sz="0" w:space="0" w:color="auto"/>
          </w:divBdr>
        </w:div>
        <w:div w:id="2024705819">
          <w:marLeft w:val="0"/>
          <w:marRight w:val="0"/>
          <w:marTop w:val="0"/>
          <w:marBottom w:val="0"/>
          <w:divBdr>
            <w:top w:val="none" w:sz="0" w:space="0" w:color="auto"/>
            <w:left w:val="none" w:sz="0" w:space="0" w:color="auto"/>
            <w:bottom w:val="none" w:sz="0" w:space="0" w:color="auto"/>
            <w:right w:val="none" w:sz="0" w:space="0" w:color="auto"/>
          </w:divBdr>
        </w:div>
        <w:div w:id="2024705820">
          <w:marLeft w:val="0"/>
          <w:marRight w:val="0"/>
          <w:marTop w:val="0"/>
          <w:marBottom w:val="0"/>
          <w:divBdr>
            <w:top w:val="none" w:sz="0" w:space="0" w:color="auto"/>
            <w:left w:val="none" w:sz="0" w:space="0" w:color="auto"/>
            <w:bottom w:val="none" w:sz="0" w:space="0" w:color="auto"/>
            <w:right w:val="none" w:sz="0" w:space="0" w:color="auto"/>
          </w:divBdr>
        </w:div>
        <w:div w:id="2024705821">
          <w:marLeft w:val="0"/>
          <w:marRight w:val="0"/>
          <w:marTop w:val="0"/>
          <w:marBottom w:val="0"/>
          <w:divBdr>
            <w:top w:val="none" w:sz="0" w:space="0" w:color="auto"/>
            <w:left w:val="none" w:sz="0" w:space="0" w:color="auto"/>
            <w:bottom w:val="none" w:sz="0" w:space="0" w:color="auto"/>
            <w:right w:val="none" w:sz="0" w:space="0" w:color="auto"/>
          </w:divBdr>
        </w:div>
        <w:div w:id="2024705822">
          <w:marLeft w:val="0"/>
          <w:marRight w:val="0"/>
          <w:marTop w:val="0"/>
          <w:marBottom w:val="0"/>
          <w:divBdr>
            <w:top w:val="none" w:sz="0" w:space="0" w:color="auto"/>
            <w:left w:val="none" w:sz="0" w:space="0" w:color="auto"/>
            <w:bottom w:val="none" w:sz="0" w:space="0" w:color="auto"/>
            <w:right w:val="none" w:sz="0" w:space="0" w:color="auto"/>
          </w:divBdr>
        </w:div>
        <w:div w:id="2024705823">
          <w:marLeft w:val="0"/>
          <w:marRight w:val="0"/>
          <w:marTop w:val="0"/>
          <w:marBottom w:val="0"/>
          <w:divBdr>
            <w:top w:val="none" w:sz="0" w:space="0" w:color="auto"/>
            <w:left w:val="none" w:sz="0" w:space="0" w:color="auto"/>
            <w:bottom w:val="none" w:sz="0" w:space="0" w:color="auto"/>
            <w:right w:val="none" w:sz="0" w:space="0" w:color="auto"/>
          </w:divBdr>
        </w:div>
        <w:div w:id="2024705824">
          <w:marLeft w:val="0"/>
          <w:marRight w:val="0"/>
          <w:marTop w:val="0"/>
          <w:marBottom w:val="0"/>
          <w:divBdr>
            <w:top w:val="none" w:sz="0" w:space="0" w:color="auto"/>
            <w:left w:val="none" w:sz="0" w:space="0" w:color="auto"/>
            <w:bottom w:val="none" w:sz="0" w:space="0" w:color="auto"/>
            <w:right w:val="none" w:sz="0" w:space="0" w:color="auto"/>
          </w:divBdr>
        </w:div>
        <w:div w:id="2024705825">
          <w:marLeft w:val="0"/>
          <w:marRight w:val="0"/>
          <w:marTop w:val="0"/>
          <w:marBottom w:val="0"/>
          <w:divBdr>
            <w:top w:val="none" w:sz="0" w:space="0" w:color="auto"/>
            <w:left w:val="none" w:sz="0" w:space="0" w:color="auto"/>
            <w:bottom w:val="none" w:sz="0" w:space="0" w:color="auto"/>
            <w:right w:val="none" w:sz="0" w:space="0" w:color="auto"/>
          </w:divBdr>
        </w:div>
        <w:div w:id="2024705826">
          <w:marLeft w:val="0"/>
          <w:marRight w:val="0"/>
          <w:marTop w:val="0"/>
          <w:marBottom w:val="0"/>
          <w:divBdr>
            <w:top w:val="none" w:sz="0" w:space="0" w:color="auto"/>
            <w:left w:val="none" w:sz="0" w:space="0" w:color="auto"/>
            <w:bottom w:val="none" w:sz="0" w:space="0" w:color="auto"/>
            <w:right w:val="none" w:sz="0" w:space="0" w:color="auto"/>
          </w:divBdr>
        </w:div>
        <w:div w:id="2024705827">
          <w:marLeft w:val="0"/>
          <w:marRight w:val="0"/>
          <w:marTop w:val="0"/>
          <w:marBottom w:val="0"/>
          <w:divBdr>
            <w:top w:val="none" w:sz="0" w:space="0" w:color="auto"/>
            <w:left w:val="none" w:sz="0" w:space="0" w:color="auto"/>
            <w:bottom w:val="none" w:sz="0" w:space="0" w:color="auto"/>
            <w:right w:val="none" w:sz="0" w:space="0" w:color="auto"/>
          </w:divBdr>
        </w:div>
        <w:div w:id="2024705828">
          <w:marLeft w:val="0"/>
          <w:marRight w:val="0"/>
          <w:marTop w:val="0"/>
          <w:marBottom w:val="0"/>
          <w:divBdr>
            <w:top w:val="none" w:sz="0" w:space="0" w:color="auto"/>
            <w:left w:val="none" w:sz="0" w:space="0" w:color="auto"/>
            <w:bottom w:val="none" w:sz="0" w:space="0" w:color="auto"/>
            <w:right w:val="none" w:sz="0" w:space="0" w:color="auto"/>
          </w:divBdr>
        </w:div>
        <w:div w:id="2024705829">
          <w:marLeft w:val="0"/>
          <w:marRight w:val="0"/>
          <w:marTop w:val="0"/>
          <w:marBottom w:val="0"/>
          <w:divBdr>
            <w:top w:val="none" w:sz="0" w:space="0" w:color="auto"/>
            <w:left w:val="none" w:sz="0" w:space="0" w:color="auto"/>
            <w:bottom w:val="none" w:sz="0" w:space="0" w:color="auto"/>
            <w:right w:val="none" w:sz="0" w:space="0" w:color="auto"/>
          </w:divBdr>
        </w:div>
        <w:div w:id="2024705830">
          <w:marLeft w:val="0"/>
          <w:marRight w:val="0"/>
          <w:marTop w:val="0"/>
          <w:marBottom w:val="0"/>
          <w:divBdr>
            <w:top w:val="none" w:sz="0" w:space="0" w:color="auto"/>
            <w:left w:val="none" w:sz="0" w:space="0" w:color="auto"/>
            <w:bottom w:val="none" w:sz="0" w:space="0" w:color="auto"/>
            <w:right w:val="none" w:sz="0" w:space="0" w:color="auto"/>
          </w:divBdr>
        </w:div>
        <w:div w:id="2024705831">
          <w:marLeft w:val="0"/>
          <w:marRight w:val="0"/>
          <w:marTop w:val="0"/>
          <w:marBottom w:val="0"/>
          <w:divBdr>
            <w:top w:val="none" w:sz="0" w:space="0" w:color="auto"/>
            <w:left w:val="none" w:sz="0" w:space="0" w:color="auto"/>
            <w:bottom w:val="none" w:sz="0" w:space="0" w:color="auto"/>
            <w:right w:val="none" w:sz="0" w:space="0" w:color="auto"/>
          </w:divBdr>
        </w:div>
        <w:div w:id="2024705832">
          <w:marLeft w:val="0"/>
          <w:marRight w:val="0"/>
          <w:marTop w:val="0"/>
          <w:marBottom w:val="0"/>
          <w:divBdr>
            <w:top w:val="none" w:sz="0" w:space="0" w:color="auto"/>
            <w:left w:val="none" w:sz="0" w:space="0" w:color="auto"/>
            <w:bottom w:val="none" w:sz="0" w:space="0" w:color="auto"/>
            <w:right w:val="none" w:sz="0" w:space="0" w:color="auto"/>
          </w:divBdr>
        </w:div>
        <w:div w:id="2024705833">
          <w:marLeft w:val="0"/>
          <w:marRight w:val="0"/>
          <w:marTop w:val="0"/>
          <w:marBottom w:val="0"/>
          <w:divBdr>
            <w:top w:val="none" w:sz="0" w:space="0" w:color="auto"/>
            <w:left w:val="none" w:sz="0" w:space="0" w:color="auto"/>
            <w:bottom w:val="none" w:sz="0" w:space="0" w:color="auto"/>
            <w:right w:val="none" w:sz="0" w:space="0" w:color="auto"/>
          </w:divBdr>
        </w:div>
        <w:div w:id="2024705834">
          <w:marLeft w:val="0"/>
          <w:marRight w:val="0"/>
          <w:marTop w:val="0"/>
          <w:marBottom w:val="0"/>
          <w:divBdr>
            <w:top w:val="none" w:sz="0" w:space="0" w:color="auto"/>
            <w:left w:val="none" w:sz="0" w:space="0" w:color="auto"/>
            <w:bottom w:val="none" w:sz="0" w:space="0" w:color="auto"/>
            <w:right w:val="none" w:sz="0" w:space="0" w:color="auto"/>
          </w:divBdr>
        </w:div>
        <w:div w:id="2024705835">
          <w:marLeft w:val="0"/>
          <w:marRight w:val="0"/>
          <w:marTop w:val="0"/>
          <w:marBottom w:val="0"/>
          <w:divBdr>
            <w:top w:val="none" w:sz="0" w:space="0" w:color="auto"/>
            <w:left w:val="none" w:sz="0" w:space="0" w:color="auto"/>
            <w:bottom w:val="none" w:sz="0" w:space="0" w:color="auto"/>
            <w:right w:val="none" w:sz="0" w:space="0" w:color="auto"/>
          </w:divBdr>
        </w:div>
        <w:div w:id="2024705836">
          <w:marLeft w:val="0"/>
          <w:marRight w:val="0"/>
          <w:marTop w:val="0"/>
          <w:marBottom w:val="0"/>
          <w:divBdr>
            <w:top w:val="none" w:sz="0" w:space="0" w:color="auto"/>
            <w:left w:val="none" w:sz="0" w:space="0" w:color="auto"/>
            <w:bottom w:val="none" w:sz="0" w:space="0" w:color="auto"/>
            <w:right w:val="none" w:sz="0" w:space="0" w:color="auto"/>
          </w:divBdr>
        </w:div>
        <w:div w:id="2024705837">
          <w:marLeft w:val="0"/>
          <w:marRight w:val="0"/>
          <w:marTop w:val="0"/>
          <w:marBottom w:val="0"/>
          <w:divBdr>
            <w:top w:val="none" w:sz="0" w:space="0" w:color="auto"/>
            <w:left w:val="none" w:sz="0" w:space="0" w:color="auto"/>
            <w:bottom w:val="none" w:sz="0" w:space="0" w:color="auto"/>
            <w:right w:val="none" w:sz="0" w:space="0" w:color="auto"/>
          </w:divBdr>
        </w:div>
        <w:div w:id="2024705838">
          <w:marLeft w:val="0"/>
          <w:marRight w:val="0"/>
          <w:marTop w:val="0"/>
          <w:marBottom w:val="0"/>
          <w:divBdr>
            <w:top w:val="none" w:sz="0" w:space="0" w:color="auto"/>
            <w:left w:val="none" w:sz="0" w:space="0" w:color="auto"/>
            <w:bottom w:val="none" w:sz="0" w:space="0" w:color="auto"/>
            <w:right w:val="none" w:sz="0" w:space="0" w:color="auto"/>
          </w:divBdr>
        </w:div>
        <w:div w:id="2024705839">
          <w:marLeft w:val="0"/>
          <w:marRight w:val="0"/>
          <w:marTop w:val="0"/>
          <w:marBottom w:val="0"/>
          <w:divBdr>
            <w:top w:val="none" w:sz="0" w:space="0" w:color="auto"/>
            <w:left w:val="none" w:sz="0" w:space="0" w:color="auto"/>
            <w:bottom w:val="none" w:sz="0" w:space="0" w:color="auto"/>
            <w:right w:val="none" w:sz="0" w:space="0" w:color="auto"/>
          </w:divBdr>
        </w:div>
        <w:div w:id="2024705840">
          <w:marLeft w:val="0"/>
          <w:marRight w:val="0"/>
          <w:marTop w:val="0"/>
          <w:marBottom w:val="0"/>
          <w:divBdr>
            <w:top w:val="none" w:sz="0" w:space="0" w:color="auto"/>
            <w:left w:val="none" w:sz="0" w:space="0" w:color="auto"/>
            <w:bottom w:val="none" w:sz="0" w:space="0" w:color="auto"/>
            <w:right w:val="none" w:sz="0" w:space="0" w:color="auto"/>
          </w:divBdr>
        </w:div>
        <w:div w:id="2024705841">
          <w:marLeft w:val="0"/>
          <w:marRight w:val="0"/>
          <w:marTop w:val="0"/>
          <w:marBottom w:val="0"/>
          <w:divBdr>
            <w:top w:val="none" w:sz="0" w:space="0" w:color="auto"/>
            <w:left w:val="none" w:sz="0" w:space="0" w:color="auto"/>
            <w:bottom w:val="none" w:sz="0" w:space="0" w:color="auto"/>
            <w:right w:val="none" w:sz="0" w:space="0" w:color="auto"/>
          </w:divBdr>
        </w:div>
        <w:div w:id="2024705842">
          <w:marLeft w:val="0"/>
          <w:marRight w:val="0"/>
          <w:marTop w:val="0"/>
          <w:marBottom w:val="0"/>
          <w:divBdr>
            <w:top w:val="none" w:sz="0" w:space="0" w:color="auto"/>
            <w:left w:val="none" w:sz="0" w:space="0" w:color="auto"/>
            <w:bottom w:val="none" w:sz="0" w:space="0" w:color="auto"/>
            <w:right w:val="none" w:sz="0" w:space="0" w:color="auto"/>
          </w:divBdr>
        </w:div>
        <w:div w:id="2024705843">
          <w:marLeft w:val="0"/>
          <w:marRight w:val="0"/>
          <w:marTop w:val="0"/>
          <w:marBottom w:val="0"/>
          <w:divBdr>
            <w:top w:val="none" w:sz="0" w:space="0" w:color="auto"/>
            <w:left w:val="none" w:sz="0" w:space="0" w:color="auto"/>
            <w:bottom w:val="none" w:sz="0" w:space="0" w:color="auto"/>
            <w:right w:val="none" w:sz="0" w:space="0" w:color="auto"/>
          </w:divBdr>
        </w:div>
        <w:div w:id="2024705844">
          <w:marLeft w:val="0"/>
          <w:marRight w:val="0"/>
          <w:marTop w:val="0"/>
          <w:marBottom w:val="0"/>
          <w:divBdr>
            <w:top w:val="none" w:sz="0" w:space="0" w:color="auto"/>
            <w:left w:val="none" w:sz="0" w:space="0" w:color="auto"/>
            <w:bottom w:val="none" w:sz="0" w:space="0" w:color="auto"/>
            <w:right w:val="none" w:sz="0" w:space="0" w:color="auto"/>
          </w:divBdr>
        </w:div>
        <w:div w:id="2024705845">
          <w:marLeft w:val="0"/>
          <w:marRight w:val="0"/>
          <w:marTop w:val="0"/>
          <w:marBottom w:val="0"/>
          <w:divBdr>
            <w:top w:val="none" w:sz="0" w:space="0" w:color="auto"/>
            <w:left w:val="none" w:sz="0" w:space="0" w:color="auto"/>
            <w:bottom w:val="none" w:sz="0" w:space="0" w:color="auto"/>
            <w:right w:val="none" w:sz="0" w:space="0" w:color="auto"/>
          </w:divBdr>
        </w:div>
        <w:div w:id="2024705846">
          <w:marLeft w:val="0"/>
          <w:marRight w:val="0"/>
          <w:marTop w:val="0"/>
          <w:marBottom w:val="0"/>
          <w:divBdr>
            <w:top w:val="none" w:sz="0" w:space="0" w:color="auto"/>
            <w:left w:val="none" w:sz="0" w:space="0" w:color="auto"/>
            <w:bottom w:val="none" w:sz="0" w:space="0" w:color="auto"/>
            <w:right w:val="none" w:sz="0" w:space="0" w:color="auto"/>
          </w:divBdr>
        </w:div>
        <w:div w:id="2024705847">
          <w:marLeft w:val="0"/>
          <w:marRight w:val="0"/>
          <w:marTop w:val="0"/>
          <w:marBottom w:val="0"/>
          <w:divBdr>
            <w:top w:val="none" w:sz="0" w:space="0" w:color="auto"/>
            <w:left w:val="none" w:sz="0" w:space="0" w:color="auto"/>
            <w:bottom w:val="none" w:sz="0" w:space="0" w:color="auto"/>
            <w:right w:val="none" w:sz="0" w:space="0" w:color="auto"/>
          </w:divBdr>
        </w:div>
        <w:div w:id="2024705848">
          <w:marLeft w:val="0"/>
          <w:marRight w:val="0"/>
          <w:marTop w:val="0"/>
          <w:marBottom w:val="0"/>
          <w:divBdr>
            <w:top w:val="none" w:sz="0" w:space="0" w:color="auto"/>
            <w:left w:val="none" w:sz="0" w:space="0" w:color="auto"/>
            <w:bottom w:val="none" w:sz="0" w:space="0" w:color="auto"/>
            <w:right w:val="none" w:sz="0" w:space="0" w:color="auto"/>
          </w:divBdr>
        </w:div>
        <w:div w:id="2024705849">
          <w:marLeft w:val="0"/>
          <w:marRight w:val="0"/>
          <w:marTop w:val="0"/>
          <w:marBottom w:val="0"/>
          <w:divBdr>
            <w:top w:val="none" w:sz="0" w:space="0" w:color="auto"/>
            <w:left w:val="none" w:sz="0" w:space="0" w:color="auto"/>
            <w:bottom w:val="none" w:sz="0" w:space="0" w:color="auto"/>
            <w:right w:val="none" w:sz="0" w:space="0" w:color="auto"/>
          </w:divBdr>
        </w:div>
        <w:div w:id="2024705850">
          <w:marLeft w:val="0"/>
          <w:marRight w:val="0"/>
          <w:marTop w:val="0"/>
          <w:marBottom w:val="0"/>
          <w:divBdr>
            <w:top w:val="none" w:sz="0" w:space="0" w:color="auto"/>
            <w:left w:val="none" w:sz="0" w:space="0" w:color="auto"/>
            <w:bottom w:val="none" w:sz="0" w:space="0" w:color="auto"/>
            <w:right w:val="none" w:sz="0" w:space="0" w:color="auto"/>
          </w:divBdr>
        </w:div>
        <w:div w:id="2024705851">
          <w:marLeft w:val="0"/>
          <w:marRight w:val="0"/>
          <w:marTop w:val="0"/>
          <w:marBottom w:val="0"/>
          <w:divBdr>
            <w:top w:val="none" w:sz="0" w:space="0" w:color="auto"/>
            <w:left w:val="none" w:sz="0" w:space="0" w:color="auto"/>
            <w:bottom w:val="none" w:sz="0" w:space="0" w:color="auto"/>
            <w:right w:val="none" w:sz="0" w:space="0" w:color="auto"/>
          </w:divBdr>
        </w:div>
        <w:div w:id="2024705852">
          <w:marLeft w:val="0"/>
          <w:marRight w:val="0"/>
          <w:marTop w:val="0"/>
          <w:marBottom w:val="0"/>
          <w:divBdr>
            <w:top w:val="none" w:sz="0" w:space="0" w:color="auto"/>
            <w:left w:val="none" w:sz="0" w:space="0" w:color="auto"/>
            <w:bottom w:val="none" w:sz="0" w:space="0" w:color="auto"/>
            <w:right w:val="none" w:sz="0" w:space="0" w:color="auto"/>
          </w:divBdr>
        </w:div>
        <w:div w:id="2024705853">
          <w:marLeft w:val="0"/>
          <w:marRight w:val="0"/>
          <w:marTop w:val="0"/>
          <w:marBottom w:val="0"/>
          <w:divBdr>
            <w:top w:val="none" w:sz="0" w:space="0" w:color="auto"/>
            <w:left w:val="none" w:sz="0" w:space="0" w:color="auto"/>
            <w:bottom w:val="none" w:sz="0" w:space="0" w:color="auto"/>
            <w:right w:val="none" w:sz="0" w:space="0" w:color="auto"/>
          </w:divBdr>
        </w:div>
        <w:div w:id="2024705854">
          <w:marLeft w:val="0"/>
          <w:marRight w:val="0"/>
          <w:marTop w:val="0"/>
          <w:marBottom w:val="0"/>
          <w:divBdr>
            <w:top w:val="none" w:sz="0" w:space="0" w:color="auto"/>
            <w:left w:val="none" w:sz="0" w:space="0" w:color="auto"/>
            <w:bottom w:val="none" w:sz="0" w:space="0" w:color="auto"/>
            <w:right w:val="none" w:sz="0" w:space="0" w:color="auto"/>
          </w:divBdr>
        </w:div>
        <w:div w:id="2024705855">
          <w:marLeft w:val="0"/>
          <w:marRight w:val="0"/>
          <w:marTop w:val="0"/>
          <w:marBottom w:val="0"/>
          <w:divBdr>
            <w:top w:val="none" w:sz="0" w:space="0" w:color="auto"/>
            <w:left w:val="none" w:sz="0" w:space="0" w:color="auto"/>
            <w:bottom w:val="none" w:sz="0" w:space="0" w:color="auto"/>
            <w:right w:val="none" w:sz="0" w:space="0" w:color="auto"/>
          </w:divBdr>
        </w:div>
        <w:div w:id="2024705856">
          <w:marLeft w:val="0"/>
          <w:marRight w:val="0"/>
          <w:marTop w:val="0"/>
          <w:marBottom w:val="0"/>
          <w:divBdr>
            <w:top w:val="none" w:sz="0" w:space="0" w:color="auto"/>
            <w:left w:val="none" w:sz="0" w:space="0" w:color="auto"/>
            <w:bottom w:val="none" w:sz="0" w:space="0" w:color="auto"/>
            <w:right w:val="none" w:sz="0" w:space="0" w:color="auto"/>
          </w:divBdr>
        </w:div>
        <w:div w:id="2024705857">
          <w:marLeft w:val="0"/>
          <w:marRight w:val="0"/>
          <w:marTop w:val="0"/>
          <w:marBottom w:val="0"/>
          <w:divBdr>
            <w:top w:val="none" w:sz="0" w:space="0" w:color="auto"/>
            <w:left w:val="none" w:sz="0" w:space="0" w:color="auto"/>
            <w:bottom w:val="none" w:sz="0" w:space="0" w:color="auto"/>
            <w:right w:val="none" w:sz="0" w:space="0" w:color="auto"/>
          </w:divBdr>
        </w:div>
        <w:div w:id="2024705858">
          <w:marLeft w:val="0"/>
          <w:marRight w:val="0"/>
          <w:marTop w:val="0"/>
          <w:marBottom w:val="0"/>
          <w:divBdr>
            <w:top w:val="none" w:sz="0" w:space="0" w:color="auto"/>
            <w:left w:val="none" w:sz="0" w:space="0" w:color="auto"/>
            <w:bottom w:val="none" w:sz="0" w:space="0" w:color="auto"/>
            <w:right w:val="none" w:sz="0" w:space="0" w:color="auto"/>
          </w:divBdr>
        </w:div>
        <w:div w:id="2024705859">
          <w:marLeft w:val="0"/>
          <w:marRight w:val="0"/>
          <w:marTop w:val="0"/>
          <w:marBottom w:val="0"/>
          <w:divBdr>
            <w:top w:val="none" w:sz="0" w:space="0" w:color="auto"/>
            <w:left w:val="none" w:sz="0" w:space="0" w:color="auto"/>
            <w:bottom w:val="none" w:sz="0" w:space="0" w:color="auto"/>
            <w:right w:val="none" w:sz="0" w:space="0" w:color="auto"/>
          </w:divBdr>
        </w:div>
        <w:div w:id="2024705860">
          <w:marLeft w:val="0"/>
          <w:marRight w:val="0"/>
          <w:marTop w:val="0"/>
          <w:marBottom w:val="0"/>
          <w:divBdr>
            <w:top w:val="none" w:sz="0" w:space="0" w:color="auto"/>
            <w:left w:val="none" w:sz="0" w:space="0" w:color="auto"/>
            <w:bottom w:val="none" w:sz="0" w:space="0" w:color="auto"/>
            <w:right w:val="none" w:sz="0" w:space="0" w:color="auto"/>
          </w:divBdr>
        </w:div>
        <w:div w:id="2024705861">
          <w:marLeft w:val="0"/>
          <w:marRight w:val="0"/>
          <w:marTop w:val="0"/>
          <w:marBottom w:val="0"/>
          <w:divBdr>
            <w:top w:val="none" w:sz="0" w:space="0" w:color="auto"/>
            <w:left w:val="none" w:sz="0" w:space="0" w:color="auto"/>
            <w:bottom w:val="none" w:sz="0" w:space="0" w:color="auto"/>
            <w:right w:val="none" w:sz="0" w:space="0" w:color="auto"/>
          </w:divBdr>
        </w:div>
        <w:div w:id="2024705862">
          <w:marLeft w:val="0"/>
          <w:marRight w:val="0"/>
          <w:marTop w:val="0"/>
          <w:marBottom w:val="0"/>
          <w:divBdr>
            <w:top w:val="none" w:sz="0" w:space="0" w:color="auto"/>
            <w:left w:val="none" w:sz="0" w:space="0" w:color="auto"/>
            <w:bottom w:val="none" w:sz="0" w:space="0" w:color="auto"/>
            <w:right w:val="none" w:sz="0" w:space="0" w:color="auto"/>
          </w:divBdr>
        </w:div>
        <w:div w:id="2024705863">
          <w:marLeft w:val="0"/>
          <w:marRight w:val="0"/>
          <w:marTop w:val="0"/>
          <w:marBottom w:val="0"/>
          <w:divBdr>
            <w:top w:val="none" w:sz="0" w:space="0" w:color="auto"/>
            <w:left w:val="none" w:sz="0" w:space="0" w:color="auto"/>
            <w:bottom w:val="none" w:sz="0" w:space="0" w:color="auto"/>
            <w:right w:val="none" w:sz="0" w:space="0" w:color="auto"/>
          </w:divBdr>
        </w:div>
        <w:div w:id="2024705864">
          <w:marLeft w:val="0"/>
          <w:marRight w:val="0"/>
          <w:marTop w:val="0"/>
          <w:marBottom w:val="0"/>
          <w:divBdr>
            <w:top w:val="none" w:sz="0" w:space="0" w:color="auto"/>
            <w:left w:val="none" w:sz="0" w:space="0" w:color="auto"/>
            <w:bottom w:val="none" w:sz="0" w:space="0" w:color="auto"/>
            <w:right w:val="none" w:sz="0" w:space="0" w:color="auto"/>
          </w:divBdr>
        </w:div>
        <w:div w:id="2024705865">
          <w:marLeft w:val="0"/>
          <w:marRight w:val="0"/>
          <w:marTop w:val="0"/>
          <w:marBottom w:val="0"/>
          <w:divBdr>
            <w:top w:val="none" w:sz="0" w:space="0" w:color="auto"/>
            <w:left w:val="none" w:sz="0" w:space="0" w:color="auto"/>
            <w:bottom w:val="none" w:sz="0" w:space="0" w:color="auto"/>
            <w:right w:val="none" w:sz="0" w:space="0" w:color="auto"/>
          </w:divBdr>
        </w:div>
        <w:div w:id="2024705866">
          <w:marLeft w:val="0"/>
          <w:marRight w:val="0"/>
          <w:marTop w:val="0"/>
          <w:marBottom w:val="0"/>
          <w:divBdr>
            <w:top w:val="none" w:sz="0" w:space="0" w:color="auto"/>
            <w:left w:val="none" w:sz="0" w:space="0" w:color="auto"/>
            <w:bottom w:val="none" w:sz="0" w:space="0" w:color="auto"/>
            <w:right w:val="none" w:sz="0" w:space="0" w:color="auto"/>
          </w:divBdr>
        </w:div>
        <w:div w:id="2024705867">
          <w:marLeft w:val="0"/>
          <w:marRight w:val="0"/>
          <w:marTop w:val="0"/>
          <w:marBottom w:val="0"/>
          <w:divBdr>
            <w:top w:val="none" w:sz="0" w:space="0" w:color="auto"/>
            <w:left w:val="none" w:sz="0" w:space="0" w:color="auto"/>
            <w:bottom w:val="none" w:sz="0" w:space="0" w:color="auto"/>
            <w:right w:val="none" w:sz="0" w:space="0" w:color="auto"/>
          </w:divBdr>
        </w:div>
        <w:div w:id="2024705868">
          <w:marLeft w:val="0"/>
          <w:marRight w:val="0"/>
          <w:marTop w:val="0"/>
          <w:marBottom w:val="0"/>
          <w:divBdr>
            <w:top w:val="none" w:sz="0" w:space="0" w:color="auto"/>
            <w:left w:val="none" w:sz="0" w:space="0" w:color="auto"/>
            <w:bottom w:val="none" w:sz="0" w:space="0" w:color="auto"/>
            <w:right w:val="none" w:sz="0" w:space="0" w:color="auto"/>
          </w:divBdr>
        </w:div>
        <w:div w:id="2024705869">
          <w:marLeft w:val="0"/>
          <w:marRight w:val="0"/>
          <w:marTop w:val="0"/>
          <w:marBottom w:val="0"/>
          <w:divBdr>
            <w:top w:val="none" w:sz="0" w:space="0" w:color="auto"/>
            <w:left w:val="none" w:sz="0" w:space="0" w:color="auto"/>
            <w:bottom w:val="none" w:sz="0" w:space="0" w:color="auto"/>
            <w:right w:val="none" w:sz="0" w:space="0" w:color="auto"/>
          </w:divBdr>
        </w:div>
        <w:div w:id="2024705870">
          <w:marLeft w:val="0"/>
          <w:marRight w:val="0"/>
          <w:marTop w:val="0"/>
          <w:marBottom w:val="0"/>
          <w:divBdr>
            <w:top w:val="none" w:sz="0" w:space="0" w:color="auto"/>
            <w:left w:val="none" w:sz="0" w:space="0" w:color="auto"/>
            <w:bottom w:val="none" w:sz="0" w:space="0" w:color="auto"/>
            <w:right w:val="none" w:sz="0" w:space="0" w:color="auto"/>
          </w:divBdr>
        </w:div>
        <w:div w:id="2024705871">
          <w:marLeft w:val="0"/>
          <w:marRight w:val="0"/>
          <w:marTop w:val="0"/>
          <w:marBottom w:val="0"/>
          <w:divBdr>
            <w:top w:val="none" w:sz="0" w:space="0" w:color="auto"/>
            <w:left w:val="none" w:sz="0" w:space="0" w:color="auto"/>
            <w:bottom w:val="none" w:sz="0" w:space="0" w:color="auto"/>
            <w:right w:val="none" w:sz="0" w:space="0" w:color="auto"/>
          </w:divBdr>
        </w:div>
        <w:div w:id="2024705872">
          <w:marLeft w:val="0"/>
          <w:marRight w:val="0"/>
          <w:marTop w:val="0"/>
          <w:marBottom w:val="0"/>
          <w:divBdr>
            <w:top w:val="none" w:sz="0" w:space="0" w:color="auto"/>
            <w:left w:val="none" w:sz="0" w:space="0" w:color="auto"/>
            <w:bottom w:val="none" w:sz="0" w:space="0" w:color="auto"/>
            <w:right w:val="none" w:sz="0" w:space="0" w:color="auto"/>
          </w:divBdr>
        </w:div>
        <w:div w:id="2024705873">
          <w:marLeft w:val="0"/>
          <w:marRight w:val="0"/>
          <w:marTop w:val="0"/>
          <w:marBottom w:val="0"/>
          <w:divBdr>
            <w:top w:val="none" w:sz="0" w:space="0" w:color="auto"/>
            <w:left w:val="none" w:sz="0" w:space="0" w:color="auto"/>
            <w:bottom w:val="none" w:sz="0" w:space="0" w:color="auto"/>
            <w:right w:val="none" w:sz="0" w:space="0" w:color="auto"/>
          </w:divBdr>
        </w:div>
        <w:div w:id="2024705874">
          <w:marLeft w:val="0"/>
          <w:marRight w:val="0"/>
          <w:marTop w:val="0"/>
          <w:marBottom w:val="0"/>
          <w:divBdr>
            <w:top w:val="none" w:sz="0" w:space="0" w:color="auto"/>
            <w:left w:val="none" w:sz="0" w:space="0" w:color="auto"/>
            <w:bottom w:val="none" w:sz="0" w:space="0" w:color="auto"/>
            <w:right w:val="none" w:sz="0" w:space="0" w:color="auto"/>
          </w:divBdr>
        </w:div>
        <w:div w:id="2024705875">
          <w:marLeft w:val="0"/>
          <w:marRight w:val="0"/>
          <w:marTop w:val="0"/>
          <w:marBottom w:val="0"/>
          <w:divBdr>
            <w:top w:val="none" w:sz="0" w:space="0" w:color="auto"/>
            <w:left w:val="none" w:sz="0" w:space="0" w:color="auto"/>
            <w:bottom w:val="none" w:sz="0" w:space="0" w:color="auto"/>
            <w:right w:val="none" w:sz="0" w:space="0" w:color="auto"/>
          </w:divBdr>
        </w:div>
        <w:div w:id="2024705876">
          <w:marLeft w:val="0"/>
          <w:marRight w:val="0"/>
          <w:marTop w:val="0"/>
          <w:marBottom w:val="0"/>
          <w:divBdr>
            <w:top w:val="none" w:sz="0" w:space="0" w:color="auto"/>
            <w:left w:val="none" w:sz="0" w:space="0" w:color="auto"/>
            <w:bottom w:val="none" w:sz="0" w:space="0" w:color="auto"/>
            <w:right w:val="none" w:sz="0" w:space="0" w:color="auto"/>
          </w:divBdr>
        </w:div>
        <w:div w:id="2024705877">
          <w:marLeft w:val="0"/>
          <w:marRight w:val="0"/>
          <w:marTop w:val="0"/>
          <w:marBottom w:val="0"/>
          <w:divBdr>
            <w:top w:val="none" w:sz="0" w:space="0" w:color="auto"/>
            <w:left w:val="none" w:sz="0" w:space="0" w:color="auto"/>
            <w:bottom w:val="none" w:sz="0" w:space="0" w:color="auto"/>
            <w:right w:val="none" w:sz="0" w:space="0" w:color="auto"/>
          </w:divBdr>
        </w:div>
        <w:div w:id="2024705878">
          <w:marLeft w:val="0"/>
          <w:marRight w:val="0"/>
          <w:marTop w:val="0"/>
          <w:marBottom w:val="0"/>
          <w:divBdr>
            <w:top w:val="none" w:sz="0" w:space="0" w:color="auto"/>
            <w:left w:val="none" w:sz="0" w:space="0" w:color="auto"/>
            <w:bottom w:val="none" w:sz="0" w:space="0" w:color="auto"/>
            <w:right w:val="none" w:sz="0" w:space="0" w:color="auto"/>
          </w:divBdr>
        </w:div>
        <w:div w:id="2024705879">
          <w:marLeft w:val="0"/>
          <w:marRight w:val="0"/>
          <w:marTop w:val="0"/>
          <w:marBottom w:val="0"/>
          <w:divBdr>
            <w:top w:val="none" w:sz="0" w:space="0" w:color="auto"/>
            <w:left w:val="none" w:sz="0" w:space="0" w:color="auto"/>
            <w:bottom w:val="none" w:sz="0" w:space="0" w:color="auto"/>
            <w:right w:val="none" w:sz="0" w:space="0" w:color="auto"/>
          </w:divBdr>
        </w:div>
        <w:div w:id="2024705881">
          <w:marLeft w:val="0"/>
          <w:marRight w:val="0"/>
          <w:marTop w:val="0"/>
          <w:marBottom w:val="0"/>
          <w:divBdr>
            <w:top w:val="none" w:sz="0" w:space="0" w:color="auto"/>
            <w:left w:val="none" w:sz="0" w:space="0" w:color="auto"/>
            <w:bottom w:val="none" w:sz="0" w:space="0" w:color="auto"/>
            <w:right w:val="none" w:sz="0" w:space="0" w:color="auto"/>
          </w:divBdr>
        </w:div>
        <w:div w:id="2024705882">
          <w:marLeft w:val="0"/>
          <w:marRight w:val="0"/>
          <w:marTop w:val="0"/>
          <w:marBottom w:val="0"/>
          <w:divBdr>
            <w:top w:val="none" w:sz="0" w:space="0" w:color="auto"/>
            <w:left w:val="none" w:sz="0" w:space="0" w:color="auto"/>
            <w:bottom w:val="none" w:sz="0" w:space="0" w:color="auto"/>
            <w:right w:val="none" w:sz="0" w:space="0" w:color="auto"/>
          </w:divBdr>
        </w:div>
        <w:div w:id="2024705883">
          <w:marLeft w:val="0"/>
          <w:marRight w:val="0"/>
          <w:marTop w:val="0"/>
          <w:marBottom w:val="0"/>
          <w:divBdr>
            <w:top w:val="none" w:sz="0" w:space="0" w:color="auto"/>
            <w:left w:val="none" w:sz="0" w:space="0" w:color="auto"/>
            <w:bottom w:val="none" w:sz="0" w:space="0" w:color="auto"/>
            <w:right w:val="none" w:sz="0" w:space="0" w:color="auto"/>
          </w:divBdr>
        </w:div>
        <w:div w:id="2024705884">
          <w:marLeft w:val="0"/>
          <w:marRight w:val="0"/>
          <w:marTop w:val="0"/>
          <w:marBottom w:val="0"/>
          <w:divBdr>
            <w:top w:val="none" w:sz="0" w:space="0" w:color="auto"/>
            <w:left w:val="none" w:sz="0" w:space="0" w:color="auto"/>
            <w:bottom w:val="none" w:sz="0" w:space="0" w:color="auto"/>
            <w:right w:val="none" w:sz="0" w:space="0" w:color="auto"/>
          </w:divBdr>
        </w:div>
        <w:div w:id="2024705885">
          <w:marLeft w:val="0"/>
          <w:marRight w:val="0"/>
          <w:marTop w:val="0"/>
          <w:marBottom w:val="0"/>
          <w:divBdr>
            <w:top w:val="none" w:sz="0" w:space="0" w:color="auto"/>
            <w:left w:val="none" w:sz="0" w:space="0" w:color="auto"/>
            <w:bottom w:val="none" w:sz="0" w:space="0" w:color="auto"/>
            <w:right w:val="none" w:sz="0" w:space="0" w:color="auto"/>
          </w:divBdr>
        </w:div>
        <w:div w:id="2024705886">
          <w:marLeft w:val="0"/>
          <w:marRight w:val="0"/>
          <w:marTop w:val="0"/>
          <w:marBottom w:val="0"/>
          <w:divBdr>
            <w:top w:val="none" w:sz="0" w:space="0" w:color="auto"/>
            <w:left w:val="none" w:sz="0" w:space="0" w:color="auto"/>
            <w:bottom w:val="none" w:sz="0" w:space="0" w:color="auto"/>
            <w:right w:val="none" w:sz="0" w:space="0" w:color="auto"/>
          </w:divBdr>
        </w:div>
        <w:div w:id="2024705887">
          <w:marLeft w:val="0"/>
          <w:marRight w:val="0"/>
          <w:marTop w:val="0"/>
          <w:marBottom w:val="0"/>
          <w:divBdr>
            <w:top w:val="none" w:sz="0" w:space="0" w:color="auto"/>
            <w:left w:val="none" w:sz="0" w:space="0" w:color="auto"/>
            <w:bottom w:val="none" w:sz="0" w:space="0" w:color="auto"/>
            <w:right w:val="none" w:sz="0" w:space="0" w:color="auto"/>
          </w:divBdr>
        </w:div>
        <w:div w:id="2024705888">
          <w:marLeft w:val="0"/>
          <w:marRight w:val="0"/>
          <w:marTop w:val="0"/>
          <w:marBottom w:val="0"/>
          <w:divBdr>
            <w:top w:val="none" w:sz="0" w:space="0" w:color="auto"/>
            <w:left w:val="none" w:sz="0" w:space="0" w:color="auto"/>
            <w:bottom w:val="none" w:sz="0" w:space="0" w:color="auto"/>
            <w:right w:val="none" w:sz="0" w:space="0" w:color="auto"/>
          </w:divBdr>
        </w:div>
        <w:div w:id="2024705889">
          <w:marLeft w:val="0"/>
          <w:marRight w:val="0"/>
          <w:marTop w:val="0"/>
          <w:marBottom w:val="0"/>
          <w:divBdr>
            <w:top w:val="none" w:sz="0" w:space="0" w:color="auto"/>
            <w:left w:val="none" w:sz="0" w:space="0" w:color="auto"/>
            <w:bottom w:val="none" w:sz="0" w:space="0" w:color="auto"/>
            <w:right w:val="none" w:sz="0" w:space="0" w:color="auto"/>
          </w:divBdr>
        </w:div>
        <w:div w:id="2024705890">
          <w:marLeft w:val="0"/>
          <w:marRight w:val="0"/>
          <w:marTop w:val="0"/>
          <w:marBottom w:val="0"/>
          <w:divBdr>
            <w:top w:val="none" w:sz="0" w:space="0" w:color="auto"/>
            <w:left w:val="none" w:sz="0" w:space="0" w:color="auto"/>
            <w:bottom w:val="none" w:sz="0" w:space="0" w:color="auto"/>
            <w:right w:val="none" w:sz="0" w:space="0" w:color="auto"/>
          </w:divBdr>
        </w:div>
        <w:div w:id="2024705891">
          <w:marLeft w:val="0"/>
          <w:marRight w:val="0"/>
          <w:marTop w:val="0"/>
          <w:marBottom w:val="0"/>
          <w:divBdr>
            <w:top w:val="none" w:sz="0" w:space="0" w:color="auto"/>
            <w:left w:val="none" w:sz="0" w:space="0" w:color="auto"/>
            <w:bottom w:val="none" w:sz="0" w:space="0" w:color="auto"/>
            <w:right w:val="none" w:sz="0" w:space="0" w:color="auto"/>
          </w:divBdr>
        </w:div>
        <w:div w:id="2024705892">
          <w:marLeft w:val="0"/>
          <w:marRight w:val="0"/>
          <w:marTop w:val="0"/>
          <w:marBottom w:val="0"/>
          <w:divBdr>
            <w:top w:val="none" w:sz="0" w:space="0" w:color="auto"/>
            <w:left w:val="none" w:sz="0" w:space="0" w:color="auto"/>
            <w:bottom w:val="none" w:sz="0" w:space="0" w:color="auto"/>
            <w:right w:val="none" w:sz="0" w:space="0" w:color="auto"/>
          </w:divBdr>
        </w:div>
        <w:div w:id="2024705894">
          <w:marLeft w:val="0"/>
          <w:marRight w:val="0"/>
          <w:marTop w:val="0"/>
          <w:marBottom w:val="0"/>
          <w:divBdr>
            <w:top w:val="none" w:sz="0" w:space="0" w:color="auto"/>
            <w:left w:val="none" w:sz="0" w:space="0" w:color="auto"/>
            <w:bottom w:val="none" w:sz="0" w:space="0" w:color="auto"/>
            <w:right w:val="none" w:sz="0" w:space="0" w:color="auto"/>
          </w:divBdr>
        </w:div>
        <w:div w:id="2024705895">
          <w:marLeft w:val="0"/>
          <w:marRight w:val="0"/>
          <w:marTop w:val="0"/>
          <w:marBottom w:val="0"/>
          <w:divBdr>
            <w:top w:val="none" w:sz="0" w:space="0" w:color="auto"/>
            <w:left w:val="none" w:sz="0" w:space="0" w:color="auto"/>
            <w:bottom w:val="none" w:sz="0" w:space="0" w:color="auto"/>
            <w:right w:val="none" w:sz="0" w:space="0" w:color="auto"/>
          </w:divBdr>
        </w:div>
        <w:div w:id="2024705896">
          <w:marLeft w:val="0"/>
          <w:marRight w:val="0"/>
          <w:marTop w:val="0"/>
          <w:marBottom w:val="0"/>
          <w:divBdr>
            <w:top w:val="none" w:sz="0" w:space="0" w:color="auto"/>
            <w:left w:val="none" w:sz="0" w:space="0" w:color="auto"/>
            <w:bottom w:val="none" w:sz="0" w:space="0" w:color="auto"/>
            <w:right w:val="none" w:sz="0" w:space="0" w:color="auto"/>
          </w:divBdr>
        </w:div>
        <w:div w:id="2024705897">
          <w:marLeft w:val="0"/>
          <w:marRight w:val="0"/>
          <w:marTop w:val="0"/>
          <w:marBottom w:val="0"/>
          <w:divBdr>
            <w:top w:val="none" w:sz="0" w:space="0" w:color="auto"/>
            <w:left w:val="none" w:sz="0" w:space="0" w:color="auto"/>
            <w:bottom w:val="none" w:sz="0" w:space="0" w:color="auto"/>
            <w:right w:val="none" w:sz="0" w:space="0" w:color="auto"/>
          </w:divBdr>
        </w:div>
        <w:div w:id="2024705898">
          <w:marLeft w:val="0"/>
          <w:marRight w:val="0"/>
          <w:marTop w:val="0"/>
          <w:marBottom w:val="0"/>
          <w:divBdr>
            <w:top w:val="none" w:sz="0" w:space="0" w:color="auto"/>
            <w:left w:val="none" w:sz="0" w:space="0" w:color="auto"/>
            <w:bottom w:val="none" w:sz="0" w:space="0" w:color="auto"/>
            <w:right w:val="none" w:sz="0" w:space="0" w:color="auto"/>
          </w:divBdr>
        </w:div>
        <w:div w:id="2024705899">
          <w:marLeft w:val="0"/>
          <w:marRight w:val="0"/>
          <w:marTop w:val="0"/>
          <w:marBottom w:val="0"/>
          <w:divBdr>
            <w:top w:val="none" w:sz="0" w:space="0" w:color="auto"/>
            <w:left w:val="none" w:sz="0" w:space="0" w:color="auto"/>
            <w:bottom w:val="none" w:sz="0" w:space="0" w:color="auto"/>
            <w:right w:val="none" w:sz="0" w:space="0" w:color="auto"/>
          </w:divBdr>
        </w:div>
        <w:div w:id="2024705901">
          <w:marLeft w:val="0"/>
          <w:marRight w:val="0"/>
          <w:marTop w:val="0"/>
          <w:marBottom w:val="0"/>
          <w:divBdr>
            <w:top w:val="none" w:sz="0" w:space="0" w:color="auto"/>
            <w:left w:val="none" w:sz="0" w:space="0" w:color="auto"/>
            <w:bottom w:val="none" w:sz="0" w:space="0" w:color="auto"/>
            <w:right w:val="none" w:sz="0" w:space="0" w:color="auto"/>
          </w:divBdr>
        </w:div>
        <w:div w:id="2024705903">
          <w:marLeft w:val="0"/>
          <w:marRight w:val="0"/>
          <w:marTop w:val="0"/>
          <w:marBottom w:val="0"/>
          <w:divBdr>
            <w:top w:val="none" w:sz="0" w:space="0" w:color="auto"/>
            <w:left w:val="none" w:sz="0" w:space="0" w:color="auto"/>
            <w:bottom w:val="none" w:sz="0" w:space="0" w:color="auto"/>
            <w:right w:val="none" w:sz="0" w:space="0" w:color="auto"/>
          </w:divBdr>
        </w:div>
        <w:div w:id="2024705904">
          <w:marLeft w:val="0"/>
          <w:marRight w:val="0"/>
          <w:marTop w:val="0"/>
          <w:marBottom w:val="0"/>
          <w:divBdr>
            <w:top w:val="none" w:sz="0" w:space="0" w:color="auto"/>
            <w:left w:val="none" w:sz="0" w:space="0" w:color="auto"/>
            <w:bottom w:val="none" w:sz="0" w:space="0" w:color="auto"/>
            <w:right w:val="none" w:sz="0" w:space="0" w:color="auto"/>
          </w:divBdr>
        </w:div>
        <w:div w:id="2024705905">
          <w:marLeft w:val="0"/>
          <w:marRight w:val="0"/>
          <w:marTop w:val="0"/>
          <w:marBottom w:val="0"/>
          <w:divBdr>
            <w:top w:val="none" w:sz="0" w:space="0" w:color="auto"/>
            <w:left w:val="none" w:sz="0" w:space="0" w:color="auto"/>
            <w:bottom w:val="none" w:sz="0" w:space="0" w:color="auto"/>
            <w:right w:val="none" w:sz="0" w:space="0" w:color="auto"/>
          </w:divBdr>
        </w:div>
        <w:div w:id="2024705906">
          <w:marLeft w:val="0"/>
          <w:marRight w:val="0"/>
          <w:marTop w:val="0"/>
          <w:marBottom w:val="0"/>
          <w:divBdr>
            <w:top w:val="none" w:sz="0" w:space="0" w:color="auto"/>
            <w:left w:val="none" w:sz="0" w:space="0" w:color="auto"/>
            <w:bottom w:val="none" w:sz="0" w:space="0" w:color="auto"/>
            <w:right w:val="none" w:sz="0" w:space="0" w:color="auto"/>
          </w:divBdr>
        </w:div>
        <w:div w:id="2024705907">
          <w:marLeft w:val="0"/>
          <w:marRight w:val="0"/>
          <w:marTop w:val="0"/>
          <w:marBottom w:val="0"/>
          <w:divBdr>
            <w:top w:val="none" w:sz="0" w:space="0" w:color="auto"/>
            <w:left w:val="none" w:sz="0" w:space="0" w:color="auto"/>
            <w:bottom w:val="none" w:sz="0" w:space="0" w:color="auto"/>
            <w:right w:val="none" w:sz="0" w:space="0" w:color="auto"/>
          </w:divBdr>
        </w:div>
        <w:div w:id="2024705908">
          <w:marLeft w:val="0"/>
          <w:marRight w:val="0"/>
          <w:marTop w:val="0"/>
          <w:marBottom w:val="0"/>
          <w:divBdr>
            <w:top w:val="none" w:sz="0" w:space="0" w:color="auto"/>
            <w:left w:val="none" w:sz="0" w:space="0" w:color="auto"/>
            <w:bottom w:val="none" w:sz="0" w:space="0" w:color="auto"/>
            <w:right w:val="none" w:sz="0" w:space="0" w:color="auto"/>
          </w:divBdr>
        </w:div>
        <w:div w:id="2024705909">
          <w:marLeft w:val="0"/>
          <w:marRight w:val="0"/>
          <w:marTop w:val="0"/>
          <w:marBottom w:val="0"/>
          <w:divBdr>
            <w:top w:val="none" w:sz="0" w:space="0" w:color="auto"/>
            <w:left w:val="none" w:sz="0" w:space="0" w:color="auto"/>
            <w:bottom w:val="none" w:sz="0" w:space="0" w:color="auto"/>
            <w:right w:val="none" w:sz="0" w:space="0" w:color="auto"/>
          </w:divBdr>
        </w:div>
        <w:div w:id="2024705910">
          <w:marLeft w:val="0"/>
          <w:marRight w:val="0"/>
          <w:marTop w:val="0"/>
          <w:marBottom w:val="0"/>
          <w:divBdr>
            <w:top w:val="none" w:sz="0" w:space="0" w:color="auto"/>
            <w:left w:val="none" w:sz="0" w:space="0" w:color="auto"/>
            <w:bottom w:val="none" w:sz="0" w:space="0" w:color="auto"/>
            <w:right w:val="none" w:sz="0" w:space="0" w:color="auto"/>
          </w:divBdr>
        </w:div>
        <w:div w:id="2024705911">
          <w:marLeft w:val="0"/>
          <w:marRight w:val="0"/>
          <w:marTop w:val="0"/>
          <w:marBottom w:val="0"/>
          <w:divBdr>
            <w:top w:val="none" w:sz="0" w:space="0" w:color="auto"/>
            <w:left w:val="none" w:sz="0" w:space="0" w:color="auto"/>
            <w:bottom w:val="none" w:sz="0" w:space="0" w:color="auto"/>
            <w:right w:val="none" w:sz="0" w:space="0" w:color="auto"/>
          </w:divBdr>
        </w:div>
        <w:div w:id="2024705912">
          <w:marLeft w:val="0"/>
          <w:marRight w:val="0"/>
          <w:marTop w:val="0"/>
          <w:marBottom w:val="0"/>
          <w:divBdr>
            <w:top w:val="none" w:sz="0" w:space="0" w:color="auto"/>
            <w:left w:val="none" w:sz="0" w:space="0" w:color="auto"/>
            <w:bottom w:val="none" w:sz="0" w:space="0" w:color="auto"/>
            <w:right w:val="none" w:sz="0" w:space="0" w:color="auto"/>
          </w:divBdr>
        </w:div>
        <w:div w:id="2024705913">
          <w:marLeft w:val="0"/>
          <w:marRight w:val="0"/>
          <w:marTop w:val="0"/>
          <w:marBottom w:val="0"/>
          <w:divBdr>
            <w:top w:val="none" w:sz="0" w:space="0" w:color="auto"/>
            <w:left w:val="none" w:sz="0" w:space="0" w:color="auto"/>
            <w:bottom w:val="none" w:sz="0" w:space="0" w:color="auto"/>
            <w:right w:val="none" w:sz="0" w:space="0" w:color="auto"/>
          </w:divBdr>
        </w:div>
        <w:div w:id="2024705914">
          <w:marLeft w:val="0"/>
          <w:marRight w:val="0"/>
          <w:marTop w:val="0"/>
          <w:marBottom w:val="0"/>
          <w:divBdr>
            <w:top w:val="none" w:sz="0" w:space="0" w:color="auto"/>
            <w:left w:val="none" w:sz="0" w:space="0" w:color="auto"/>
            <w:bottom w:val="none" w:sz="0" w:space="0" w:color="auto"/>
            <w:right w:val="none" w:sz="0" w:space="0" w:color="auto"/>
          </w:divBdr>
        </w:div>
        <w:div w:id="2024705915">
          <w:marLeft w:val="0"/>
          <w:marRight w:val="0"/>
          <w:marTop w:val="0"/>
          <w:marBottom w:val="0"/>
          <w:divBdr>
            <w:top w:val="none" w:sz="0" w:space="0" w:color="auto"/>
            <w:left w:val="none" w:sz="0" w:space="0" w:color="auto"/>
            <w:bottom w:val="none" w:sz="0" w:space="0" w:color="auto"/>
            <w:right w:val="none" w:sz="0" w:space="0" w:color="auto"/>
          </w:divBdr>
        </w:div>
        <w:div w:id="2024705916">
          <w:marLeft w:val="0"/>
          <w:marRight w:val="0"/>
          <w:marTop w:val="0"/>
          <w:marBottom w:val="0"/>
          <w:divBdr>
            <w:top w:val="none" w:sz="0" w:space="0" w:color="auto"/>
            <w:left w:val="none" w:sz="0" w:space="0" w:color="auto"/>
            <w:bottom w:val="none" w:sz="0" w:space="0" w:color="auto"/>
            <w:right w:val="none" w:sz="0" w:space="0" w:color="auto"/>
          </w:divBdr>
        </w:div>
        <w:div w:id="2024705917">
          <w:marLeft w:val="0"/>
          <w:marRight w:val="0"/>
          <w:marTop w:val="0"/>
          <w:marBottom w:val="0"/>
          <w:divBdr>
            <w:top w:val="none" w:sz="0" w:space="0" w:color="auto"/>
            <w:left w:val="none" w:sz="0" w:space="0" w:color="auto"/>
            <w:bottom w:val="none" w:sz="0" w:space="0" w:color="auto"/>
            <w:right w:val="none" w:sz="0" w:space="0" w:color="auto"/>
          </w:divBdr>
        </w:div>
        <w:div w:id="2024705918">
          <w:marLeft w:val="0"/>
          <w:marRight w:val="0"/>
          <w:marTop w:val="0"/>
          <w:marBottom w:val="0"/>
          <w:divBdr>
            <w:top w:val="none" w:sz="0" w:space="0" w:color="auto"/>
            <w:left w:val="none" w:sz="0" w:space="0" w:color="auto"/>
            <w:bottom w:val="none" w:sz="0" w:space="0" w:color="auto"/>
            <w:right w:val="none" w:sz="0" w:space="0" w:color="auto"/>
          </w:divBdr>
        </w:div>
        <w:div w:id="2024705919">
          <w:marLeft w:val="0"/>
          <w:marRight w:val="0"/>
          <w:marTop w:val="0"/>
          <w:marBottom w:val="0"/>
          <w:divBdr>
            <w:top w:val="none" w:sz="0" w:space="0" w:color="auto"/>
            <w:left w:val="none" w:sz="0" w:space="0" w:color="auto"/>
            <w:bottom w:val="none" w:sz="0" w:space="0" w:color="auto"/>
            <w:right w:val="none" w:sz="0" w:space="0" w:color="auto"/>
          </w:divBdr>
        </w:div>
        <w:div w:id="2024705920">
          <w:marLeft w:val="0"/>
          <w:marRight w:val="0"/>
          <w:marTop w:val="0"/>
          <w:marBottom w:val="0"/>
          <w:divBdr>
            <w:top w:val="none" w:sz="0" w:space="0" w:color="auto"/>
            <w:left w:val="none" w:sz="0" w:space="0" w:color="auto"/>
            <w:bottom w:val="none" w:sz="0" w:space="0" w:color="auto"/>
            <w:right w:val="none" w:sz="0" w:space="0" w:color="auto"/>
          </w:divBdr>
        </w:div>
        <w:div w:id="2024705921">
          <w:marLeft w:val="0"/>
          <w:marRight w:val="0"/>
          <w:marTop w:val="0"/>
          <w:marBottom w:val="0"/>
          <w:divBdr>
            <w:top w:val="none" w:sz="0" w:space="0" w:color="auto"/>
            <w:left w:val="none" w:sz="0" w:space="0" w:color="auto"/>
            <w:bottom w:val="none" w:sz="0" w:space="0" w:color="auto"/>
            <w:right w:val="none" w:sz="0" w:space="0" w:color="auto"/>
          </w:divBdr>
        </w:div>
        <w:div w:id="2024705922">
          <w:marLeft w:val="0"/>
          <w:marRight w:val="0"/>
          <w:marTop w:val="0"/>
          <w:marBottom w:val="0"/>
          <w:divBdr>
            <w:top w:val="none" w:sz="0" w:space="0" w:color="auto"/>
            <w:left w:val="none" w:sz="0" w:space="0" w:color="auto"/>
            <w:bottom w:val="none" w:sz="0" w:space="0" w:color="auto"/>
            <w:right w:val="none" w:sz="0" w:space="0" w:color="auto"/>
          </w:divBdr>
        </w:div>
        <w:div w:id="2024705923">
          <w:marLeft w:val="0"/>
          <w:marRight w:val="0"/>
          <w:marTop w:val="0"/>
          <w:marBottom w:val="0"/>
          <w:divBdr>
            <w:top w:val="none" w:sz="0" w:space="0" w:color="auto"/>
            <w:left w:val="none" w:sz="0" w:space="0" w:color="auto"/>
            <w:bottom w:val="none" w:sz="0" w:space="0" w:color="auto"/>
            <w:right w:val="none" w:sz="0" w:space="0" w:color="auto"/>
          </w:divBdr>
        </w:div>
        <w:div w:id="2024705924">
          <w:marLeft w:val="0"/>
          <w:marRight w:val="0"/>
          <w:marTop w:val="0"/>
          <w:marBottom w:val="0"/>
          <w:divBdr>
            <w:top w:val="none" w:sz="0" w:space="0" w:color="auto"/>
            <w:left w:val="none" w:sz="0" w:space="0" w:color="auto"/>
            <w:bottom w:val="none" w:sz="0" w:space="0" w:color="auto"/>
            <w:right w:val="none" w:sz="0" w:space="0" w:color="auto"/>
          </w:divBdr>
        </w:div>
        <w:div w:id="2024705925">
          <w:marLeft w:val="0"/>
          <w:marRight w:val="0"/>
          <w:marTop w:val="0"/>
          <w:marBottom w:val="0"/>
          <w:divBdr>
            <w:top w:val="none" w:sz="0" w:space="0" w:color="auto"/>
            <w:left w:val="none" w:sz="0" w:space="0" w:color="auto"/>
            <w:bottom w:val="none" w:sz="0" w:space="0" w:color="auto"/>
            <w:right w:val="none" w:sz="0" w:space="0" w:color="auto"/>
          </w:divBdr>
        </w:div>
        <w:div w:id="2024705926">
          <w:marLeft w:val="0"/>
          <w:marRight w:val="0"/>
          <w:marTop w:val="0"/>
          <w:marBottom w:val="0"/>
          <w:divBdr>
            <w:top w:val="none" w:sz="0" w:space="0" w:color="auto"/>
            <w:left w:val="none" w:sz="0" w:space="0" w:color="auto"/>
            <w:bottom w:val="none" w:sz="0" w:space="0" w:color="auto"/>
            <w:right w:val="none" w:sz="0" w:space="0" w:color="auto"/>
          </w:divBdr>
        </w:div>
        <w:div w:id="2024705927">
          <w:marLeft w:val="0"/>
          <w:marRight w:val="0"/>
          <w:marTop w:val="0"/>
          <w:marBottom w:val="0"/>
          <w:divBdr>
            <w:top w:val="none" w:sz="0" w:space="0" w:color="auto"/>
            <w:left w:val="none" w:sz="0" w:space="0" w:color="auto"/>
            <w:bottom w:val="none" w:sz="0" w:space="0" w:color="auto"/>
            <w:right w:val="none" w:sz="0" w:space="0" w:color="auto"/>
          </w:divBdr>
        </w:div>
        <w:div w:id="2024705928">
          <w:marLeft w:val="0"/>
          <w:marRight w:val="0"/>
          <w:marTop w:val="0"/>
          <w:marBottom w:val="0"/>
          <w:divBdr>
            <w:top w:val="none" w:sz="0" w:space="0" w:color="auto"/>
            <w:left w:val="none" w:sz="0" w:space="0" w:color="auto"/>
            <w:bottom w:val="none" w:sz="0" w:space="0" w:color="auto"/>
            <w:right w:val="none" w:sz="0" w:space="0" w:color="auto"/>
          </w:divBdr>
        </w:div>
        <w:div w:id="2024705930">
          <w:marLeft w:val="0"/>
          <w:marRight w:val="0"/>
          <w:marTop w:val="0"/>
          <w:marBottom w:val="0"/>
          <w:divBdr>
            <w:top w:val="none" w:sz="0" w:space="0" w:color="auto"/>
            <w:left w:val="none" w:sz="0" w:space="0" w:color="auto"/>
            <w:bottom w:val="none" w:sz="0" w:space="0" w:color="auto"/>
            <w:right w:val="none" w:sz="0" w:space="0" w:color="auto"/>
          </w:divBdr>
        </w:div>
        <w:div w:id="2024705932">
          <w:marLeft w:val="0"/>
          <w:marRight w:val="0"/>
          <w:marTop w:val="0"/>
          <w:marBottom w:val="0"/>
          <w:divBdr>
            <w:top w:val="none" w:sz="0" w:space="0" w:color="auto"/>
            <w:left w:val="none" w:sz="0" w:space="0" w:color="auto"/>
            <w:bottom w:val="none" w:sz="0" w:space="0" w:color="auto"/>
            <w:right w:val="none" w:sz="0" w:space="0" w:color="auto"/>
          </w:divBdr>
        </w:div>
        <w:div w:id="2024705933">
          <w:marLeft w:val="0"/>
          <w:marRight w:val="0"/>
          <w:marTop w:val="0"/>
          <w:marBottom w:val="0"/>
          <w:divBdr>
            <w:top w:val="none" w:sz="0" w:space="0" w:color="auto"/>
            <w:left w:val="none" w:sz="0" w:space="0" w:color="auto"/>
            <w:bottom w:val="none" w:sz="0" w:space="0" w:color="auto"/>
            <w:right w:val="none" w:sz="0" w:space="0" w:color="auto"/>
          </w:divBdr>
        </w:div>
        <w:div w:id="2024705934">
          <w:marLeft w:val="0"/>
          <w:marRight w:val="0"/>
          <w:marTop w:val="0"/>
          <w:marBottom w:val="0"/>
          <w:divBdr>
            <w:top w:val="none" w:sz="0" w:space="0" w:color="auto"/>
            <w:left w:val="none" w:sz="0" w:space="0" w:color="auto"/>
            <w:bottom w:val="none" w:sz="0" w:space="0" w:color="auto"/>
            <w:right w:val="none" w:sz="0" w:space="0" w:color="auto"/>
          </w:divBdr>
        </w:div>
        <w:div w:id="2024705935">
          <w:marLeft w:val="0"/>
          <w:marRight w:val="0"/>
          <w:marTop w:val="0"/>
          <w:marBottom w:val="0"/>
          <w:divBdr>
            <w:top w:val="none" w:sz="0" w:space="0" w:color="auto"/>
            <w:left w:val="none" w:sz="0" w:space="0" w:color="auto"/>
            <w:bottom w:val="none" w:sz="0" w:space="0" w:color="auto"/>
            <w:right w:val="none" w:sz="0" w:space="0" w:color="auto"/>
          </w:divBdr>
        </w:div>
        <w:div w:id="2024705936">
          <w:marLeft w:val="0"/>
          <w:marRight w:val="0"/>
          <w:marTop w:val="0"/>
          <w:marBottom w:val="0"/>
          <w:divBdr>
            <w:top w:val="none" w:sz="0" w:space="0" w:color="auto"/>
            <w:left w:val="none" w:sz="0" w:space="0" w:color="auto"/>
            <w:bottom w:val="none" w:sz="0" w:space="0" w:color="auto"/>
            <w:right w:val="none" w:sz="0" w:space="0" w:color="auto"/>
          </w:divBdr>
        </w:div>
        <w:div w:id="2024705937">
          <w:marLeft w:val="0"/>
          <w:marRight w:val="0"/>
          <w:marTop w:val="0"/>
          <w:marBottom w:val="0"/>
          <w:divBdr>
            <w:top w:val="none" w:sz="0" w:space="0" w:color="auto"/>
            <w:left w:val="none" w:sz="0" w:space="0" w:color="auto"/>
            <w:bottom w:val="none" w:sz="0" w:space="0" w:color="auto"/>
            <w:right w:val="none" w:sz="0" w:space="0" w:color="auto"/>
          </w:divBdr>
        </w:div>
        <w:div w:id="2024705938">
          <w:marLeft w:val="0"/>
          <w:marRight w:val="0"/>
          <w:marTop w:val="0"/>
          <w:marBottom w:val="0"/>
          <w:divBdr>
            <w:top w:val="none" w:sz="0" w:space="0" w:color="auto"/>
            <w:left w:val="none" w:sz="0" w:space="0" w:color="auto"/>
            <w:bottom w:val="none" w:sz="0" w:space="0" w:color="auto"/>
            <w:right w:val="none" w:sz="0" w:space="0" w:color="auto"/>
          </w:divBdr>
        </w:div>
        <w:div w:id="2024705939">
          <w:marLeft w:val="0"/>
          <w:marRight w:val="0"/>
          <w:marTop w:val="0"/>
          <w:marBottom w:val="0"/>
          <w:divBdr>
            <w:top w:val="none" w:sz="0" w:space="0" w:color="auto"/>
            <w:left w:val="none" w:sz="0" w:space="0" w:color="auto"/>
            <w:bottom w:val="none" w:sz="0" w:space="0" w:color="auto"/>
            <w:right w:val="none" w:sz="0" w:space="0" w:color="auto"/>
          </w:divBdr>
        </w:div>
        <w:div w:id="2024705940">
          <w:marLeft w:val="0"/>
          <w:marRight w:val="0"/>
          <w:marTop w:val="0"/>
          <w:marBottom w:val="0"/>
          <w:divBdr>
            <w:top w:val="none" w:sz="0" w:space="0" w:color="auto"/>
            <w:left w:val="none" w:sz="0" w:space="0" w:color="auto"/>
            <w:bottom w:val="none" w:sz="0" w:space="0" w:color="auto"/>
            <w:right w:val="none" w:sz="0" w:space="0" w:color="auto"/>
          </w:divBdr>
        </w:div>
        <w:div w:id="2024705941">
          <w:marLeft w:val="0"/>
          <w:marRight w:val="0"/>
          <w:marTop w:val="0"/>
          <w:marBottom w:val="0"/>
          <w:divBdr>
            <w:top w:val="none" w:sz="0" w:space="0" w:color="auto"/>
            <w:left w:val="none" w:sz="0" w:space="0" w:color="auto"/>
            <w:bottom w:val="none" w:sz="0" w:space="0" w:color="auto"/>
            <w:right w:val="none" w:sz="0" w:space="0" w:color="auto"/>
          </w:divBdr>
        </w:div>
        <w:div w:id="2024705942">
          <w:marLeft w:val="0"/>
          <w:marRight w:val="0"/>
          <w:marTop w:val="0"/>
          <w:marBottom w:val="0"/>
          <w:divBdr>
            <w:top w:val="none" w:sz="0" w:space="0" w:color="auto"/>
            <w:left w:val="none" w:sz="0" w:space="0" w:color="auto"/>
            <w:bottom w:val="none" w:sz="0" w:space="0" w:color="auto"/>
            <w:right w:val="none" w:sz="0" w:space="0" w:color="auto"/>
          </w:divBdr>
        </w:div>
        <w:div w:id="2024705943">
          <w:marLeft w:val="0"/>
          <w:marRight w:val="0"/>
          <w:marTop w:val="0"/>
          <w:marBottom w:val="0"/>
          <w:divBdr>
            <w:top w:val="none" w:sz="0" w:space="0" w:color="auto"/>
            <w:left w:val="none" w:sz="0" w:space="0" w:color="auto"/>
            <w:bottom w:val="none" w:sz="0" w:space="0" w:color="auto"/>
            <w:right w:val="none" w:sz="0" w:space="0" w:color="auto"/>
          </w:divBdr>
        </w:div>
        <w:div w:id="2024705944">
          <w:marLeft w:val="0"/>
          <w:marRight w:val="0"/>
          <w:marTop w:val="0"/>
          <w:marBottom w:val="0"/>
          <w:divBdr>
            <w:top w:val="none" w:sz="0" w:space="0" w:color="auto"/>
            <w:left w:val="none" w:sz="0" w:space="0" w:color="auto"/>
            <w:bottom w:val="none" w:sz="0" w:space="0" w:color="auto"/>
            <w:right w:val="none" w:sz="0" w:space="0" w:color="auto"/>
          </w:divBdr>
        </w:div>
        <w:div w:id="2024705945">
          <w:marLeft w:val="0"/>
          <w:marRight w:val="0"/>
          <w:marTop w:val="0"/>
          <w:marBottom w:val="0"/>
          <w:divBdr>
            <w:top w:val="none" w:sz="0" w:space="0" w:color="auto"/>
            <w:left w:val="none" w:sz="0" w:space="0" w:color="auto"/>
            <w:bottom w:val="none" w:sz="0" w:space="0" w:color="auto"/>
            <w:right w:val="none" w:sz="0" w:space="0" w:color="auto"/>
          </w:divBdr>
        </w:div>
        <w:div w:id="2024705946">
          <w:marLeft w:val="0"/>
          <w:marRight w:val="0"/>
          <w:marTop w:val="0"/>
          <w:marBottom w:val="0"/>
          <w:divBdr>
            <w:top w:val="none" w:sz="0" w:space="0" w:color="auto"/>
            <w:left w:val="none" w:sz="0" w:space="0" w:color="auto"/>
            <w:bottom w:val="none" w:sz="0" w:space="0" w:color="auto"/>
            <w:right w:val="none" w:sz="0" w:space="0" w:color="auto"/>
          </w:divBdr>
        </w:div>
        <w:div w:id="2024705947">
          <w:marLeft w:val="0"/>
          <w:marRight w:val="0"/>
          <w:marTop w:val="0"/>
          <w:marBottom w:val="0"/>
          <w:divBdr>
            <w:top w:val="none" w:sz="0" w:space="0" w:color="auto"/>
            <w:left w:val="none" w:sz="0" w:space="0" w:color="auto"/>
            <w:bottom w:val="none" w:sz="0" w:space="0" w:color="auto"/>
            <w:right w:val="none" w:sz="0" w:space="0" w:color="auto"/>
          </w:divBdr>
        </w:div>
        <w:div w:id="2024705948">
          <w:marLeft w:val="0"/>
          <w:marRight w:val="0"/>
          <w:marTop w:val="0"/>
          <w:marBottom w:val="0"/>
          <w:divBdr>
            <w:top w:val="none" w:sz="0" w:space="0" w:color="auto"/>
            <w:left w:val="none" w:sz="0" w:space="0" w:color="auto"/>
            <w:bottom w:val="none" w:sz="0" w:space="0" w:color="auto"/>
            <w:right w:val="none" w:sz="0" w:space="0" w:color="auto"/>
          </w:divBdr>
        </w:div>
        <w:div w:id="2024705949">
          <w:marLeft w:val="0"/>
          <w:marRight w:val="0"/>
          <w:marTop w:val="0"/>
          <w:marBottom w:val="0"/>
          <w:divBdr>
            <w:top w:val="none" w:sz="0" w:space="0" w:color="auto"/>
            <w:left w:val="none" w:sz="0" w:space="0" w:color="auto"/>
            <w:bottom w:val="none" w:sz="0" w:space="0" w:color="auto"/>
            <w:right w:val="none" w:sz="0" w:space="0" w:color="auto"/>
          </w:divBdr>
        </w:div>
        <w:div w:id="2024705950">
          <w:marLeft w:val="0"/>
          <w:marRight w:val="0"/>
          <w:marTop w:val="0"/>
          <w:marBottom w:val="0"/>
          <w:divBdr>
            <w:top w:val="none" w:sz="0" w:space="0" w:color="auto"/>
            <w:left w:val="none" w:sz="0" w:space="0" w:color="auto"/>
            <w:bottom w:val="none" w:sz="0" w:space="0" w:color="auto"/>
            <w:right w:val="none" w:sz="0" w:space="0" w:color="auto"/>
          </w:divBdr>
        </w:div>
        <w:div w:id="2024705951">
          <w:marLeft w:val="0"/>
          <w:marRight w:val="0"/>
          <w:marTop w:val="0"/>
          <w:marBottom w:val="0"/>
          <w:divBdr>
            <w:top w:val="none" w:sz="0" w:space="0" w:color="auto"/>
            <w:left w:val="none" w:sz="0" w:space="0" w:color="auto"/>
            <w:bottom w:val="none" w:sz="0" w:space="0" w:color="auto"/>
            <w:right w:val="none" w:sz="0" w:space="0" w:color="auto"/>
          </w:divBdr>
        </w:div>
        <w:div w:id="2024705952">
          <w:marLeft w:val="0"/>
          <w:marRight w:val="0"/>
          <w:marTop w:val="0"/>
          <w:marBottom w:val="0"/>
          <w:divBdr>
            <w:top w:val="none" w:sz="0" w:space="0" w:color="auto"/>
            <w:left w:val="none" w:sz="0" w:space="0" w:color="auto"/>
            <w:bottom w:val="none" w:sz="0" w:space="0" w:color="auto"/>
            <w:right w:val="none" w:sz="0" w:space="0" w:color="auto"/>
          </w:divBdr>
        </w:div>
        <w:div w:id="2024705953">
          <w:marLeft w:val="0"/>
          <w:marRight w:val="0"/>
          <w:marTop w:val="0"/>
          <w:marBottom w:val="0"/>
          <w:divBdr>
            <w:top w:val="none" w:sz="0" w:space="0" w:color="auto"/>
            <w:left w:val="none" w:sz="0" w:space="0" w:color="auto"/>
            <w:bottom w:val="none" w:sz="0" w:space="0" w:color="auto"/>
            <w:right w:val="none" w:sz="0" w:space="0" w:color="auto"/>
          </w:divBdr>
        </w:div>
        <w:div w:id="2024705954">
          <w:marLeft w:val="0"/>
          <w:marRight w:val="0"/>
          <w:marTop w:val="0"/>
          <w:marBottom w:val="0"/>
          <w:divBdr>
            <w:top w:val="none" w:sz="0" w:space="0" w:color="auto"/>
            <w:left w:val="none" w:sz="0" w:space="0" w:color="auto"/>
            <w:bottom w:val="none" w:sz="0" w:space="0" w:color="auto"/>
            <w:right w:val="none" w:sz="0" w:space="0" w:color="auto"/>
          </w:divBdr>
        </w:div>
        <w:div w:id="2024705955">
          <w:marLeft w:val="0"/>
          <w:marRight w:val="0"/>
          <w:marTop w:val="0"/>
          <w:marBottom w:val="0"/>
          <w:divBdr>
            <w:top w:val="none" w:sz="0" w:space="0" w:color="auto"/>
            <w:left w:val="none" w:sz="0" w:space="0" w:color="auto"/>
            <w:bottom w:val="none" w:sz="0" w:space="0" w:color="auto"/>
            <w:right w:val="none" w:sz="0" w:space="0" w:color="auto"/>
          </w:divBdr>
        </w:div>
        <w:div w:id="2024705956">
          <w:marLeft w:val="0"/>
          <w:marRight w:val="0"/>
          <w:marTop w:val="0"/>
          <w:marBottom w:val="0"/>
          <w:divBdr>
            <w:top w:val="none" w:sz="0" w:space="0" w:color="auto"/>
            <w:left w:val="none" w:sz="0" w:space="0" w:color="auto"/>
            <w:bottom w:val="none" w:sz="0" w:space="0" w:color="auto"/>
            <w:right w:val="none" w:sz="0" w:space="0" w:color="auto"/>
          </w:divBdr>
        </w:div>
        <w:div w:id="2024705957">
          <w:marLeft w:val="0"/>
          <w:marRight w:val="0"/>
          <w:marTop w:val="0"/>
          <w:marBottom w:val="0"/>
          <w:divBdr>
            <w:top w:val="none" w:sz="0" w:space="0" w:color="auto"/>
            <w:left w:val="none" w:sz="0" w:space="0" w:color="auto"/>
            <w:bottom w:val="none" w:sz="0" w:space="0" w:color="auto"/>
            <w:right w:val="none" w:sz="0" w:space="0" w:color="auto"/>
          </w:divBdr>
        </w:div>
        <w:div w:id="2024705958">
          <w:marLeft w:val="0"/>
          <w:marRight w:val="0"/>
          <w:marTop w:val="0"/>
          <w:marBottom w:val="0"/>
          <w:divBdr>
            <w:top w:val="none" w:sz="0" w:space="0" w:color="auto"/>
            <w:left w:val="none" w:sz="0" w:space="0" w:color="auto"/>
            <w:bottom w:val="none" w:sz="0" w:space="0" w:color="auto"/>
            <w:right w:val="none" w:sz="0" w:space="0" w:color="auto"/>
          </w:divBdr>
        </w:div>
        <w:div w:id="2024705959">
          <w:marLeft w:val="0"/>
          <w:marRight w:val="0"/>
          <w:marTop w:val="0"/>
          <w:marBottom w:val="0"/>
          <w:divBdr>
            <w:top w:val="none" w:sz="0" w:space="0" w:color="auto"/>
            <w:left w:val="none" w:sz="0" w:space="0" w:color="auto"/>
            <w:bottom w:val="none" w:sz="0" w:space="0" w:color="auto"/>
            <w:right w:val="none" w:sz="0" w:space="0" w:color="auto"/>
          </w:divBdr>
        </w:div>
        <w:div w:id="2024705960">
          <w:marLeft w:val="0"/>
          <w:marRight w:val="0"/>
          <w:marTop w:val="0"/>
          <w:marBottom w:val="0"/>
          <w:divBdr>
            <w:top w:val="none" w:sz="0" w:space="0" w:color="auto"/>
            <w:left w:val="none" w:sz="0" w:space="0" w:color="auto"/>
            <w:bottom w:val="none" w:sz="0" w:space="0" w:color="auto"/>
            <w:right w:val="none" w:sz="0" w:space="0" w:color="auto"/>
          </w:divBdr>
        </w:div>
        <w:div w:id="2024705961">
          <w:marLeft w:val="0"/>
          <w:marRight w:val="0"/>
          <w:marTop w:val="0"/>
          <w:marBottom w:val="0"/>
          <w:divBdr>
            <w:top w:val="none" w:sz="0" w:space="0" w:color="auto"/>
            <w:left w:val="none" w:sz="0" w:space="0" w:color="auto"/>
            <w:bottom w:val="none" w:sz="0" w:space="0" w:color="auto"/>
            <w:right w:val="none" w:sz="0" w:space="0" w:color="auto"/>
          </w:divBdr>
        </w:div>
        <w:div w:id="2024705962">
          <w:marLeft w:val="0"/>
          <w:marRight w:val="0"/>
          <w:marTop w:val="0"/>
          <w:marBottom w:val="0"/>
          <w:divBdr>
            <w:top w:val="none" w:sz="0" w:space="0" w:color="auto"/>
            <w:left w:val="none" w:sz="0" w:space="0" w:color="auto"/>
            <w:bottom w:val="none" w:sz="0" w:space="0" w:color="auto"/>
            <w:right w:val="none" w:sz="0" w:space="0" w:color="auto"/>
          </w:divBdr>
        </w:div>
        <w:div w:id="2024705963">
          <w:marLeft w:val="0"/>
          <w:marRight w:val="0"/>
          <w:marTop w:val="0"/>
          <w:marBottom w:val="0"/>
          <w:divBdr>
            <w:top w:val="none" w:sz="0" w:space="0" w:color="auto"/>
            <w:left w:val="none" w:sz="0" w:space="0" w:color="auto"/>
            <w:bottom w:val="none" w:sz="0" w:space="0" w:color="auto"/>
            <w:right w:val="none" w:sz="0" w:space="0" w:color="auto"/>
          </w:divBdr>
        </w:div>
        <w:div w:id="2024705964">
          <w:marLeft w:val="0"/>
          <w:marRight w:val="0"/>
          <w:marTop w:val="0"/>
          <w:marBottom w:val="0"/>
          <w:divBdr>
            <w:top w:val="none" w:sz="0" w:space="0" w:color="auto"/>
            <w:left w:val="none" w:sz="0" w:space="0" w:color="auto"/>
            <w:bottom w:val="none" w:sz="0" w:space="0" w:color="auto"/>
            <w:right w:val="none" w:sz="0" w:space="0" w:color="auto"/>
          </w:divBdr>
        </w:div>
        <w:div w:id="2024705965">
          <w:marLeft w:val="0"/>
          <w:marRight w:val="0"/>
          <w:marTop w:val="0"/>
          <w:marBottom w:val="0"/>
          <w:divBdr>
            <w:top w:val="none" w:sz="0" w:space="0" w:color="auto"/>
            <w:left w:val="none" w:sz="0" w:space="0" w:color="auto"/>
            <w:bottom w:val="none" w:sz="0" w:space="0" w:color="auto"/>
            <w:right w:val="none" w:sz="0" w:space="0" w:color="auto"/>
          </w:divBdr>
        </w:div>
        <w:div w:id="2024705966">
          <w:marLeft w:val="0"/>
          <w:marRight w:val="0"/>
          <w:marTop w:val="0"/>
          <w:marBottom w:val="0"/>
          <w:divBdr>
            <w:top w:val="none" w:sz="0" w:space="0" w:color="auto"/>
            <w:left w:val="none" w:sz="0" w:space="0" w:color="auto"/>
            <w:bottom w:val="none" w:sz="0" w:space="0" w:color="auto"/>
            <w:right w:val="none" w:sz="0" w:space="0" w:color="auto"/>
          </w:divBdr>
        </w:div>
        <w:div w:id="2024705967">
          <w:marLeft w:val="0"/>
          <w:marRight w:val="0"/>
          <w:marTop w:val="0"/>
          <w:marBottom w:val="0"/>
          <w:divBdr>
            <w:top w:val="none" w:sz="0" w:space="0" w:color="auto"/>
            <w:left w:val="none" w:sz="0" w:space="0" w:color="auto"/>
            <w:bottom w:val="none" w:sz="0" w:space="0" w:color="auto"/>
            <w:right w:val="none" w:sz="0" w:space="0" w:color="auto"/>
          </w:divBdr>
        </w:div>
        <w:div w:id="2024705968">
          <w:marLeft w:val="0"/>
          <w:marRight w:val="0"/>
          <w:marTop w:val="0"/>
          <w:marBottom w:val="0"/>
          <w:divBdr>
            <w:top w:val="none" w:sz="0" w:space="0" w:color="auto"/>
            <w:left w:val="none" w:sz="0" w:space="0" w:color="auto"/>
            <w:bottom w:val="none" w:sz="0" w:space="0" w:color="auto"/>
            <w:right w:val="none" w:sz="0" w:space="0" w:color="auto"/>
          </w:divBdr>
        </w:div>
        <w:div w:id="2024705969">
          <w:marLeft w:val="0"/>
          <w:marRight w:val="0"/>
          <w:marTop w:val="0"/>
          <w:marBottom w:val="0"/>
          <w:divBdr>
            <w:top w:val="none" w:sz="0" w:space="0" w:color="auto"/>
            <w:left w:val="none" w:sz="0" w:space="0" w:color="auto"/>
            <w:bottom w:val="none" w:sz="0" w:space="0" w:color="auto"/>
            <w:right w:val="none" w:sz="0" w:space="0" w:color="auto"/>
          </w:divBdr>
        </w:div>
        <w:div w:id="2024705970">
          <w:marLeft w:val="0"/>
          <w:marRight w:val="0"/>
          <w:marTop w:val="0"/>
          <w:marBottom w:val="0"/>
          <w:divBdr>
            <w:top w:val="none" w:sz="0" w:space="0" w:color="auto"/>
            <w:left w:val="none" w:sz="0" w:space="0" w:color="auto"/>
            <w:bottom w:val="none" w:sz="0" w:space="0" w:color="auto"/>
            <w:right w:val="none" w:sz="0" w:space="0" w:color="auto"/>
          </w:divBdr>
        </w:div>
        <w:div w:id="2024705971">
          <w:marLeft w:val="0"/>
          <w:marRight w:val="0"/>
          <w:marTop w:val="0"/>
          <w:marBottom w:val="0"/>
          <w:divBdr>
            <w:top w:val="none" w:sz="0" w:space="0" w:color="auto"/>
            <w:left w:val="none" w:sz="0" w:space="0" w:color="auto"/>
            <w:bottom w:val="none" w:sz="0" w:space="0" w:color="auto"/>
            <w:right w:val="none" w:sz="0" w:space="0" w:color="auto"/>
          </w:divBdr>
        </w:div>
        <w:div w:id="2024705972">
          <w:marLeft w:val="0"/>
          <w:marRight w:val="0"/>
          <w:marTop w:val="0"/>
          <w:marBottom w:val="0"/>
          <w:divBdr>
            <w:top w:val="none" w:sz="0" w:space="0" w:color="auto"/>
            <w:left w:val="none" w:sz="0" w:space="0" w:color="auto"/>
            <w:bottom w:val="none" w:sz="0" w:space="0" w:color="auto"/>
            <w:right w:val="none" w:sz="0" w:space="0" w:color="auto"/>
          </w:divBdr>
        </w:div>
        <w:div w:id="2024705973">
          <w:marLeft w:val="0"/>
          <w:marRight w:val="0"/>
          <w:marTop w:val="0"/>
          <w:marBottom w:val="0"/>
          <w:divBdr>
            <w:top w:val="none" w:sz="0" w:space="0" w:color="auto"/>
            <w:left w:val="none" w:sz="0" w:space="0" w:color="auto"/>
            <w:bottom w:val="none" w:sz="0" w:space="0" w:color="auto"/>
            <w:right w:val="none" w:sz="0" w:space="0" w:color="auto"/>
          </w:divBdr>
        </w:div>
        <w:div w:id="2024705974">
          <w:marLeft w:val="0"/>
          <w:marRight w:val="0"/>
          <w:marTop w:val="0"/>
          <w:marBottom w:val="0"/>
          <w:divBdr>
            <w:top w:val="none" w:sz="0" w:space="0" w:color="auto"/>
            <w:left w:val="none" w:sz="0" w:space="0" w:color="auto"/>
            <w:bottom w:val="none" w:sz="0" w:space="0" w:color="auto"/>
            <w:right w:val="none" w:sz="0" w:space="0" w:color="auto"/>
          </w:divBdr>
        </w:div>
        <w:div w:id="2024705975">
          <w:marLeft w:val="0"/>
          <w:marRight w:val="0"/>
          <w:marTop w:val="0"/>
          <w:marBottom w:val="0"/>
          <w:divBdr>
            <w:top w:val="none" w:sz="0" w:space="0" w:color="auto"/>
            <w:left w:val="none" w:sz="0" w:space="0" w:color="auto"/>
            <w:bottom w:val="none" w:sz="0" w:space="0" w:color="auto"/>
            <w:right w:val="none" w:sz="0" w:space="0" w:color="auto"/>
          </w:divBdr>
        </w:div>
        <w:div w:id="2024705976">
          <w:marLeft w:val="0"/>
          <w:marRight w:val="0"/>
          <w:marTop w:val="0"/>
          <w:marBottom w:val="0"/>
          <w:divBdr>
            <w:top w:val="none" w:sz="0" w:space="0" w:color="auto"/>
            <w:left w:val="none" w:sz="0" w:space="0" w:color="auto"/>
            <w:bottom w:val="none" w:sz="0" w:space="0" w:color="auto"/>
            <w:right w:val="none" w:sz="0" w:space="0" w:color="auto"/>
          </w:divBdr>
        </w:div>
        <w:div w:id="2024705977">
          <w:marLeft w:val="0"/>
          <w:marRight w:val="0"/>
          <w:marTop w:val="0"/>
          <w:marBottom w:val="0"/>
          <w:divBdr>
            <w:top w:val="none" w:sz="0" w:space="0" w:color="auto"/>
            <w:left w:val="none" w:sz="0" w:space="0" w:color="auto"/>
            <w:bottom w:val="none" w:sz="0" w:space="0" w:color="auto"/>
            <w:right w:val="none" w:sz="0" w:space="0" w:color="auto"/>
          </w:divBdr>
        </w:div>
        <w:div w:id="2024705978">
          <w:marLeft w:val="0"/>
          <w:marRight w:val="0"/>
          <w:marTop w:val="0"/>
          <w:marBottom w:val="0"/>
          <w:divBdr>
            <w:top w:val="none" w:sz="0" w:space="0" w:color="auto"/>
            <w:left w:val="none" w:sz="0" w:space="0" w:color="auto"/>
            <w:bottom w:val="none" w:sz="0" w:space="0" w:color="auto"/>
            <w:right w:val="none" w:sz="0" w:space="0" w:color="auto"/>
          </w:divBdr>
        </w:div>
        <w:div w:id="2024705979">
          <w:marLeft w:val="0"/>
          <w:marRight w:val="0"/>
          <w:marTop w:val="0"/>
          <w:marBottom w:val="0"/>
          <w:divBdr>
            <w:top w:val="none" w:sz="0" w:space="0" w:color="auto"/>
            <w:left w:val="none" w:sz="0" w:space="0" w:color="auto"/>
            <w:bottom w:val="none" w:sz="0" w:space="0" w:color="auto"/>
            <w:right w:val="none" w:sz="0" w:space="0" w:color="auto"/>
          </w:divBdr>
        </w:div>
        <w:div w:id="2024705980">
          <w:marLeft w:val="0"/>
          <w:marRight w:val="0"/>
          <w:marTop w:val="0"/>
          <w:marBottom w:val="0"/>
          <w:divBdr>
            <w:top w:val="none" w:sz="0" w:space="0" w:color="auto"/>
            <w:left w:val="none" w:sz="0" w:space="0" w:color="auto"/>
            <w:bottom w:val="none" w:sz="0" w:space="0" w:color="auto"/>
            <w:right w:val="none" w:sz="0" w:space="0" w:color="auto"/>
          </w:divBdr>
        </w:div>
        <w:div w:id="2024705981">
          <w:marLeft w:val="0"/>
          <w:marRight w:val="0"/>
          <w:marTop w:val="0"/>
          <w:marBottom w:val="0"/>
          <w:divBdr>
            <w:top w:val="none" w:sz="0" w:space="0" w:color="auto"/>
            <w:left w:val="none" w:sz="0" w:space="0" w:color="auto"/>
            <w:bottom w:val="none" w:sz="0" w:space="0" w:color="auto"/>
            <w:right w:val="none" w:sz="0" w:space="0" w:color="auto"/>
          </w:divBdr>
        </w:div>
        <w:div w:id="2024705982">
          <w:marLeft w:val="0"/>
          <w:marRight w:val="0"/>
          <w:marTop w:val="0"/>
          <w:marBottom w:val="0"/>
          <w:divBdr>
            <w:top w:val="none" w:sz="0" w:space="0" w:color="auto"/>
            <w:left w:val="none" w:sz="0" w:space="0" w:color="auto"/>
            <w:bottom w:val="none" w:sz="0" w:space="0" w:color="auto"/>
            <w:right w:val="none" w:sz="0" w:space="0" w:color="auto"/>
          </w:divBdr>
        </w:div>
        <w:div w:id="2024705983">
          <w:marLeft w:val="0"/>
          <w:marRight w:val="0"/>
          <w:marTop w:val="0"/>
          <w:marBottom w:val="0"/>
          <w:divBdr>
            <w:top w:val="none" w:sz="0" w:space="0" w:color="auto"/>
            <w:left w:val="none" w:sz="0" w:space="0" w:color="auto"/>
            <w:bottom w:val="none" w:sz="0" w:space="0" w:color="auto"/>
            <w:right w:val="none" w:sz="0" w:space="0" w:color="auto"/>
          </w:divBdr>
        </w:div>
        <w:div w:id="2024705984">
          <w:marLeft w:val="0"/>
          <w:marRight w:val="0"/>
          <w:marTop w:val="0"/>
          <w:marBottom w:val="0"/>
          <w:divBdr>
            <w:top w:val="none" w:sz="0" w:space="0" w:color="auto"/>
            <w:left w:val="none" w:sz="0" w:space="0" w:color="auto"/>
            <w:bottom w:val="none" w:sz="0" w:space="0" w:color="auto"/>
            <w:right w:val="none" w:sz="0" w:space="0" w:color="auto"/>
          </w:divBdr>
        </w:div>
        <w:div w:id="2024705985">
          <w:marLeft w:val="0"/>
          <w:marRight w:val="0"/>
          <w:marTop w:val="0"/>
          <w:marBottom w:val="0"/>
          <w:divBdr>
            <w:top w:val="none" w:sz="0" w:space="0" w:color="auto"/>
            <w:left w:val="none" w:sz="0" w:space="0" w:color="auto"/>
            <w:bottom w:val="none" w:sz="0" w:space="0" w:color="auto"/>
            <w:right w:val="none" w:sz="0" w:space="0" w:color="auto"/>
          </w:divBdr>
        </w:div>
        <w:div w:id="2024705986">
          <w:marLeft w:val="0"/>
          <w:marRight w:val="0"/>
          <w:marTop w:val="0"/>
          <w:marBottom w:val="0"/>
          <w:divBdr>
            <w:top w:val="none" w:sz="0" w:space="0" w:color="auto"/>
            <w:left w:val="none" w:sz="0" w:space="0" w:color="auto"/>
            <w:bottom w:val="none" w:sz="0" w:space="0" w:color="auto"/>
            <w:right w:val="none" w:sz="0" w:space="0" w:color="auto"/>
          </w:divBdr>
        </w:div>
        <w:div w:id="2024705987">
          <w:marLeft w:val="0"/>
          <w:marRight w:val="0"/>
          <w:marTop w:val="0"/>
          <w:marBottom w:val="0"/>
          <w:divBdr>
            <w:top w:val="none" w:sz="0" w:space="0" w:color="auto"/>
            <w:left w:val="none" w:sz="0" w:space="0" w:color="auto"/>
            <w:bottom w:val="none" w:sz="0" w:space="0" w:color="auto"/>
            <w:right w:val="none" w:sz="0" w:space="0" w:color="auto"/>
          </w:divBdr>
        </w:div>
        <w:div w:id="2024705988">
          <w:marLeft w:val="0"/>
          <w:marRight w:val="0"/>
          <w:marTop w:val="0"/>
          <w:marBottom w:val="0"/>
          <w:divBdr>
            <w:top w:val="none" w:sz="0" w:space="0" w:color="auto"/>
            <w:left w:val="none" w:sz="0" w:space="0" w:color="auto"/>
            <w:bottom w:val="none" w:sz="0" w:space="0" w:color="auto"/>
            <w:right w:val="none" w:sz="0" w:space="0" w:color="auto"/>
          </w:divBdr>
        </w:div>
        <w:div w:id="2024705989">
          <w:marLeft w:val="0"/>
          <w:marRight w:val="0"/>
          <w:marTop w:val="0"/>
          <w:marBottom w:val="0"/>
          <w:divBdr>
            <w:top w:val="none" w:sz="0" w:space="0" w:color="auto"/>
            <w:left w:val="none" w:sz="0" w:space="0" w:color="auto"/>
            <w:bottom w:val="none" w:sz="0" w:space="0" w:color="auto"/>
            <w:right w:val="none" w:sz="0" w:space="0" w:color="auto"/>
          </w:divBdr>
        </w:div>
        <w:div w:id="2024705990">
          <w:marLeft w:val="0"/>
          <w:marRight w:val="0"/>
          <w:marTop w:val="0"/>
          <w:marBottom w:val="0"/>
          <w:divBdr>
            <w:top w:val="none" w:sz="0" w:space="0" w:color="auto"/>
            <w:left w:val="none" w:sz="0" w:space="0" w:color="auto"/>
            <w:bottom w:val="none" w:sz="0" w:space="0" w:color="auto"/>
            <w:right w:val="none" w:sz="0" w:space="0" w:color="auto"/>
          </w:divBdr>
        </w:div>
        <w:div w:id="2024705991">
          <w:marLeft w:val="0"/>
          <w:marRight w:val="0"/>
          <w:marTop w:val="0"/>
          <w:marBottom w:val="0"/>
          <w:divBdr>
            <w:top w:val="none" w:sz="0" w:space="0" w:color="auto"/>
            <w:left w:val="none" w:sz="0" w:space="0" w:color="auto"/>
            <w:bottom w:val="none" w:sz="0" w:space="0" w:color="auto"/>
            <w:right w:val="none" w:sz="0" w:space="0" w:color="auto"/>
          </w:divBdr>
        </w:div>
        <w:div w:id="2024705992">
          <w:marLeft w:val="0"/>
          <w:marRight w:val="0"/>
          <w:marTop w:val="0"/>
          <w:marBottom w:val="0"/>
          <w:divBdr>
            <w:top w:val="none" w:sz="0" w:space="0" w:color="auto"/>
            <w:left w:val="none" w:sz="0" w:space="0" w:color="auto"/>
            <w:bottom w:val="none" w:sz="0" w:space="0" w:color="auto"/>
            <w:right w:val="none" w:sz="0" w:space="0" w:color="auto"/>
          </w:divBdr>
        </w:div>
        <w:div w:id="2024705993">
          <w:marLeft w:val="0"/>
          <w:marRight w:val="0"/>
          <w:marTop w:val="0"/>
          <w:marBottom w:val="0"/>
          <w:divBdr>
            <w:top w:val="none" w:sz="0" w:space="0" w:color="auto"/>
            <w:left w:val="none" w:sz="0" w:space="0" w:color="auto"/>
            <w:bottom w:val="none" w:sz="0" w:space="0" w:color="auto"/>
            <w:right w:val="none" w:sz="0" w:space="0" w:color="auto"/>
          </w:divBdr>
        </w:div>
        <w:div w:id="2024705994">
          <w:marLeft w:val="0"/>
          <w:marRight w:val="0"/>
          <w:marTop w:val="0"/>
          <w:marBottom w:val="0"/>
          <w:divBdr>
            <w:top w:val="none" w:sz="0" w:space="0" w:color="auto"/>
            <w:left w:val="none" w:sz="0" w:space="0" w:color="auto"/>
            <w:bottom w:val="none" w:sz="0" w:space="0" w:color="auto"/>
            <w:right w:val="none" w:sz="0" w:space="0" w:color="auto"/>
          </w:divBdr>
        </w:div>
        <w:div w:id="2024705995">
          <w:marLeft w:val="0"/>
          <w:marRight w:val="0"/>
          <w:marTop w:val="0"/>
          <w:marBottom w:val="0"/>
          <w:divBdr>
            <w:top w:val="none" w:sz="0" w:space="0" w:color="auto"/>
            <w:left w:val="none" w:sz="0" w:space="0" w:color="auto"/>
            <w:bottom w:val="none" w:sz="0" w:space="0" w:color="auto"/>
            <w:right w:val="none" w:sz="0" w:space="0" w:color="auto"/>
          </w:divBdr>
        </w:div>
        <w:div w:id="2024705996">
          <w:marLeft w:val="0"/>
          <w:marRight w:val="0"/>
          <w:marTop w:val="0"/>
          <w:marBottom w:val="0"/>
          <w:divBdr>
            <w:top w:val="none" w:sz="0" w:space="0" w:color="auto"/>
            <w:left w:val="none" w:sz="0" w:space="0" w:color="auto"/>
            <w:bottom w:val="none" w:sz="0" w:space="0" w:color="auto"/>
            <w:right w:val="none" w:sz="0" w:space="0" w:color="auto"/>
          </w:divBdr>
        </w:div>
        <w:div w:id="2024705997">
          <w:marLeft w:val="0"/>
          <w:marRight w:val="0"/>
          <w:marTop w:val="0"/>
          <w:marBottom w:val="0"/>
          <w:divBdr>
            <w:top w:val="none" w:sz="0" w:space="0" w:color="auto"/>
            <w:left w:val="none" w:sz="0" w:space="0" w:color="auto"/>
            <w:bottom w:val="none" w:sz="0" w:space="0" w:color="auto"/>
            <w:right w:val="none" w:sz="0" w:space="0" w:color="auto"/>
          </w:divBdr>
        </w:div>
        <w:div w:id="2024705998">
          <w:marLeft w:val="0"/>
          <w:marRight w:val="0"/>
          <w:marTop w:val="0"/>
          <w:marBottom w:val="0"/>
          <w:divBdr>
            <w:top w:val="none" w:sz="0" w:space="0" w:color="auto"/>
            <w:left w:val="none" w:sz="0" w:space="0" w:color="auto"/>
            <w:bottom w:val="none" w:sz="0" w:space="0" w:color="auto"/>
            <w:right w:val="none" w:sz="0" w:space="0" w:color="auto"/>
          </w:divBdr>
        </w:div>
        <w:div w:id="2024705999">
          <w:marLeft w:val="0"/>
          <w:marRight w:val="0"/>
          <w:marTop w:val="0"/>
          <w:marBottom w:val="0"/>
          <w:divBdr>
            <w:top w:val="none" w:sz="0" w:space="0" w:color="auto"/>
            <w:left w:val="none" w:sz="0" w:space="0" w:color="auto"/>
            <w:bottom w:val="none" w:sz="0" w:space="0" w:color="auto"/>
            <w:right w:val="none" w:sz="0" w:space="0" w:color="auto"/>
          </w:divBdr>
        </w:div>
        <w:div w:id="2024706000">
          <w:marLeft w:val="0"/>
          <w:marRight w:val="0"/>
          <w:marTop w:val="0"/>
          <w:marBottom w:val="0"/>
          <w:divBdr>
            <w:top w:val="none" w:sz="0" w:space="0" w:color="auto"/>
            <w:left w:val="none" w:sz="0" w:space="0" w:color="auto"/>
            <w:bottom w:val="none" w:sz="0" w:space="0" w:color="auto"/>
            <w:right w:val="none" w:sz="0" w:space="0" w:color="auto"/>
          </w:divBdr>
        </w:div>
        <w:div w:id="2024706001">
          <w:marLeft w:val="0"/>
          <w:marRight w:val="0"/>
          <w:marTop w:val="0"/>
          <w:marBottom w:val="0"/>
          <w:divBdr>
            <w:top w:val="none" w:sz="0" w:space="0" w:color="auto"/>
            <w:left w:val="none" w:sz="0" w:space="0" w:color="auto"/>
            <w:bottom w:val="none" w:sz="0" w:space="0" w:color="auto"/>
            <w:right w:val="none" w:sz="0" w:space="0" w:color="auto"/>
          </w:divBdr>
        </w:div>
        <w:div w:id="2024706003">
          <w:marLeft w:val="0"/>
          <w:marRight w:val="0"/>
          <w:marTop w:val="0"/>
          <w:marBottom w:val="0"/>
          <w:divBdr>
            <w:top w:val="none" w:sz="0" w:space="0" w:color="auto"/>
            <w:left w:val="none" w:sz="0" w:space="0" w:color="auto"/>
            <w:bottom w:val="none" w:sz="0" w:space="0" w:color="auto"/>
            <w:right w:val="none" w:sz="0" w:space="0" w:color="auto"/>
          </w:divBdr>
        </w:div>
        <w:div w:id="2024706004">
          <w:marLeft w:val="0"/>
          <w:marRight w:val="0"/>
          <w:marTop w:val="0"/>
          <w:marBottom w:val="0"/>
          <w:divBdr>
            <w:top w:val="none" w:sz="0" w:space="0" w:color="auto"/>
            <w:left w:val="none" w:sz="0" w:space="0" w:color="auto"/>
            <w:bottom w:val="none" w:sz="0" w:space="0" w:color="auto"/>
            <w:right w:val="none" w:sz="0" w:space="0" w:color="auto"/>
          </w:divBdr>
        </w:div>
        <w:div w:id="2024706005">
          <w:marLeft w:val="0"/>
          <w:marRight w:val="0"/>
          <w:marTop w:val="0"/>
          <w:marBottom w:val="0"/>
          <w:divBdr>
            <w:top w:val="none" w:sz="0" w:space="0" w:color="auto"/>
            <w:left w:val="none" w:sz="0" w:space="0" w:color="auto"/>
            <w:bottom w:val="none" w:sz="0" w:space="0" w:color="auto"/>
            <w:right w:val="none" w:sz="0" w:space="0" w:color="auto"/>
          </w:divBdr>
        </w:div>
        <w:div w:id="2024706006">
          <w:marLeft w:val="0"/>
          <w:marRight w:val="0"/>
          <w:marTop w:val="0"/>
          <w:marBottom w:val="0"/>
          <w:divBdr>
            <w:top w:val="none" w:sz="0" w:space="0" w:color="auto"/>
            <w:left w:val="none" w:sz="0" w:space="0" w:color="auto"/>
            <w:bottom w:val="none" w:sz="0" w:space="0" w:color="auto"/>
            <w:right w:val="none" w:sz="0" w:space="0" w:color="auto"/>
          </w:divBdr>
        </w:div>
        <w:div w:id="2024706007">
          <w:marLeft w:val="0"/>
          <w:marRight w:val="0"/>
          <w:marTop w:val="0"/>
          <w:marBottom w:val="0"/>
          <w:divBdr>
            <w:top w:val="none" w:sz="0" w:space="0" w:color="auto"/>
            <w:left w:val="none" w:sz="0" w:space="0" w:color="auto"/>
            <w:bottom w:val="none" w:sz="0" w:space="0" w:color="auto"/>
            <w:right w:val="none" w:sz="0" w:space="0" w:color="auto"/>
          </w:divBdr>
        </w:div>
        <w:div w:id="2024706008">
          <w:marLeft w:val="0"/>
          <w:marRight w:val="0"/>
          <w:marTop w:val="0"/>
          <w:marBottom w:val="0"/>
          <w:divBdr>
            <w:top w:val="none" w:sz="0" w:space="0" w:color="auto"/>
            <w:left w:val="none" w:sz="0" w:space="0" w:color="auto"/>
            <w:bottom w:val="none" w:sz="0" w:space="0" w:color="auto"/>
            <w:right w:val="none" w:sz="0" w:space="0" w:color="auto"/>
          </w:divBdr>
        </w:div>
        <w:div w:id="2024706009">
          <w:marLeft w:val="0"/>
          <w:marRight w:val="0"/>
          <w:marTop w:val="0"/>
          <w:marBottom w:val="0"/>
          <w:divBdr>
            <w:top w:val="none" w:sz="0" w:space="0" w:color="auto"/>
            <w:left w:val="none" w:sz="0" w:space="0" w:color="auto"/>
            <w:bottom w:val="none" w:sz="0" w:space="0" w:color="auto"/>
            <w:right w:val="none" w:sz="0" w:space="0" w:color="auto"/>
          </w:divBdr>
        </w:div>
        <w:div w:id="2024706010">
          <w:marLeft w:val="0"/>
          <w:marRight w:val="0"/>
          <w:marTop w:val="0"/>
          <w:marBottom w:val="0"/>
          <w:divBdr>
            <w:top w:val="none" w:sz="0" w:space="0" w:color="auto"/>
            <w:left w:val="none" w:sz="0" w:space="0" w:color="auto"/>
            <w:bottom w:val="none" w:sz="0" w:space="0" w:color="auto"/>
            <w:right w:val="none" w:sz="0" w:space="0" w:color="auto"/>
          </w:divBdr>
        </w:div>
        <w:div w:id="2024706011">
          <w:marLeft w:val="0"/>
          <w:marRight w:val="0"/>
          <w:marTop w:val="0"/>
          <w:marBottom w:val="0"/>
          <w:divBdr>
            <w:top w:val="none" w:sz="0" w:space="0" w:color="auto"/>
            <w:left w:val="none" w:sz="0" w:space="0" w:color="auto"/>
            <w:bottom w:val="none" w:sz="0" w:space="0" w:color="auto"/>
            <w:right w:val="none" w:sz="0" w:space="0" w:color="auto"/>
          </w:divBdr>
        </w:div>
        <w:div w:id="2024706012">
          <w:marLeft w:val="0"/>
          <w:marRight w:val="0"/>
          <w:marTop w:val="0"/>
          <w:marBottom w:val="0"/>
          <w:divBdr>
            <w:top w:val="none" w:sz="0" w:space="0" w:color="auto"/>
            <w:left w:val="none" w:sz="0" w:space="0" w:color="auto"/>
            <w:bottom w:val="none" w:sz="0" w:space="0" w:color="auto"/>
            <w:right w:val="none" w:sz="0" w:space="0" w:color="auto"/>
          </w:divBdr>
        </w:div>
        <w:div w:id="2024706013">
          <w:marLeft w:val="0"/>
          <w:marRight w:val="0"/>
          <w:marTop w:val="0"/>
          <w:marBottom w:val="0"/>
          <w:divBdr>
            <w:top w:val="none" w:sz="0" w:space="0" w:color="auto"/>
            <w:left w:val="none" w:sz="0" w:space="0" w:color="auto"/>
            <w:bottom w:val="none" w:sz="0" w:space="0" w:color="auto"/>
            <w:right w:val="none" w:sz="0" w:space="0" w:color="auto"/>
          </w:divBdr>
        </w:div>
        <w:div w:id="2024706014">
          <w:marLeft w:val="0"/>
          <w:marRight w:val="0"/>
          <w:marTop w:val="0"/>
          <w:marBottom w:val="0"/>
          <w:divBdr>
            <w:top w:val="none" w:sz="0" w:space="0" w:color="auto"/>
            <w:left w:val="none" w:sz="0" w:space="0" w:color="auto"/>
            <w:bottom w:val="none" w:sz="0" w:space="0" w:color="auto"/>
            <w:right w:val="none" w:sz="0" w:space="0" w:color="auto"/>
          </w:divBdr>
        </w:div>
        <w:div w:id="2024706015">
          <w:marLeft w:val="0"/>
          <w:marRight w:val="0"/>
          <w:marTop w:val="0"/>
          <w:marBottom w:val="0"/>
          <w:divBdr>
            <w:top w:val="none" w:sz="0" w:space="0" w:color="auto"/>
            <w:left w:val="none" w:sz="0" w:space="0" w:color="auto"/>
            <w:bottom w:val="none" w:sz="0" w:space="0" w:color="auto"/>
            <w:right w:val="none" w:sz="0" w:space="0" w:color="auto"/>
          </w:divBdr>
        </w:div>
        <w:div w:id="2024706016">
          <w:marLeft w:val="0"/>
          <w:marRight w:val="0"/>
          <w:marTop w:val="0"/>
          <w:marBottom w:val="0"/>
          <w:divBdr>
            <w:top w:val="none" w:sz="0" w:space="0" w:color="auto"/>
            <w:left w:val="none" w:sz="0" w:space="0" w:color="auto"/>
            <w:bottom w:val="none" w:sz="0" w:space="0" w:color="auto"/>
            <w:right w:val="none" w:sz="0" w:space="0" w:color="auto"/>
          </w:divBdr>
        </w:div>
        <w:div w:id="2024706017">
          <w:marLeft w:val="0"/>
          <w:marRight w:val="0"/>
          <w:marTop w:val="0"/>
          <w:marBottom w:val="0"/>
          <w:divBdr>
            <w:top w:val="none" w:sz="0" w:space="0" w:color="auto"/>
            <w:left w:val="none" w:sz="0" w:space="0" w:color="auto"/>
            <w:bottom w:val="none" w:sz="0" w:space="0" w:color="auto"/>
            <w:right w:val="none" w:sz="0" w:space="0" w:color="auto"/>
          </w:divBdr>
        </w:div>
        <w:div w:id="2024706018">
          <w:marLeft w:val="0"/>
          <w:marRight w:val="0"/>
          <w:marTop w:val="0"/>
          <w:marBottom w:val="0"/>
          <w:divBdr>
            <w:top w:val="none" w:sz="0" w:space="0" w:color="auto"/>
            <w:left w:val="none" w:sz="0" w:space="0" w:color="auto"/>
            <w:bottom w:val="none" w:sz="0" w:space="0" w:color="auto"/>
            <w:right w:val="none" w:sz="0" w:space="0" w:color="auto"/>
          </w:divBdr>
        </w:div>
        <w:div w:id="2024706020">
          <w:marLeft w:val="0"/>
          <w:marRight w:val="0"/>
          <w:marTop w:val="0"/>
          <w:marBottom w:val="0"/>
          <w:divBdr>
            <w:top w:val="none" w:sz="0" w:space="0" w:color="auto"/>
            <w:left w:val="none" w:sz="0" w:space="0" w:color="auto"/>
            <w:bottom w:val="none" w:sz="0" w:space="0" w:color="auto"/>
            <w:right w:val="none" w:sz="0" w:space="0" w:color="auto"/>
          </w:divBdr>
        </w:div>
        <w:div w:id="2024706021">
          <w:marLeft w:val="0"/>
          <w:marRight w:val="0"/>
          <w:marTop w:val="0"/>
          <w:marBottom w:val="0"/>
          <w:divBdr>
            <w:top w:val="none" w:sz="0" w:space="0" w:color="auto"/>
            <w:left w:val="none" w:sz="0" w:space="0" w:color="auto"/>
            <w:bottom w:val="none" w:sz="0" w:space="0" w:color="auto"/>
            <w:right w:val="none" w:sz="0" w:space="0" w:color="auto"/>
          </w:divBdr>
        </w:div>
        <w:div w:id="2024706022">
          <w:marLeft w:val="0"/>
          <w:marRight w:val="0"/>
          <w:marTop w:val="0"/>
          <w:marBottom w:val="0"/>
          <w:divBdr>
            <w:top w:val="none" w:sz="0" w:space="0" w:color="auto"/>
            <w:left w:val="none" w:sz="0" w:space="0" w:color="auto"/>
            <w:bottom w:val="none" w:sz="0" w:space="0" w:color="auto"/>
            <w:right w:val="none" w:sz="0" w:space="0" w:color="auto"/>
          </w:divBdr>
        </w:div>
        <w:div w:id="2024706024">
          <w:marLeft w:val="0"/>
          <w:marRight w:val="0"/>
          <w:marTop w:val="0"/>
          <w:marBottom w:val="0"/>
          <w:divBdr>
            <w:top w:val="none" w:sz="0" w:space="0" w:color="auto"/>
            <w:left w:val="none" w:sz="0" w:space="0" w:color="auto"/>
            <w:bottom w:val="none" w:sz="0" w:space="0" w:color="auto"/>
            <w:right w:val="none" w:sz="0" w:space="0" w:color="auto"/>
          </w:divBdr>
        </w:div>
        <w:div w:id="2024706025">
          <w:marLeft w:val="0"/>
          <w:marRight w:val="0"/>
          <w:marTop w:val="0"/>
          <w:marBottom w:val="0"/>
          <w:divBdr>
            <w:top w:val="none" w:sz="0" w:space="0" w:color="auto"/>
            <w:left w:val="none" w:sz="0" w:space="0" w:color="auto"/>
            <w:bottom w:val="none" w:sz="0" w:space="0" w:color="auto"/>
            <w:right w:val="none" w:sz="0" w:space="0" w:color="auto"/>
          </w:divBdr>
        </w:div>
        <w:div w:id="2024706026">
          <w:marLeft w:val="0"/>
          <w:marRight w:val="0"/>
          <w:marTop w:val="0"/>
          <w:marBottom w:val="0"/>
          <w:divBdr>
            <w:top w:val="none" w:sz="0" w:space="0" w:color="auto"/>
            <w:left w:val="none" w:sz="0" w:space="0" w:color="auto"/>
            <w:bottom w:val="none" w:sz="0" w:space="0" w:color="auto"/>
            <w:right w:val="none" w:sz="0" w:space="0" w:color="auto"/>
          </w:divBdr>
        </w:div>
        <w:div w:id="2024706027">
          <w:marLeft w:val="0"/>
          <w:marRight w:val="0"/>
          <w:marTop w:val="0"/>
          <w:marBottom w:val="0"/>
          <w:divBdr>
            <w:top w:val="none" w:sz="0" w:space="0" w:color="auto"/>
            <w:left w:val="none" w:sz="0" w:space="0" w:color="auto"/>
            <w:bottom w:val="none" w:sz="0" w:space="0" w:color="auto"/>
            <w:right w:val="none" w:sz="0" w:space="0" w:color="auto"/>
          </w:divBdr>
        </w:div>
        <w:div w:id="2024706028">
          <w:marLeft w:val="0"/>
          <w:marRight w:val="0"/>
          <w:marTop w:val="0"/>
          <w:marBottom w:val="0"/>
          <w:divBdr>
            <w:top w:val="none" w:sz="0" w:space="0" w:color="auto"/>
            <w:left w:val="none" w:sz="0" w:space="0" w:color="auto"/>
            <w:bottom w:val="none" w:sz="0" w:space="0" w:color="auto"/>
            <w:right w:val="none" w:sz="0" w:space="0" w:color="auto"/>
          </w:divBdr>
        </w:div>
        <w:div w:id="2024706029">
          <w:marLeft w:val="0"/>
          <w:marRight w:val="0"/>
          <w:marTop w:val="0"/>
          <w:marBottom w:val="0"/>
          <w:divBdr>
            <w:top w:val="none" w:sz="0" w:space="0" w:color="auto"/>
            <w:left w:val="none" w:sz="0" w:space="0" w:color="auto"/>
            <w:bottom w:val="none" w:sz="0" w:space="0" w:color="auto"/>
            <w:right w:val="none" w:sz="0" w:space="0" w:color="auto"/>
          </w:divBdr>
        </w:div>
        <w:div w:id="2024706030">
          <w:marLeft w:val="0"/>
          <w:marRight w:val="0"/>
          <w:marTop w:val="0"/>
          <w:marBottom w:val="0"/>
          <w:divBdr>
            <w:top w:val="none" w:sz="0" w:space="0" w:color="auto"/>
            <w:left w:val="none" w:sz="0" w:space="0" w:color="auto"/>
            <w:bottom w:val="none" w:sz="0" w:space="0" w:color="auto"/>
            <w:right w:val="none" w:sz="0" w:space="0" w:color="auto"/>
          </w:divBdr>
        </w:div>
        <w:div w:id="2024706031">
          <w:marLeft w:val="0"/>
          <w:marRight w:val="0"/>
          <w:marTop w:val="0"/>
          <w:marBottom w:val="0"/>
          <w:divBdr>
            <w:top w:val="none" w:sz="0" w:space="0" w:color="auto"/>
            <w:left w:val="none" w:sz="0" w:space="0" w:color="auto"/>
            <w:bottom w:val="none" w:sz="0" w:space="0" w:color="auto"/>
            <w:right w:val="none" w:sz="0" w:space="0" w:color="auto"/>
          </w:divBdr>
        </w:div>
        <w:div w:id="2024706033">
          <w:marLeft w:val="0"/>
          <w:marRight w:val="0"/>
          <w:marTop w:val="0"/>
          <w:marBottom w:val="0"/>
          <w:divBdr>
            <w:top w:val="none" w:sz="0" w:space="0" w:color="auto"/>
            <w:left w:val="none" w:sz="0" w:space="0" w:color="auto"/>
            <w:bottom w:val="none" w:sz="0" w:space="0" w:color="auto"/>
            <w:right w:val="none" w:sz="0" w:space="0" w:color="auto"/>
          </w:divBdr>
        </w:div>
        <w:div w:id="2024706034">
          <w:marLeft w:val="0"/>
          <w:marRight w:val="0"/>
          <w:marTop w:val="0"/>
          <w:marBottom w:val="0"/>
          <w:divBdr>
            <w:top w:val="none" w:sz="0" w:space="0" w:color="auto"/>
            <w:left w:val="none" w:sz="0" w:space="0" w:color="auto"/>
            <w:bottom w:val="none" w:sz="0" w:space="0" w:color="auto"/>
            <w:right w:val="none" w:sz="0" w:space="0" w:color="auto"/>
          </w:divBdr>
        </w:div>
        <w:div w:id="2024706035">
          <w:marLeft w:val="0"/>
          <w:marRight w:val="0"/>
          <w:marTop w:val="0"/>
          <w:marBottom w:val="0"/>
          <w:divBdr>
            <w:top w:val="none" w:sz="0" w:space="0" w:color="auto"/>
            <w:left w:val="none" w:sz="0" w:space="0" w:color="auto"/>
            <w:bottom w:val="none" w:sz="0" w:space="0" w:color="auto"/>
            <w:right w:val="none" w:sz="0" w:space="0" w:color="auto"/>
          </w:divBdr>
        </w:div>
        <w:div w:id="2024706036">
          <w:marLeft w:val="0"/>
          <w:marRight w:val="0"/>
          <w:marTop w:val="0"/>
          <w:marBottom w:val="0"/>
          <w:divBdr>
            <w:top w:val="none" w:sz="0" w:space="0" w:color="auto"/>
            <w:left w:val="none" w:sz="0" w:space="0" w:color="auto"/>
            <w:bottom w:val="none" w:sz="0" w:space="0" w:color="auto"/>
            <w:right w:val="none" w:sz="0" w:space="0" w:color="auto"/>
          </w:divBdr>
        </w:div>
        <w:div w:id="2024706037">
          <w:marLeft w:val="0"/>
          <w:marRight w:val="0"/>
          <w:marTop w:val="0"/>
          <w:marBottom w:val="0"/>
          <w:divBdr>
            <w:top w:val="none" w:sz="0" w:space="0" w:color="auto"/>
            <w:left w:val="none" w:sz="0" w:space="0" w:color="auto"/>
            <w:bottom w:val="none" w:sz="0" w:space="0" w:color="auto"/>
            <w:right w:val="none" w:sz="0" w:space="0" w:color="auto"/>
          </w:divBdr>
        </w:div>
        <w:div w:id="2024706038">
          <w:marLeft w:val="0"/>
          <w:marRight w:val="0"/>
          <w:marTop w:val="0"/>
          <w:marBottom w:val="0"/>
          <w:divBdr>
            <w:top w:val="none" w:sz="0" w:space="0" w:color="auto"/>
            <w:left w:val="none" w:sz="0" w:space="0" w:color="auto"/>
            <w:bottom w:val="none" w:sz="0" w:space="0" w:color="auto"/>
            <w:right w:val="none" w:sz="0" w:space="0" w:color="auto"/>
          </w:divBdr>
        </w:div>
        <w:div w:id="2024706039">
          <w:marLeft w:val="0"/>
          <w:marRight w:val="0"/>
          <w:marTop w:val="0"/>
          <w:marBottom w:val="0"/>
          <w:divBdr>
            <w:top w:val="none" w:sz="0" w:space="0" w:color="auto"/>
            <w:left w:val="none" w:sz="0" w:space="0" w:color="auto"/>
            <w:bottom w:val="none" w:sz="0" w:space="0" w:color="auto"/>
            <w:right w:val="none" w:sz="0" w:space="0" w:color="auto"/>
          </w:divBdr>
        </w:div>
        <w:div w:id="2024706040">
          <w:marLeft w:val="0"/>
          <w:marRight w:val="0"/>
          <w:marTop w:val="0"/>
          <w:marBottom w:val="0"/>
          <w:divBdr>
            <w:top w:val="none" w:sz="0" w:space="0" w:color="auto"/>
            <w:left w:val="none" w:sz="0" w:space="0" w:color="auto"/>
            <w:bottom w:val="none" w:sz="0" w:space="0" w:color="auto"/>
            <w:right w:val="none" w:sz="0" w:space="0" w:color="auto"/>
          </w:divBdr>
        </w:div>
        <w:div w:id="2024706041">
          <w:marLeft w:val="0"/>
          <w:marRight w:val="0"/>
          <w:marTop w:val="0"/>
          <w:marBottom w:val="0"/>
          <w:divBdr>
            <w:top w:val="none" w:sz="0" w:space="0" w:color="auto"/>
            <w:left w:val="none" w:sz="0" w:space="0" w:color="auto"/>
            <w:bottom w:val="none" w:sz="0" w:space="0" w:color="auto"/>
            <w:right w:val="none" w:sz="0" w:space="0" w:color="auto"/>
          </w:divBdr>
        </w:div>
        <w:div w:id="2024706042">
          <w:marLeft w:val="0"/>
          <w:marRight w:val="0"/>
          <w:marTop w:val="0"/>
          <w:marBottom w:val="0"/>
          <w:divBdr>
            <w:top w:val="none" w:sz="0" w:space="0" w:color="auto"/>
            <w:left w:val="none" w:sz="0" w:space="0" w:color="auto"/>
            <w:bottom w:val="none" w:sz="0" w:space="0" w:color="auto"/>
            <w:right w:val="none" w:sz="0" w:space="0" w:color="auto"/>
          </w:divBdr>
        </w:div>
        <w:div w:id="2024706043">
          <w:marLeft w:val="0"/>
          <w:marRight w:val="0"/>
          <w:marTop w:val="0"/>
          <w:marBottom w:val="0"/>
          <w:divBdr>
            <w:top w:val="none" w:sz="0" w:space="0" w:color="auto"/>
            <w:left w:val="none" w:sz="0" w:space="0" w:color="auto"/>
            <w:bottom w:val="none" w:sz="0" w:space="0" w:color="auto"/>
            <w:right w:val="none" w:sz="0" w:space="0" w:color="auto"/>
          </w:divBdr>
        </w:div>
        <w:div w:id="2024706044">
          <w:marLeft w:val="0"/>
          <w:marRight w:val="0"/>
          <w:marTop w:val="0"/>
          <w:marBottom w:val="0"/>
          <w:divBdr>
            <w:top w:val="none" w:sz="0" w:space="0" w:color="auto"/>
            <w:left w:val="none" w:sz="0" w:space="0" w:color="auto"/>
            <w:bottom w:val="none" w:sz="0" w:space="0" w:color="auto"/>
            <w:right w:val="none" w:sz="0" w:space="0" w:color="auto"/>
          </w:divBdr>
        </w:div>
        <w:div w:id="2024706045">
          <w:marLeft w:val="0"/>
          <w:marRight w:val="0"/>
          <w:marTop w:val="0"/>
          <w:marBottom w:val="0"/>
          <w:divBdr>
            <w:top w:val="none" w:sz="0" w:space="0" w:color="auto"/>
            <w:left w:val="none" w:sz="0" w:space="0" w:color="auto"/>
            <w:bottom w:val="none" w:sz="0" w:space="0" w:color="auto"/>
            <w:right w:val="none" w:sz="0" w:space="0" w:color="auto"/>
          </w:divBdr>
        </w:div>
        <w:div w:id="2024706046">
          <w:marLeft w:val="0"/>
          <w:marRight w:val="0"/>
          <w:marTop w:val="0"/>
          <w:marBottom w:val="0"/>
          <w:divBdr>
            <w:top w:val="none" w:sz="0" w:space="0" w:color="auto"/>
            <w:left w:val="none" w:sz="0" w:space="0" w:color="auto"/>
            <w:bottom w:val="none" w:sz="0" w:space="0" w:color="auto"/>
            <w:right w:val="none" w:sz="0" w:space="0" w:color="auto"/>
          </w:divBdr>
        </w:div>
        <w:div w:id="2024706047">
          <w:marLeft w:val="0"/>
          <w:marRight w:val="0"/>
          <w:marTop w:val="0"/>
          <w:marBottom w:val="0"/>
          <w:divBdr>
            <w:top w:val="none" w:sz="0" w:space="0" w:color="auto"/>
            <w:left w:val="none" w:sz="0" w:space="0" w:color="auto"/>
            <w:bottom w:val="none" w:sz="0" w:space="0" w:color="auto"/>
            <w:right w:val="none" w:sz="0" w:space="0" w:color="auto"/>
          </w:divBdr>
        </w:div>
        <w:div w:id="2024706048">
          <w:marLeft w:val="0"/>
          <w:marRight w:val="0"/>
          <w:marTop w:val="0"/>
          <w:marBottom w:val="0"/>
          <w:divBdr>
            <w:top w:val="none" w:sz="0" w:space="0" w:color="auto"/>
            <w:left w:val="none" w:sz="0" w:space="0" w:color="auto"/>
            <w:bottom w:val="none" w:sz="0" w:space="0" w:color="auto"/>
            <w:right w:val="none" w:sz="0" w:space="0" w:color="auto"/>
          </w:divBdr>
        </w:div>
        <w:div w:id="2024706049">
          <w:marLeft w:val="0"/>
          <w:marRight w:val="0"/>
          <w:marTop w:val="0"/>
          <w:marBottom w:val="0"/>
          <w:divBdr>
            <w:top w:val="none" w:sz="0" w:space="0" w:color="auto"/>
            <w:left w:val="none" w:sz="0" w:space="0" w:color="auto"/>
            <w:bottom w:val="none" w:sz="0" w:space="0" w:color="auto"/>
            <w:right w:val="none" w:sz="0" w:space="0" w:color="auto"/>
          </w:divBdr>
        </w:div>
        <w:div w:id="2024706050">
          <w:marLeft w:val="0"/>
          <w:marRight w:val="0"/>
          <w:marTop w:val="0"/>
          <w:marBottom w:val="0"/>
          <w:divBdr>
            <w:top w:val="none" w:sz="0" w:space="0" w:color="auto"/>
            <w:left w:val="none" w:sz="0" w:space="0" w:color="auto"/>
            <w:bottom w:val="none" w:sz="0" w:space="0" w:color="auto"/>
            <w:right w:val="none" w:sz="0" w:space="0" w:color="auto"/>
          </w:divBdr>
        </w:div>
        <w:div w:id="2024706051">
          <w:marLeft w:val="0"/>
          <w:marRight w:val="0"/>
          <w:marTop w:val="0"/>
          <w:marBottom w:val="0"/>
          <w:divBdr>
            <w:top w:val="none" w:sz="0" w:space="0" w:color="auto"/>
            <w:left w:val="none" w:sz="0" w:space="0" w:color="auto"/>
            <w:bottom w:val="none" w:sz="0" w:space="0" w:color="auto"/>
            <w:right w:val="none" w:sz="0" w:space="0" w:color="auto"/>
          </w:divBdr>
        </w:div>
        <w:div w:id="2024706052">
          <w:marLeft w:val="0"/>
          <w:marRight w:val="0"/>
          <w:marTop w:val="0"/>
          <w:marBottom w:val="0"/>
          <w:divBdr>
            <w:top w:val="none" w:sz="0" w:space="0" w:color="auto"/>
            <w:left w:val="none" w:sz="0" w:space="0" w:color="auto"/>
            <w:bottom w:val="none" w:sz="0" w:space="0" w:color="auto"/>
            <w:right w:val="none" w:sz="0" w:space="0" w:color="auto"/>
          </w:divBdr>
        </w:div>
        <w:div w:id="2024706053">
          <w:marLeft w:val="0"/>
          <w:marRight w:val="0"/>
          <w:marTop w:val="0"/>
          <w:marBottom w:val="0"/>
          <w:divBdr>
            <w:top w:val="none" w:sz="0" w:space="0" w:color="auto"/>
            <w:left w:val="none" w:sz="0" w:space="0" w:color="auto"/>
            <w:bottom w:val="none" w:sz="0" w:space="0" w:color="auto"/>
            <w:right w:val="none" w:sz="0" w:space="0" w:color="auto"/>
          </w:divBdr>
        </w:div>
        <w:div w:id="2024706054">
          <w:marLeft w:val="0"/>
          <w:marRight w:val="0"/>
          <w:marTop w:val="0"/>
          <w:marBottom w:val="0"/>
          <w:divBdr>
            <w:top w:val="none" w:sz="0" w:space="0" w:color="auto"/>
            <w:left w:val="none" w:sz="0" w:space="0" w:color="auto"/>
            <w:bottom w:val="none" w:sz="0" w:space="0" w:color="auto"/>
            <w:right w:val="none" w:sz="0" w:space="0" w:color="auto"/>
          </w:divBdr>
        </w:div>
        <w:div w:id="2024706055">
          <w:marLeft w:val="0"/>
          <w:marRight w:val="0"/>
          <w:marTop w:val="0"/>
          <w:marBottom w:val="0"/>
          <w:divBdr>
            <w:top w:val="none" w:sz="0" w:space="0" w:color="auto"/>
            <w:left w:val="none" w:sz="0" w:space="0" w:color="auto"/>
            <w:bottom w:val="none" w:sz="0" w:space="0" w:color="auto"/>
            <w:right w:val="none" w:sz="0" w:space="0" w:color="auto"/>
          </w:divBdr>
        </w:div>
        <w:div w:id="2024706056">
          <w:marLeft w:val="0"/>
          <w:marRight w:val="0"/>
          <w:marTop w:val="0"/>
          <w:marBottom w:val="0"/>
          <w:divBdr>
            <w:top w:val="none" w:sz="0" w:space="0" w:color="auto"/>
            <w:left w:val="none" w:sz="0" w:space="0" w:color="auto"/>
            <w:bottom w:val="none" w:sz="0" w:space="0" w:color="auto"/>
            <w:right w:val="none" w:sz="0" w:space="0" w:color="auto"/>
          </w:divBdr>
        </w:div>
        <w:div w:id="2024706057">
          <w:marLeft w:val="0"/>
          <w:marRight w:val="0"/>
          <w:marTop w:val="0"/>
          <w:marBottom w:val="0"/>
          <w:divBdr>
            <w:top w:val="none" w:sz="0" w:space="0" w:color="auto"/>
            <w:left w:val="none" w:sz="0" w:space="0" w:color="auto"/>
            <w:bottom w:val="none" w:sz="0" w:space="0" w:color="auto"/>
            <w:right w:val="none" w:sz="0" w:space="0" w:color="auto"/>
          </w:divBdr>
        </w:div>
        <w:div w:id="2024706058">
          <w:marLeft w:val="0"/>
          <w:marRight w:val="0"/>
          <w:marTop w:val="0"/>
          <w:marBottom w:val="0"/>
          <w:divBdr>
            <w:top w:val="none" w:sz="0" w:space="0" w:color="auto"/>
            <w:left w:val="none" w:sz="0" w:space="0" w:color="auto"/>
            <w:bottom w:val="none" w:sz="0" w:space="0" w:color="auto"/>
            <w:right w:val="none" w:sz="0" w:space="0" w:color="auto"/>
          </w:divBdr>
        </w:div>
        <w:div w:id="2024706059">
          <w:marLeft w:val="0"/>
          <w:marRight w:val="0"/>
          <w:marTop w:val="0"/>
          <w:marBottom w:val="0"/>
          <w:divBdr>
            <w:top w:val="none" w:sz="0" w:space="0" w:color="auto"/>
            <w:left w:val="none" w:sz="0" w:space="0" w:color="auto"/>
            <w:bottom w:val="none" w:sz="0" w:space="0" w:color="auto"/>
            <w:right w:val="none" w:sz="0" w:space="0" w:color="auto"/>
          </w:divBdr>
        </w:div>
        <w:div w:id="2024706060">
          <w:marLeft w:val="0"/>
          <w:marRight w:val="0"/>
          <w:marTop w:val="0"/>
          <w:marBottom w:val="0"/>
          <w:divBdr>
            <w:top w:val="none" w:sz="0" w:space="0" w:color="auto"/>
            <w:left w:val="none" w:sz="0" w:space="0" w:color="auto"/>
            <w:bottom w:val="none" w:sz="0" w:space="0" w:color="auto"/>
            <w:right w:val="none" w:sz="0" w:space="0" w:color="auto"/>
          </w:divBdr>
        </w:div>
        <w:div w:id="2024706061">
          <w:marLeft w:val="0"/>
          <w:marRight w:val="0"/>
          <w:marTop w:val="0"/>
          <w:marBottom w:val="0"/>
          <w:divBdr>
            <w:top w:val="none" w:sz="0" w:space="0" w:color="auto"/>
            <w:left w:val="none" w:sz="0" w:space="0" w:color="auto"/>
            <w:bottom w:val="none" w:sz="0" w:space="0" w:color="auto"/>
            <w:right w:val="none" w:sz="0" w:space="0" w:color="auto"/>
          </w:divBdr>
        </w:div>
        <w:div w:id="2024706062">
          <w:marLeft w:val="0"/>
          <w:marRight w:val="0"/>
          <w:marTop w:val="0"/>
          <w:marBottom w:val="0"/>
          <w:divBdr>
            <w:top w:val="none" w:sz="0" w:space="0" w:color="auto"/>
            <w:left w:val="none" w:sz="0" w:space="0" w:color="auto"/>
            <w:bottom w:val="none" w:sz="0" w:space="0" w:color="auto"/>
            <w:right w:val="none" w:sz="0" w:space="0" w:color="auto"/>
          </w:divBdr>
        </w:div>
        <w:div w:id="2024706063">
          <w:marLeft w:val="0"/>
          <w:marRight w:val="0"/>
          <w:marTop w:val="0"/>
          <w:marBottom w:val="0"/>
          <w:divBdr>
            <w:top w:val="none" w:sz="0" w:space="0" w:color="auto"/>
            <w:left w:val="none" w:sz="0" w:space="0" w:color="auto"/>
            <w:bottom w:val="none" w:sz="0" w:space="0" w:color="auto"/>
            <w:right w:val="none" w:sz="0" w:space="0" w:color="auto"/>
          </w:divBdr>
        </w:div>
        <w:div w:id="2024706064">
          <w:marLeft w:val="0"/>
          <w:marRight w:val="0"/>
          <w:marTop w:val="0"/>
          <w:marBottom w:val="0"/>
          <w:divBdr>
            <w:top w:val="none" w:sz="0" w:space="0" w:color="auto"/>
            <w:left w:val="none" w:sz="0" w:space="0" w:color="auto"/>
            <w:bottom w:val="none" w:sz="0" w:space="0" w:color="auto"/>
            <w:right w:val="none" w:sz="0" w:space="0" w:color="auto"/>
          </w:divBdr>
        </w:div>
        <w:div w:id="2024706065">
          <w:marLeft w:val="0"/>
          <w:marRight w:val="0"/>
          <w:marTop w:val="0"/>
          <w:marBottom w:val="0"/>
          <w:divBdr>
            <w:top w:val="none" w:sz="0" w:space="0" w:color="auto"/>
            <w:left w:val="none" w:sz="0" w:space="0" w:color="auto"/>
            <w:bottom w:val="none" w:sz="0" w:space="0" w:color="auto"/>
            <w:right w:val="none" w:sz="0" w:space="0" w:color="auto"/>
          </w:divBdr>
        </w:div>
        <w:div w:id="2024706066">
          <w:marLeft w:val="0"/>
          <w:marRight w:val="0"/>
          <w:marTop w:val="0"/>
          <w:marBottom w:val="0"/>
          <w:divBdr>
            <w:top w:val="none" w:sz="0" w:space="0" w:color="auto"/>
            <w:left w:val="none" w:sz="0" w:space="0" w:color="auto"/>
            <w:bottom w:val="none" w:sz="0" w:space="0" w:color="auto"/>
            <w:right w:val="none" w:sz="0" w:space="0" w:color="auto"/>
          </w:divBdr>
        </w:div>
        <w:div w:id="2024706067">
          <w:marLeft w:val="0"/>
          <w:marRight w:val="0"/>
          <w:marTop w:val="0"/>
          <w:marBottom w:val="0"/>
          <w:divBdr>
            <w:top w:val="none" w:sz="0" w:space="0" w:color="auto"/>
            <w:left w:val="none" w:sz="0" w:space="0" w:color="auto"/>
            <w:bottom w:val="none" w:sz="0" w:space="0" w:color="auto"/>
            <w:right w:val="none" w:sz="0" w:space="0" w:color="auto"/>
          </w:divBdr>
        </w:div>
        <w:div w:id="2024706068">
          <w:marLeft w:val="0"/>
          <w:marRight w:val="0"/>
          <w:marTop w:val="0"/>
          <w:marBottom w:val="0"/>
          <w:divBdr>
            <w:top w:val="none" w:sz="0" w:space="0" w:color="auto"/>
            <w:left w:val="none" w:sz="0" w:space="0" w:color="auto"/>
            <w:bottom w:val="none" w:sz="0" w:space="0" w:color="auto"/>
            <w:right w:val="none" w:sz="0" w:space="0" w:color="auto"/>
          </w:divBdr>
        </w:div>
        <w:div w:id="2024706069">
          <w:marLeft w:val="0"/>
          <w:marRight w:val="0"/>
          <w:marTop w:val="0"/>
          <w:marBottom w:val="0"/>
          <w:divBdr>
            <w:top w:val="none" w:sz="0" w:space="0" w:color="auto"/>
            <w:left w:val="none" w:sz="0" w:space="0" w:color="auto"/>
            <w:bottom w:val="none" w:sz="0" w:space="0" w:color="auto"/>
            <w:right w:val="none" w:sz="0" w:space="0" w:color="auto"/>
          </w:divBdr>
        </w:div>
        <w:div w:id="2024706070">
          <w:marLeft w:val="0"/>
          <w:marRight w:val="0"/>
          <w:marTop w:val="0"/>
          <w:marBottom w:val="0"/>
          <w:divBdr>
            <w:top w:val="none" w:sz="0" w:space="0" w:color="auto"/>
            <w:left w:val="none" w:sz="0" w:space="0" w:color="auto"/>
            <w:bottom w:val="none" w:sz="0" w:space="0" w:color="auto"/>
            <w:right w:val="none" w:sz="0" w:space="0" w:color="auto"/>
          </w:divBdr>
        </w:div>
        <w:div w:id="2024706071">
          <w:marLeft w:val="0"/>
          <w:marRight w:val="0"/>
          <w:marTop w:val="0"/>
          <w:marBottom w:val="0"/>
          <w:divBdr>
            <w:top w:val="none" w:sz="0" w:space="0" w:color="auto"/>
            <w:left w:val="none" w:sz="0" w:space="0" w:color="auto"/>
            <w:bottom w:val="none" w:sz="0" w:space="0" w:color="auto"/>
            <w:right w:val="none" w:sz="0" w:space="0" w:color="auto"/>
          </w:divBdr>
        </w:div>
        <w:div w:id="2024706072">
          <w:marLeft w:val="0"/>
          <w:marRight w:val="0"/>
          <w:marTop w:val="0"/>
          <w:marBottom w:val="0"/>
          <w:divBdr>
            <w:top w:val="none" w:sz="0" w:space="0" w:color="auto"/>
            <w:left w:val="none" w:sz="0" w:space="0" w:color="auto"/>
            <w:bottom w:val="none" w:sz="0" w:space="0" w:color="auto"/>
            <w:right w:val="none" w:sz="0" w:space="0" w:color="auto"/>
          </w:divBdr>
        </w:div>
        <w:div w:id="2024706073">
          <w:marLeft w:val="0"/>
          <w:marRight w:val="0"/>
          <w:marTop w:val="0"/>
          <w:marBottom w:val="0"/>
          <w:divBdr>
            <w:top w:val="none" w:sz="0" w:space="0" w:color="auto"/>
            <w:left w:val="none" w:sz="0" w:space="0" w:color="auto"/>
            <w:bottom w:val="none" w:sz="0" w:space="0" w:color="auto"/>
            <w:right w:val="none" w:sz="0" w:space="0" w:color="auto"/>
          </w:divBdr>
        </w:div>
        <w:div w:id="2024706074">
          <w:marLeft w:val="0"/>
          <w:marRight w:val="0"/>
          <w:marTop w:val="0"/>
          <w:marBottom w:val="0"/>
          <w:divBdr>
            <w:top w:val="none" w:sz="0" w:space="0" w:color="auto"/>
            <w:left w:val="none" w:sz="0" w:space="0" w:color="auto"/>
            <w:bottom w:val="none" w:sz="0" w:space="0" w:color="auto"/>
            <w:right w:val="none" w:sz="0" w:space="0" w:color="auto"/>
          </w:divBdr>
        </w:div>
        <w:div w:id="2024706075">
          <w:marLeft w:val="0"/>
          <w:marRight w:val="0"/>
          <w:marTop w:val="0"/>
          <w:marBottom w:val="0"/>
          <w:divBdr>
            <w:top w:val="none" w:sz="0" w:space="0" w:color="auto"/>
            <w:left w:val="none" w:sz="0" w:space="0" w:color="auto"/>
            <w:bottom w:val="none" w:sz="0" w:space="0" w:color="auto"/>
            <w:right w:val="none" w:sz="0" w:space="0" w:color="auto"/>
          </w:divBdr>
        </w:div>
        <w:div w:id="2024706076">
          <w:marLeft w:val="0"/>
          <w:marRight w:val="0"/>
          <w:marTop w:val="0"/>
          <w:marBottom w:val="0"/>
          <w:divBdr>
            <w:top w:val="none" w:sz="0" w:space="0" w:color="auto"/>
            <w:left w:val="none" w:sz="0" w:space="0" w:color="auto"/>
            <w:bottom w:val="none" w:sz="0" w:space="0" w:color="auto"/>
            <w:right w:val="none" w:sz="0" w:space="0" w:color="auto"/>
          </w:divBdr>
        </w:div>
        <w:div w:id="2024706077">
          <w:marLeft w:val="0"/>
          <w:marRight w:val="0"/>
          <w:marTop w:val="0"/>
          <w:marBottom w:val="0"/>
          <w:divBdr>
            <w:top w:val="none" w:sz="0" w:space="0" w:color="auto"/>
            <w:left w:val="none" w:sz="0" w:space="0" w:color="auto"/>
            <w:bottom w:val="none" w:sz="0" w:space="0" w:color="auto"/>
            <w:right w:val="none" w:sz="0" w:space="0" w:color="auto"/>
          </w:divBdr>
        </w:div>
        <w:div w:id="2024706078">
          <w:marLeft w:val="0"/>
          <w:marRight w:val="0"/>
          <w:marTop w:val="0"/>
          <w:marBottom w:val="0"/>
          <w:divBdr>
            <w:top w:val="none" w:sz="0" w:space="0" w:color="auto"/>
            <w:left w:val="none" w:sz="0" w:space="0" w:color="auto"/>
            <w:bottom w:val="none" w:sz="0" w:space="0" w:color="auto"/>
            <w:right w:val="none" w:sz="0" w:space="0" w:color="auto"/>
          </w:divBdr>
        </w:div>
        <w:div w:id="2024706079">
          <w:marLeft w:val="0"/>
          <w:marRight w:val="0"/>
          <w:marTop w:val="0"/>
          <w:marBottom w:val="0"/>
          <w:divBdr>
            <w:top w:val="none" w:sz="0" w:space="0" w:color="auto"/>
            <w:left w:val="none" w:sz="0" w:space="0" w:color="auto"/>
            <w:bottom w:val="none" w:sz="0" w:space="0" w:color="auto"/>
            <w:right w:val="none" w:sz="0" w:space="0" w:color="auto"/>
          </w:divBdr>
        </w:div>
        <w:div w:id="2024706080">
          <w:marLeft w:val="0"/>
          <w:marRight w:val="0"/>
          <w:marTop w:val="0"/>
          <w:marBottom w:val="0"/>
          <w:divBdr>
            <w:top w:val="none" w:sz="0" w:space="0" w:color="auto"/>
            <w:left w:val="none" w:sz="0" w:space="0" w:color="auto"/>
            <w:bottom w:val="none" w:sz="0" w:space="0" w:color="auto"/>
            <w:right w:val="none" w:sz="0" w:space="0" w:color="auto"/>
          </w:divBdr>
        </w:div>
        <w:div w:id="2024706081">
          <w:marLeft w:val="0"/>
          <w:marRight w:val="0"/>
          <w:marTop w:val="0"/>
          <w:marBottom w:val="0"/>
          <w:divBdr>
            <w:top w:val="none" w:sz="0" w:space="0" w:color="auto"/>
            <w:left w:val="none" w:sz="0" w:space="0" w:color="auto"/>
            <w:bottom w:val="none" w:sz="0" w:space="0" w:color="auto"/>
            <w:right w:val="none" w:sz="0" w:space="0" w:color="auto"/>
          </w:divBdr>
        </w:div>
        <w:div w:id="2024706082">
          <w:marLeft w:val="0"/>
          <w:marRight w:val="0"/>
          <w:marTop w:val="0"/>
          <w:marBottom w:val="0"/>
          <w:divBdr>
            <w:top w:val="none" w:sz="0" w:space="0" w:color="auto"/>
            <w:left w:val="none" w:sz="0" w:space="0" w:color="auto"/>
            <w:bottom w:val="none" w:sz="0" w:space="0" w:color="auto"/>
            <w:right w:val="none" w:sz="0" w:space="0" w:color="auto"/>
          </w:divBdr>
        </w:div>
        <w:div w:id="2024706083">
          <w:marLeft w:val="0"/>
          <w:marRight w:val="0"/>
          <w:marTop w:val="0"/>
          <w:marBottom w:val="0"/>
          <w:divBdr>
            <w:top w:val="none" w:sz="0" w:space="0" w:color="auto"/>
            <w:left w:val="none" w:sz="0" w:space="0" w:color="auto"/>
            <w:bottom w:val="none" w:sz="0" w:space="0" w:color="auto"/>
            <w:right w:val="none" w:sz="0" w:space="0" w:color="auto"/>
          </w:divBdr>
        </w:div>
        <w:div w:id="2024706084">
          <w:marLeft w:val="0"/>
          <w:marRight w:val="0"/>
          <w:marTop w:val="0"/>
          <w:marBottom w:val="0"/>
          <w:divBdr>
            <w:top w:val="none" w:sz="0" w:space="0" w:color="auto"/>
            <w:left w:val="none" w:sz="0" w:space="0" w:color="auto"/>
            <w:bottom w:val="none" w:sz="0" w:space="0" w:color="auto"/>
            <w:right w:val="none" w:sz="0" w:space="0" w:color="auto"/>
          </w:divBdr>
        </w:div>
        <w:div w:id="2024706085">
          <w:marLeft w:val="0"/>
          <w:marRight w:val="0"/>
          <w:marTop w:val="0"/>
          <w:marBottom w:val="0"/>
          <w:divBdr>
            <w:top w:val="none" w:sz="0" w:space="0" w:color="auto"/>
            <w:left w:val="none" w:sz="0" w:space="0" w:color="auto"/>
            <w:bottom w:val="none" w:sz="0" w:space="0" w:color="auto"/>
            <w:right w:val="none" w:sz="0" w:space="0" w:color="auto"/>
          </w:divBdr>
        </w:div>
        <w:div w:id="2024706086">
          <w:marLeft w:val="0"/>
          <w:marRight w:val="0"/>
          <w:marTop w:val="0"/>
          <w:marBottom w:val="0"/>
          <w:divBdr>
            <w:top w:val="none" w:sz="0" w:space="0" w:color="auto"/>
            <w:left w:val="none" w:sz="0" w:space="0" w:color="auto"/>
            <w:bottom w:val="none" w:sz="0" w:space="0" w:color="auto"/>
            <w:right w:val="none" w:sz="0" w:space="0" w:color="auto"/>
          </w:divBdr>
        </w:div>
        <w:div w:id="2024706087">
          <w:marLeft w:val="0"/>
          <w:marRight w:val="0"/>
          <w:marTop w:val="0"/>
          <w:marBottom w:val="0"/>
          <w:divBdr>
            <w:top w:val="none" w:sz="0" w:space="0" w:color="auto"/>
            <w:left w:val="none" w:sz="0" w:space="0" w:color="auto"/>
            <w:bottom w:val="none" w:sz="0" w:space="0" w:color="auto"/>
            <w:right w:val="none" w:sz="0" w:space="0" w:color="auto"/>
          </w:divBdr>
        </w:div>
        <w:div w:id="2024706088">
          <w:marLeft w:val="0"/>
          <w:marRight w:val="0"/>
          <w:marTop w:val="0"/>
          <w:marBottom w:val="0"/>
          <w:divBdr>
            <w:top w:val="none" w:sz="0" w:space="0" w:color="auto"/>
            <w:left w:val="none" w:sz="0" w:space="0" w:color="auto"/>
            <w:bottom w:val="none" w:sz="0" w:space="0" w:color="auto"/>
            <w:right w:val="none" w:sz="0" w:space="0" w:color="auto"/>
          </w:divBdr>
        </w:div>
        <w:div w:id="2024706089">
          <w:marLeft w:val="0"/>
          <w:marRight w:val="0"/>
          <w:marTop w:val="0"/>
          <w:marBottom w:val="0"/>
          <w:divBdr>
            <w:top w:val="none" w:sz="0" w:space="0" w:color="auto"/>
            <w:left w:val="none" w:sz="0" w:space="0" w:color="auto"/>
            <w:bottom w:val="none" w:sz="0" w:space="0" w:color="auto"/>
            <w:right w:val="none" w:sz="0" w:space="0" w:color="auto"/>
          </w:divBdr>
        </w:div>
        <w:div w:id="2024706090">
          <w:marLeft w:val="0"/>
          <w:marRight w:val="0"/>
          <w:marTop w:val="0"/>
          <w:marBottom w:val="0"/>
          <w:divBdr>
            <w:top w:val="none" w:sz="0" w:space="0" w:color="auto"/>
            <w:left w:val="none" w:sz="0" w:space="0" w:color="auto"/>
            <w:bottom w:val="none" w:sz="0" w:space="0" w:color="auto"/>
            <w:right w:val="none" w:sz="0" w:space="0" w:color="auto"/>
          </w:divBdr>
        </w:div>
        <w:div w:id="2024706091">
          <w:marLeft w:val="0"/>
          <w:marRight w:val="0"/>
          <w:marTop w:val="0"/>
          <w:marBottom w:val="0"/>
          <w:divBdr>
            <w:top w:val="none" w:sz="0" w:space="0" w:color="auto"/>
            <w:left w:val="none" w:sz="0" w:space="0" w:color="auto"/>
            <w:bottom w:val="none" w:sz="0" w:space="0" w:color="auto"/>
            <w:right w:val="none" w:sz="0" w:space="0" w:color="auto"/>
          </w:divBdr>
        </w:div>
        <w:div w:id="2024706092">
          <w:marLeft w:val="0"/>
          <w:marRight w:val="0"/>
          <w:marTop w:val="0"/>
          <w:marBottom w:val="0"/>
          <w:divBdr>
            <w:top w:val="none" w:sz="0" w:space="0" w:color="auto"/>
            <w:left w:val="none" w:sz="0" w:space="0" w:color="auto"/>
            <w:bottom w:val="none" w:sz="0" w:space="0" w:color="auto"/>
            <w:right w:val="none" w:sz="0" w:space="0" w:color="auto"/>
          </w:divBdr>
        </w:div>
        <w:div w:id="2024706093">
          <w:marLeft w:val="0"/>
          <w:marRight w:val="0"/>
          <w:marTop w:val="0"/>
          <w:marBottom w:val="0"/>
          <w:divBdr>
            <w:top w:val="none" w:sz="0" w:space="0" w:color="auto"/>
            <w:left w:val="none" w:sz="0" w:space="0" w:color="auto"/>
            <w:bottom w:val="none" w:sz="0" w:space="0" w:color="auto"/>
            <w:right w:val="none" w:sz="0" w:space="0" w:color="auto"/>
          </w:divBdr>
        </w:div>
        <w:div w:id="2024706094">
          <w:marLeft w:val="0"/>
          <w:marRight w:val="0"/>
          <w:marTop w:val="0"/>
          <w:marBottom w:val="0"/>
          <w:divBdr>
            <w:top w:val="none" w:sz="0" w:space="0" w:color="auto"/>
            <w:left w:val="none" w:sz="0" w:space="0" w:color="auto"/>
            <w:bottom w:val="none" w:sz="0" w:space="0" w:color="auto"/>
            <w:right w:val="none" w:sz="0" w:space="0" w:color="auto"/>
          </w:divBdr>
        </w:div>
        <w:div w:id="2024706095">
          <w:marLeft w:val="0"/>
          <w:marRight w:val="0"/>
          <w:marTop w:val="0"/>
          <w:marBottom w:val="0"/>
          <w:divBdr>
            <w:top w:val="none" w:sz="0" w:space="0" w:color="auto"/>
            <w:left w:val="none" w:sz="0" w:space="0" w:color="auto"/>
            <w:bottom w:val="none" w:sz="0" w:space="0" w:color="auto"/>
            <w:right w:val="none" w:sz="0" w:space="0" w:color="auto"/>
          </w:divBdr>
        </w:div>
        <w:div w:id="2024706096">
          <w:marLeft w:val="0"/>
          <w:marRight w:val="0"/>
          <w:marTop w:val="0"/>
          <w:marBottom w:val="0"/>
          <w:divBdr>
            <w:top w:val="none" w:sz="0" w:space="0" w:color="auto"/>
            <w:left w:val="none" w:sz="0" w:space="0" w:color="auto"/>
            <w:bottom w:val="none" w:sz="0" w:space="0" w:color="auto"/>
            <w:right w:val="none" w:sz="0" w:space="0" w:color="auto"/>
          </w:divBdr>
        </w:div>
        <w:div w:id="2024706097">
          <w:marLeft w:val="0"/>
          <w:marRight w:val="0"/>
          <w:marTop w:val="0"/>
          <w:marBottom w:val="0"/>
          <w:divBdr>
            <w:top w:val="none" w:sz="0" w:space="0" w:color="auto"/>
            <w:left w:val="none" w:sz="0" w:space="0" w:color="auto"/>
            <w:bottom w:val="none" w:sz="0" w:space="0" w:color="auto"/>
            <w:right w:val="none" w:sz="0" w:space="0" w:color="auto"/>
          </w:divBdr>
        </w:div>
        <w:div w:id="2024706098">
          <w:marLeft w:val="0"/>
          <w:marRight w:val="0"/>
          <w:marTop w:val="0"/>
          <w:marBottom w:val="0"/>
          <w:divBdr>
            <w:top w:val="none" w:sz="0" w:space="0" w:color="auto"/>
            <w:left w:val="none" w:sz="0" w:space="0" w:color="auto"/>
            <w:bottom w:val="none" w:sz="0" w:space="0" w:color="auto"/>
            <w:right w:val="none" w:sz="0" w:space="0" w:color="auto"/>
          </w:divBdr>
        </w:div>
        <w:div w:id="2024706099">
          <w:marLeft w:val="0"/>
          <w:marRight w:val="0"/>
          <w:marTop w:val="0"/>
          <w:marBottom w:val="0"/>
          <w:divBdr>
            <w:top w:val="none" w:sz="0" w:space="0" w:color="auto"/>
            <w:left w:val="none" w:sz="0" w:space="0" w:color="auto"/>
            <w:bottom w:val="none" w:sz="0" w:space="0" w:color="auto"/>
            <w:right w:val="none" w:sz="0" w:space="0" w:color="auto"/>
          </w:divBdr>
        </w:div>
        <w:div w:id="2024706100">
          <w:marLeft w:val="0"/>
          <w:marRight w:val="0"/>
          <w:marTop w:val="0"/>
          <w:marBottom w:val="0"/>
          <w:divBdr>
            <w:top w:val="none" w:sz="0" w:space="0" w:color="auto"/>
            <w:left w:val="none" w:sz="0" w:space="0" w:color="auto"/>
            <w:bottom w:val="none" w:sz="0" w:space="0" w:color="auto"/>
            <w:right w:val="none" w:sz="0" w:space="0" w:color="auto"/>
          </w:divBdr>
        </w:div>
        <w:div w:id="2024706101">
          <w:marLeft w:val="0"/>
          <w:marRight w:val="0"/>
          <w:marTop w:val="0"/>
          <w:marBottom w:val="0"/>
          <w:divBdr>
            <w:top w:val="none" w:sz="0" w:space="0" w:color="auto"/>
            <w:left w:val="none" w:sz="0" w:space="0" w:color="auto"/>
            <w:bottom w:val="none" w:sz="0" w:space="0" w:color="auto"/>
            <w:right w:val="none" w:sz="0" w:space="0" w:color="auto"/>
          </w:divBdr>
        </w:div>
        <w:div w:id="2024706102">
          <w:marLeft w:val="0"/>
          <w:marRight w:val="0"/>
          <w:marTop w:val="0"/>
          <w:marBottom w:val="0"/>
          <w:divBdr>
            <w:top w:val="none" w:sz="0" w:space="0" w:color="auto"/>
            <w:left w:val="none" w:sz="0" w:space="0" w:color="auto"/>
            <w:bottom w:val="none" w:sz="0" w:space="0" w:color="auto"/>
            <w:right w:val="none" w:sz="0" w:space="0" w:color="auto"/>
          </w:divBdr>
        </w:div>
        <w:div w:id="2024706103">
          <w:marLeft w:val="0"/>
          <w:marRight w:val="0"/>
          <w:marTop w:val="0"/>
          <w:marBottom w:val="0"/>
          <w:divBdr>
            <w:top w:val="none" w:sz="0" w:space="0" w:color="auto"/>
            <w:left w:val="none" w:sz="0" w:space="0" w:color="auto"/>
            <w:bottom w:val="none" w:sz="0" w:space="0" w:color="auto"/>
            <w:right w:val="none" w:sz="0" w:space="0" w:color="auto"/>
          </w:divBdr>
        </w:div>
        <w:div w:id="2024706104">
          <w:marLeft w:val="0"/>
          <w:marRight w:val="0"/>
          <w:marTop w:val="0"/>
          <w:marBottom w:val="0"/>
          <w:divBdr>
            <w:top w:val="none" w:sz="0" w:space="0" w:color="auto"/>
            <w:left w:val="none" w:sz="0" w:space="0" w:color="auto"/>
            <w:bottom w:val="none" w:sz="0" w:space="0" w:color="auto"/>
            <w:right w:val="none" w:sz="0" w:space="0" w:color="auto"/>
          </w:divBdr>
        </w:div>
        <w:div w:id="2024706105">
          <w:marLeft w:val="0"/>
          <w:marRight w:val="0"/>
          <w:marTop w:val="0"/>
          <w:marBottom w:val="0"/>
          <w:divBdr>
            <w:top w:val="none" w:sz="0" w:space="0" w:color="auto"/>
            <w:left w:val="none" w:sz="0" w:space="0" w:color="auto"/>
            <w:bottom w:val="none" w:sz="0" w:space="0" w:color="auto"/>
            <w:right w:val="none" w:sz="0" w:space="0" w:color="auto"/>
          </w:divBdr>
        </w:div>
        <w:div w:id="2024706106">
          <w:marLeft w:val="0"/>
          <w:marRight w:val="0"/>
          <w:marTop w:val="0"/>
          <w:marBottom w:val="0"/>
          <w:divBdr>
            <w:top w:val="none" w:sz="0" w:space="0" w:color="auto"/>
            <w:left w:val="none" w:sz="0" w:space="0" w:color="auto"/>
            <w:bottom w:val="none" w:sz="0" w:space="0" w:color="auto"/>
            <w:right w:val="none" w:sz="0" w:space="0" w:color="auto"/>
          </w:divBdr>
        </w:div>
        <w:div w:id="2024706107">
          <w:marLeft w:val="0"/>
          <w:marRight w:val="0"/>
          <w:marTop w:val="0"/>
          <w:marBottom w:val="0"/>
          <w:divBdr>
            <w:top w:val="none" w:sz="0" w:space="0" w:color="auto"/>
            <w:left w:val="none" w:sz="0" w:space="0" w:color="auto"/>
            <w:bottom w:val="none" w:sz="0" w:space="0" w:color="auto"/>
            <w:right w:val="none" w:sz="0" w:space="0" w:color="auto"/>
          </w:divBdr>
        </w:div>
        <w:div w:id="2024706108">
          <w:marLeft w:val="0"/>
          <w:marRight w:val="0"/>
          <w:marTop w:val="0"/>
          <w:marBottom w:val="0"/>
          <w:divBdr>
            <w:top w:val="none" w:sz="0" w:space="0" w:color="auto"/>
            <w:left w:val="none" w:sz="0" w:space="0" w:color="auto"/>
            <w:bottom w:val="none" w:sz="0" w:space="0" w:color="auto"/>
            <w:right w:val="none" w:sz="0" w:space="0" w:color="auto"/>
          </w:divBdr>
        </w:div>
        <w:div w:id="2024706109">
          <w:marLeft w:val="0"/>
          <w:marRight w:val="0"/>
          <w:marTop w:val="0"/>
          <w:marBottom w:val="0"/>
          <w:divBdr>
            <w:top w:val="none" w:sz="0" w:space="0" w:color="auto"/>
            <w:left w:val="none" w:sz="0" w:space="0" w:color="auto"/>
            <w:bottom w:val="none" w:sz="0" w:space="0" w:color="auto"/>
            <w:right w:val="none" w:sz="0" w:space="0" w:color="auto"/>
          </w:divBdr>
        </w:div>
        <w:div w:id="2024706110">
          <w:marLeft w:val="0"/>
          <w:marRight w:val="0"/>
          <w:marTop w:val="0"/>
          <w:marBottom w:val="0"/>
          <w:divBdr>
            <w:top w:val="none" w:sz="0" w:space="0" w:color="auto"/>
            <w:left w:val="none" w:sz="0" w:space="0" w:color="auto"/>
            <w:bottom w:val="none" w:sz="0" w:space="0" w:color="auto"/>
            <w:right w:val="none" w:sz="0" w:space="0" w:color="auto"/>
          </w:divBdr>
        </w:div>
        <w:div w:id="2024706111">
          <w:marLeft w:val="0"/>
          <w:marRight w:val="0"/>
          <w:marTop w:val="0"/>
          <w:marBottom w:val="0"/>
          <w:divBdr>
            <w:top w:val="none" w:sz="0" w:space="0" w:color="auto"/>
            <w:left w:val="none" w:sz="0" w:space="0" w:color="auto"/>
            <w:bottom w:val="none" w:sz="0" w:space="0" w:color="auto"/>
            <w:right w:val="none" w:sz="0" w:space="0" w:color="auto"/>
          </w:divBdr>
        </w:div>
        <w:div w:id="2024706112">
          <w:marLeft w:val="0"/>
          <w:marRight w:val="0"/>
          <w:marTop w:val="0"/>
          <w:marBottom w:val="0"/>
          <w:divBdr>
            <w:top w:val="none" w:sz="0" w:space="0" w:color="auto"/>
            <w:left w:val="none" w:sz="0" w:space="0" w:color="auto"/>
            <w:bottom w:val="none" w:sz="0" w:space="0" w:color="auto"/>
            <w:right w:val="none" w:sz="0" w:space="0" w:color="auto"/>
          </w:divBdr>
        </w:div>
        <w:div w:id="2024706114">
          <w:marLeft w:val="0"/>
          <w:marRight w:val="0"/>
          <w:marTop w:val="0"/>
          <w:marBottom w:val="0"/>
          <w:divBdr>
            <w:top w:val="none" w:sz="0" w:space="0" w:color="auto"/>
            <w:left w:val="none" w:sz="0" w:space="0" w:color="auto"/>
            <w:bottom w:val="none" w:sz="0" w:space="0" w:color="auto"/>
            <w:right w:val="none" w:sz="0" w:space="0" w:color="auto"/>
          </w:divBdr>
        </w:div>
        <w:div w:id="2024706115">
          <w:marLeft w:val="0"/>
          <w:marRight w:val="0"/>
          <w:marTop w:val="0"/>
          <w:marBottom w:val="0"/>
          <w:divBdr>
            <w:top w:val="none" w:sz="0" w:space="0" w:color="auto"/>
            <w:left w:val="none" w:sz="0" w:space="0" w:color="auto"/>
            <w:bottom w:val="none" w:sz="0" w:space="0" w:color="auto"/>
            <w:right w:val="none" w:sz="0" w:space="0" w:color="auto"/>
          </w:divBdr>
        </w:div>
        <w:div w:id="2024706116">
          <w:marLeft w:val="0"/>
          <w:marRight w:val="0"/>
          <w:marTop w:val="0"/>
          <w:marBottom w:val="0"/>
          <w:divBdr>
            <w:top w:val="none" w:sz="0" w:space="0" w:color="auto"/>
            <w:left w:val="none" w:sz="0" w:space="0" w:color="auto"/>
            <w:bottom w:val="none" w:sz="0" w:space="0" w:color="auto"/>
            <w:right w:val="none" w:sz="0" w:space="0" w:color="auto"/>
          </w:divBdr>
        </w:div>
        <w:div w:id="2024706117">
          <w:marLeft w:val="0"/>
          <w:marRight w:val="0"/>
          <w:marTop w:val="0"/>
          <w:marBottom w:val="0"/>
          <w:divBdr>
            <w:top w:val="none" w:sz="0" w:space="0" w:color="auto"/>
            <w:left w:val="none" w:sz="0" w:space="0" w:color="auto"/>
            <w:bottom w:val="none" w:sz="0" w:space="0" w:color="auto"/>
            <w:right w:val="none" w:sz="0" w:space="0" w:color="auto"/>
          </w:divBdr>
        </w:div>
        <w:div w:id="2024706118">
          <w:marLeft w:val="0"/>
          <w:marRight w:val="0"/>
          <w:marTop w:val="0"/>
          <w:marBottom w:val="0"/>
          <w:divBdr>
            <w:top w:val="none" w:sz="0" w:space="0" w:color="auto"/>
            <w:left w:val="none" w:sz="0" w:space="0" w:color="auto"/>
            <w:bottom w:val="none" w:sz="0" w:space="0" w:color="auto"/>
            <w:right w:val="none" w:sz="0" w:space="0" w:color="auto"/>
          </w:divBdr>
        </w:div>
        <w:div w:id="2024706119">
          <w:marLeft w:val="0"/>
          <w:marRight w:val="0"/>
          <w:marTop w:val="0"/>
          <w:marBottom w:val="0"/>
          <w:divBdr>
            <w:top w:val="none" w:sz="0" w:space="0" w:color="auto"/>
            <w:left w:val="none" w:sz="0" w:space="0" w:color="auto"/>
            <w:bottom w:val="none" w:sz="0" w:space="0" w:color="auto"/>
            <w:right w:val="none" w:sz="0" w:space="0" w:color="auto"/>
          </w:divBdr>
        </w:div>
        <w:div w:id="2024706120">
          <w:marLeft w:val="0"/>
          <w:marRight w:val="0"/>
          <w:marTop w:val="0"/>
          <w:marBottom w:val="0"/>
          <w:divBdr>
            <w:top w:val="none" w:sz="0" w:space="0" w:color="auto"/>
            <w:left w:val="none" w:sz="0" w:space="0" w:color="auto"/>
            <w:bottom w:val="none" w:sz="0" w:space="0" w:color="auto"/>
            <w:right w:val="none" w:sz="0" w:space="0" w:color="auto"/>
          </w:divBdr>
        </w:div>
        <w:div w:id="2024706121">
          <w:marLeft w:val="0"/>
          <w:marRight w:val="0"/>
          <w:marTop w:val="0"/>
          <w:marBottom w:val="0"/>
          <w:divBdr>
            <w:top w:val="none" w:sz="0" w:space="0" w:color="auto"/>
            <w:left w:val="none" w:sz="0" w:space="0" w:color="auto"/>
            <w:bottom w:val="none" w:sz="0" w:space="0" w:color="auto"/>
            <w:right w:val="none" w:sz="0" w:space="0" w:color="auto"/>
          </w:divBdr>
        </w:div>
        <w:div w:id="2024706122">
          <w:marLeft w:val="0"/>
          <w:marRight w:val="0"/>
          <w:marTop w:val="0"/>
          <w:marBottom w:val="0"/>
          <w:divBdr>
            <w:top w:val="none" w:sz="0" w:space="0" w:color="auto"/>
            <w:left w:val="none" w:sz="0" w:space="0" w:color="auto"/>
            <w:bottom w:val="none" w:sz="0" w:space="0" w:color="auto"/>
            <w:right w:val="none" w:sz="0" w:space="0" w:color="auto"/>
          </w:divBdr>
        </w:div>
        <w:div w:id="2024706123">
          <w:marLeft w:val="0"/>
          <w:marRight w:val="0"/>
          <w:marTop w:val="0"/>
          <w:marBottom w:val="0"/>
          <w:divBdr>
            <w:top w:val="none" w:sz="0" w:space="0" w:color="auto"/>
            <w:left w:val="none" w:sz="0" w:space="0" w:color="auto"/>
            <w:bottom w:val="none" w:sz="0" w:space="0" w:color="auto"/>
            <w:right w:val="none" w:sz="0" w:space="0" w:color="auto"/>
          </w:divBdr>
        </w:div>
        <w:div w:id="2024706124">
          <w:marLeft w:val="0"/>
          <w:marRight w:val="0"/>
          <w:marTop w:val="0"/>
          <w:marBottom w:val="0"/>
          <w:divBdr>
            <w:top w:val="none" w:sz="0" w:space="0" w:color="auto"/>
            <w:left w:val="none" w:sz="0" w:space="0" w:color="auto"/>
            <w:bottom w:val="none" w:sz="0" w:space="0" w:color="auto"/>
            <w:right w:val="none" w:sz="0" w:space="0" w:color="auto"/>
          </w:divBdr>
        </w:div>
        <w:div w:id="2024706125">
          <w:marLeft w:val="0"/>
          <w:marRight w:val="0"/>
          <w:marTop w:val="0"/>
          <w:marBottom w:val="0"/>
          <w:divBdr>
            <w:top w:val="none" w:sz="0" w:space="0" w:color="auto"/>
            <w:left w:val="none" w:sz="0" w:space="0" w:color="auto"/>
            <w:bottom w:val="none" w:sz="0" w:space="0" w:color="auto"/>
            <w:right w:val="none" w:sz="0" w:space="0" w:color="auto"/>
          </w:divBdr>
        </w:div>
        <w:div w:id="2024706126">
          <w:marLeft w:val="0"/>
          <w:marRight w:val="0"/>
          <w:marTop w:val="0"/>
          <w:marBottom w:val="0"/>
          <w:divBdr>
            <w:top w:val="none" w:sz="0" w:space="0" w:color="auto"/>
            <w:left w:val="none" w:sz="0" w:space="0" w:color="auto"/>
            <w:bottom w:val="none" w:sz="0" w:space="0" w:color="auto"/>
            <w:right w:val="none" w:sz="0" w:space="0" w:color="auto"/>
          </w:divBdr>
        </w:div>
        <w:div w:id="2024706127">
          <w:marLeft w:val="0"/>
          <w:marRight w:val="0"/>
          <w:marTop w:val="0"/>
          <w:marBottom w:val="0"/>
          <w:divBdr>
            <w:top w:val="none" w:sz="0" w:space="0" w:color="auto"/>
            <w:left w:val="none" w:sz="0" w:space="0" w:color="auto"/>
            <w:bottom w:val="none" w:sz="0" w:space="0" w:color="auto"/>
            <w:right w:val="none" w:sz="0" w:space="0" w:color="auto"/>
          </w:divBdr>
        </w:div>
        <w:div w:id="2024706128">
          <w:marLeft w:val="0"/>
          <w:marRight w:val="0"/>
          <w:marTop w:val="0"/>
          <w:marBottom w:val="0"/>
          <w:divBdr>
            <w:top w:val="none" w:sz="0" w:space="0" w:color="auto"/>
            <w:left w:val="none" w:sz="0" w:space="0" w:color="auto"/>
            <w:bottom w:val="none" w:sz="0" w:space="0" w:color="auto"/>
            <w:right w:val="none" w:sz="0" w:space="0" w:color="auto"/>
          </w:divBdr>
        </w:div>
        <w:div w:id="2024706129">
          <w:marLeft w:val="0"/>
          <w:marRight w:val="0"/>
          <w:marTop w:val="0"/>
          <w:marBottom w:val="0"/>
          <w:divBdr>
            <w:top w:val="none" w:sz="0" w:space="0" w:color="auto"/>
            <w:left w:val="none" w:sz="0" w:space="0" w:color="auto"/>
            <w:bottom w:val="none" w:sz="0" w:space="0" w:color="auto"/>
            <w:right w:val="none" w:sz="0" w:space="0" w:color="auto"/>
          </w:divBdr>
        </w:div>
        <w:div w:id="2024706130">
          <w:marLeft w:val="0"/>
          <w:marRight w:val="0"/>
          <w:marTop w:val="0"/>
          <w:marBottom w:val="0"/>
          <w:divBdr>
            <w:top w:val="none" w:sz="0" w:space="0" w:color="auto"/>
            <w:left w:val="none" w:sz="0" w:space="0" w:color="auto"/>
            <w:bottom w:val="none" w:sz="0" w:space="0" w:color="auto"/>
            <w:right w:val="none" w:sz="0" w:space="0" w:color="auto"/>
          </w:divBdr>
        </w:div>
        <w:div w:id="2024706131">
          <w:marLeft w:val="0"/>
          <w:marRight w:val="0"/>
          <w:marTop w:val="0"/>
          <w:marBottom w:val="0"/>
          <w:divBdr>
            <w:top w:val="none" w:sz="0" w:space="0" w:color="auto"/>
            <w:left w:val="none" w:sz="0" w:space="0" w:color="auto"/>
            <w:bottom w:val="none" w:sz="0" w:space="0" w:color="auto"/>
            <w:right w:val="none" w:sz="0" w:space="0" w:color="auto"/>
          </w:divBdr>
        </w:div>
        <w:div w:id="2024706132">
          <w:marLeft w:val="0"/>
          <w:marRight w:val="0"/>
          <w:marTop w:val="0"/>
          <w:marBottom w:val="0"/>
          <w:divBdr>
            <w:top w:val="none" w:sz="0" w:space="0" w:color="auto"/>
            <w:left w:val="none" w:sz="0" w:space="0" w:color="auto"/>
            <w:bottom w:val="none" w:sz="0" w:space="0" w:color="auto"/>
            <w:right w:val="none" w:sz="0" w:space="0" w:color="auto"/>
          </w:divBdr>
        </w:div>
        <w:div w:id="2024706135">
          <w:marLeft w:val="0"/>
          <w:marRight w:val="0"/>
          <w:marTop w:val="0"/>
          <w:marBottom w:val="0"/>
          <w:divBdr>
            <w:top w:val="none" w:sz="0" w:space="0" w:color="auto"/>
            <w:left w:val="none" w:sz="0" w:space="0" w:color="auto"/>
            <w:bottom w:val="none" w:sz="0" w:space="0" w:color="auto"/>
            <w:right w:val="none" w:sz="0" w:space="0" w:color="auto"/>
          </w:divBdr>
        </w:div>
        <w:div w:id="2024706136">
          <w:marLeft w:val="0"/>
          <w:marRight w:val="0"/>
          <w:marTop w:val="0"/>
          <w:marBottom w:val="0"/>
          <w:divBdr>
            <w:top w:val="none" w:sz="0" w:space="0" w:color="auto"/>
            <w:left w:val="none" w:sz="0" w:space="0" w:color="auto"/>
            <w:bottom w:val="none" w:sz="0" w:space="0" w:color="auto"/>
            <w:right w:val="none" w:sz="0" w:space="0" w:color="auto"/>
          </w:divBdr>
        </w:div>
        <w:div w:id="2024706137">
          <w:marLeft w:val="0"/>
          <w:marRight w:val="0"/>
          <w:marTop w:val="0"/>
          <w:marBottom w:val="0"/>
          <w:divBdr>
            <w:top w:val="none" w:sz="0" w:space="0" w:color="auto"/>
            <w:left w:val="none" w:sz="0" w:space="0" w:color="auto"/>
            <w:bottom w:val="none" w:sz="0" w:space="0" w:color="auto"/>
            <w:right w:val="none" w:sz="0" w:space="0" w:color="auto"/>
          </w:divBdr>
        </w:div>
        <w:div w:id="2024706138">
          <w:marLeft w:val="0"/>
          <w:marRight w:val="0"/>
          <w:marTop w:val="0"/>
          <w:marBottom w:val="0"/>
          <w:divBdr>
            <w:top w:val="none" w:sz="0" w:space="0" w:color="auto"/>
            <w:left w:val="none" w:sz="0" w:space="0" w:color="auto"/>
            <w:bottom w:val="none" w:sz="0" w:space="0" w:color="auto"/>
            <w:right w:val="none" w:sz="0" w:space="0" w:color="auto"/>
          </w:divBdr>
        </w:div>
        <w:div w:id="2024706139">
          <w:marLeft w:val="0"/>
          <w:marRight w:val="0"/>
          <w:marTop w:val="0"/>
          <w:marBottom w:val="0"/>
          <w:divBdr>
            <w:top w:val="none" w:sz="0" w:space="0" w:color="auto"/>
            <w:left w:val="none" w:sz="0" w:space="0" w:color="auto"/>
            <w:bottom w:val="none" w:sz="0" w:space="0" w:color="auto"/>
            <w:right w:val="none" w:sz="0" w:space="0" w:color="auto"/>
          </w:divBdr>
        </w:div>
        <w:div w:id="2024706140">
          <w:marLeft w:val="0"/>
          <w:marRight w:val="0"/>
          <w:marTop w:val="0"/>
          <w:marBottom w:val="0"/>
          <w:divBdr>
            <w:top w:val="none" w:sz="0" w:space="0" w:color="auto"/>
            <w:left w:val="none" w:sz="0" w:space="0" w:color="auto"/>
            <w:bottom w:val="none" w:sz="0" w:space="0" w:color="auto"/>
            <w:right w:val="none" w:sz="0" w:space="0" w:color="auto"/>
          </w:divBdr>
        </w:div>
        <w:div w:id="2024706141">
          <w:marLeft w:val="0"/>
          <w:marRight w:val="0"/>
          <w:marTop w:val="0"/>
          <w:marBottom w:val="0"/>
          <w:divBdr>
            <w:top w:val="none" w:sz="0" w:space="0" w:color="auto"/>
            <w:left w:val="none" w:sz="0" w:space="0" w:color="auto"/>
            <w:bottom w:val="none" w:sz="0" w:space="0" w:color="auto"/>
            <w:right w:val="none" w:sz="0" w:space="0" w:color="auto"/>
          </w:divBdr>
        </w:div>
        <w:div w:id="2024706142">
          <w:marLeft w:val="0"/>
          <w:marRight w:val="0"/>
          <w:marTop w:val="0"/>
          <w:marBottom w:val="0"/>
          <w:divBdr>
            <w:top w:val="none" w:sz="0" w:space="0" w:color="auto"/>
            <w:left w:val="none" w:sz="0" w:space="0" w:color="auto"/>
            <w:bottom w:val="none" w:sz="0" w:space="0" w:color="auto"/>
            <w:right w:val="none" w:sz="0" w:space="0" w:color="auto"/>
          </w:divBdr>
        </w:div>
        <w:div w:id="2024706143">
          <w:marLeft w:val="0"/>
          <w:marRight w:val="0"/>
          <w:marTop w:val="0"/>
          <w:marBottom w:val="0"/>
          <w:divBdr>
            <w:top w:val="none" w:sz="0" w:space="0" w:color="auto"/>
            <w:left w:val="none" w:sz="0" w:space="0" w:color="auto"/>
            <w:bottom w:val="none" w:sz="0" w:space="0" w:color="auto"/>
            <w:right w:val="none" w:sz="0" w:space="0" w:color="auto"/>
          </w:divBdr>
        </w:div>
        <w:div w:id="2024706144">
          <w:marLeft w:val="0"/>
          <w:marRight w:val="0"/>
          <w:marTop w:val="0"/>
          <w:marBottom w:val="0"/>
          <w:divBdr>
            <w:top w:val="none" w:sz="0" w:space="0" w:color="auto"/>
            <w:left w:val="none" w:sz="0" w:space="0" w:color="auto"/>
            <w:bottom w:val="none" w:sz="0" w:space="0" w:color="auto"/>
            <w:right w:val="none" w:sz="0" w:space="0" w:color="auto"/>
          </w:divBdr>
        </w:div>
        <w:div w:id="2024706145">
          <w:marLeft w:val="0"/>
          <w:marRight w:val="0"/>
          <w:marTop w:val="0"/>
          <w:marBottom w:val="0"/>
          <w:divBdr>
            <w:top w:val="none" w:sz="0" w:space="0" w:color="auto"/>
            <w:left w:val="none" w:sz="0" w:space="0" w:color="auto"/>
            <w:bottom w:val="none" w:sz="0" w:space="0" w:color="auto"/>
            <w:right w:val="none" w:sz="0" w:space="0" w:color="auto"/>
          </w:divBdr>
        </w:div>
        <w:div w:id="2024706146">
          <w:marLeft w:val="0"/>
          <w:marRight w:val="0"/>
          <w:marTop w:val="0"/>
          <w:marBottom w:val="0"/>
          <w:divBdr>
            <w:top w:val="none" w:sz="0" w:space="0" w:color="auto"/>
            <w:left w:val="none" w:sz="0" w:space="0" w:color="auto"/>
            <w:bottom w:val="none" w:sz="0" w:space="0" w:color="auto"/>
            <w:right w:val="none" w:sz="0" w:space="0" w:color="auto"/>
          </w:divBdr>
        </w:div>
        <w:div w:id="2024706147">
          <w:marLeft w:val="0"/>
          <w:marRight w:val="0"/>
          <w:marTop w:val="0"/>
          <w:marBottom w:val="0"/>
          <w:divBdr>
            <w:top w:val="none" w:sz="0" w:space="0" w:color="auto"/>
            <w:left w:val="none" w:sz="0" w:space="0" w:color="auto"/>
            <w:bottom w:val="none" w:sz="0" w:space="0" w:color="auto"/>
            <w:right w:val="none" w:sz="0" w:space="0" w:color="auto"/>
          </w:divBdr>
        </w:div>
        <w:div w:id="2024706148">
          <w:marLeft w:val="0"/>
          <w:marRight w:val="0"/>
          <w:marTop w:val="0"/>
          <w:marBottom w:val="0"/>
          <w:divBdr>
            <w:top w:val="none" w:sz="0" w:space="0" w:color="auto"/>
            <w:left w:val="none" w:sz="0" w:space="0" w:color="auto"/>
            <w:bottom w:val="none" w:sz="0" w:space="0" w:color="auto"/>
            <w:right w:val="none" w:sz="0" w:space="0" w:color="auto"/>
          </w:divBdr>
        </w:div>
        <w:div w:id="2024706149">
          <w:marLeft w:val="0"/>
          <w:marRight w:val="0"/>
          <w:marTop w:val="0"/>
          <w:marBottom w:val="0"/>
          <w:divBdr>
            <w:top w:val="none" w:sz="0" w:space="0" w:color="auto"/>
            <w:left w:val="none" w:sz="0" w:space="0" w:color="auto"/>
            <w:bottom w:val="none" w:sz="0" w:space="0" w:color="auto"/>
            <w:right w:val="none" w:sz="0" w:space="0" w:color="auto"/>
          </w:divBdr>
        </w:div>
        <w:div w:id="2024706150">
          <w:marLeft w:val="0"/>
          <w:marRight w:val="0"/>
          <w:marTop w:val="0"/>
          <w:marBottom w:val="0"/>
          <w:divBdr>
            <w:top w:val="none" w:sz="0" w:space="0" w:color="auto"/>
            <w:left w:val="none" w:sz="0" w:space="0" w:color="auto"/>
            <w:bottom w:val="none" w:sz="0" w:space="0" w:color="auto"/>
            <w:right w:val="none" w:sz="0" w:space="0" w:color="auto"/>
          </w:divBdr>
        </w:div>
        <w:div w:id="2024706151">
          <w:marLeft w:val="0"/>
          <w:marRight w:val="0"/>
          <w:marTop w:val="0"/>
          <w:marBottom w:val="0"/>
          <w:divBdr>
            <w:top w:val="none" w:sz="0" w:space="0" w:color="auto"/>
            <w:left w:val="none" w:sz="0" w:space="0" w:color="auto"/>
            <w:bottom w:val="none" w:sz="0" w:space="0" w:color="auto"/>
            <w:right w:val="none" w:sz="0" w:space="0" w:color="auto"/>
          </w:divBdr>
        </w:div>
        <w:div w:id="2024706152">
          <w:marLeft w:val="0"/>
          <w:marRight w:val="0"/>
          <w:marTop w:val="0"/>
          <w:marBottom w:val="0"/>
          <w:divBdr>
            <w:top w:val="none" w:sz="0" w:space="0" w:color="auto"/>
            <w:left w:val="none" w:sz="0" w:space="0" w:color="auto"/>
            <w:bottom w:val="none" w:sz="0" w:space="0" w:color="auto"/>
            <w:right w:val="none" w:sz="0" w:space="0" w:color="auto"/>
          </w:divBdr>
        </w:div>
        <w:div w:id="2024706153">
          <w:marLeft w:val="0"/>
          <w:marRight w:val="0"/>
          <w:marTop w:val="0"/>
          <w:marBottom w:val="0"/>
          <w:divBdr>
            <w:top w:val="none" w:sz="0" w:space="0" w:color="auto"/>
            <w:left w:val="none" w:sz="0" w:space="0" w:color="auto"/>
            <w:bottom w:val="none" w:sz="0" w:space="0" w:color="auto"/>
            <w:right w:val="none" w:sz="0" w:space="0" w:color="auto"/>
          </w:divBdr>
        </w:div>
        <w:div w:id="2024706154">
          <w:marLeft w:val="0"/>
          <w:marRight w:val="0"/>
          <w:marTop w:val="0"/>
          <w:marBottom w:val="0"/>
          <w:divBdr>
            <w:top w:val="none" w:sz="0" w:space="0" w:color="auto"/>
            <w:left w:val="none" w:sz="0" w:space="0" w:color="auto"/>
            <w:bottom w:val="none" w:sz="0" w:space="0" w:color="auto"/>
            <w:right w:val="none" w:sz="0" w:space="0" w:color="auto"/>
          </w:divBdr>
        </w:div>
        <w:div w:id="2024706155">
          <w:marLeft w:val="0"/>
          <w:marRight w:val="0"/>
          <w:marTop w:val="0"/>
          <w:marBottom w:val="0"/>
          <w:divBdr>
            <w:top w:val="none" w:sz="0" w:space="0" w:color="auto"/>
            <w:left w:val="none" w:sz="0" w:space="0" w:color="auto"/>
            <w:bottom w:val="none" w:sz="0" w:space="0" w:color="auto"/>
            <w:right w:val="none" w:sz="0" w:space="0" w:color="auto"/>
          </w:divBdr>
        </w:div>
        <w:div w:id="2024706156">
          <w:marLeft w:val="0"/>
          <w:marRight w:val="0"/>
          <w:marTop w:val="0"/>
          <w:marBottom w:val="0"/>
          <w:divBdr>
            <w:top w:val="none" w:sz="0" w:space="0" w:color="auto"/>
            <w:left w:val="none" w:sz="0" w:space="0" w:color="auto"/>
            <w:bottom w:val="none" w:sz="0" w:space="0" w:color="auto"/>
            <w:right w:val="none" w:sz="0" w:space="0" w:color="auto"/>
          </w:divBdr>
        </w:div>
        <w:div w:id="2024706157">
          <w:marLeft w:val="0"/>
          <w:marRight w:val="0"/>
          <w:marTop w:val="0"/>
          <w:marBottom w:val="0"/>
          <w:divBdr>
            <w:top w:val="none" w:sz="0" w:space="0" w:color="auto"/>
            <w:left w:val="none" w:sz="0" w:space="0" w:color="auto"/>
            <w:bottom w:val="none" w:sz="0" w:space="0" w:color="auto"/>
            <w:right w:val="none" w:sz="0" w:space="0" w:color="auto"/>
          </w:divBdr>
        </w:div>
        <w:div w:id="2024706159">
          <w:marLeft w:val="0"/>
          <w:marRight w:val="0"/>
          <w:marTop w:val="0"/>
          <w:marBottom w:val="0"/>
          <w:divBdr>
            <w:top w:val="none" w:sz="0" w:space="0" w:color="auto"/>
            <w:left w:val="none" w:sz="0" w:space="0" w:color="auto"/>
            <w:bottom w:val="none" w:sz="0" w:space="0" w:color="auto"/>
            <w:right w:val="none" w:sz="0" w:space="0" w:color="auto"/>
          </w:divBdr>
        </w:div>
        <w:div w:id="2024706160">
          <w:marLeft w:val="0"/>
          <w:marRight w:val="0"/>
          <w:marTop w:val="0"/>
          <w:marBottom w:val="0"/>
          <w:divBdr>
            <w:top w:val="none" w:sz="0" w:space="0" w:color="auto"/>
            <w:left w:val="none" w:sz="0" w:space="0" w:color="auto"/>
            <w:bottom w:val="none" w:sz="0" w:space="0" w:color="auto"/>
            <w:right w:val="none" w:sz="0" w:space="0" w:color="auto"/>
          </w:divBdr>
        </w:div>
        <w:div w:id="2024706161">
          <w:marLeft w:val="0"/>
          <w:marRight w:val="0"/>
          <w:marTop w:val="0"/>
          <w:marBottom w:val="0"/>
          <w:divBdr>
            <w:top w:val="none" w:sz="0" w:space="0" w:color="auto"/>
            <w:left w:val="none" w:sz="0" w:space="0" w:color="auto"/>
            <w:bottom w:val="none" w:sz="0" w:space="0" w:color="auto"/>
            <w:right w:val="none" w:sz="0" w:space="0" w:color="auto"/>
          </w:divBdr>
        </w:div>
        <w:div w:id="2024706162">
          <w:marLeft w:val="0"/>
          <w:marRight w:val="0"/>
          <w:marTop w:val="0"/>
          <w:marBottom w:val="0"/>
          <w:divBdr>
            <w:top w:val="none" w:sz="0" w:space="0" w:color="auto"/>
            <w:left w:val="none" w:sz="0" w:space="0" w:color="auto"/>
            <w:bottom w:val="none" w:sz="0" w:space="0" w:color="auto"/>
            <w:right w:val="none" w:sz="0" w:space="0" w:color="auto"/>
          </w:divBdr>
        </w:div>
        <w:div w:id="2024706163">
          <w:marLeft w:val="0"/>
          <w:marRight w:val="0"/>
          <w:marTop w:val="0"/>
          <w:marBottom w:val="0"/>
          <w:divBdr>
            <w:top w:val="none" w:sz="0" w:space="0" w:color="auto"/>
            <w:left w:val="none" w:sz="0" w:space="0" w:color="auto"/>
            <w:bottom w:val="none" w:sz="0" w:space="0" w:color="auto"/>
            <w:right w:val="none" w:sz="0" w:space="0" w:color="auto"/>
          </w:divBdr>
        </w:div>
        <w:div w:id="2024706164">
          <w:marLeft w:val="0"/>
          <w:marRight w:val="0"/>
          <w:marTop w:val="0"/>
          <w:marBottom w:val="0"/>
          <w:divBdr>
            <w:top w:val="none" w:sz="0" w:space="0" w:color="auto"/>
            <w:left w:val="none" w:sz="0" w:space="0" w:color="auto"/>
            <w:bottom w:val="none" w:sz="0" w:space="0" w:color="auto"/>
            <w:right w:val="none" w:sz="0" w:space="0" w:color="auto"/>
          </w:divBdr>
        </w:div>
        <w:div w:id="2024706165">
          <w:marLeft w:val="0"/>
          <w:marRight w:val="0"/>
          <w:marTop w:val="0"/>
          <w:marBottom w:val="0"/>
          <w:divBdr>
            <w:top w:val="none" w:sz="0" w:space="0" w:color="auto"/>
            <w:left w:val="none" w:sz="0" w:space="0" w:color="auto"/>
            <w:bottom w:val="none" w:sz="0" w:space="0" w:color="auto"/>
            <w:right w:val="none" w:sz="0" w:space="0" w:color="auto"/>
          </w:divBdr>
        </w:div>
        <w:div w:id="2024706166">
          <w:marLeft w:val="0"/>
          <w:marRight w:val="0"/>
          <w:marTop w:val="0"/>
          <w:marBottom w:val="0"/>
          <w:divBdr>
            <w:top w:val="none" w:sz="0" w:space="0" w:color="auto"/>
            <w:left w:val="none" w:sz="0" w:space="0" w:color="auto"/>
            <w:bottom w:val="none" w:sz="0" w:space="0" w:color="auto"/>
            <w:right w:val="none" w:sz="0" w:space="0" w:color="auto"/>
          </w:divBdr>
        </w:div>
        <w:div w:id="2024706167">
          <w:marLeft w:val="0"/>
          <w:marRight w:val="0"/>
          <w:marTop w:val="0"/>
          <w:marBottom w:val="0"/>
          <w:divBdr>
            <w:top w:val="none" w:sz="0" w:space="0" w:color="auto"/>
            <w:left w:val="none" w:sz="0" w:space="0" w:color="auto"/>
            <w:bottom w:val="none" w:sz="0" w:space="0" w:color="auto"/>
            <w:right w:val="none" w:sz="0" w:space="0" w:color="auto"/>
          </w:divBdr>
        </w:div>
        <w:div w:id="2024706168">
          <w:marLeft w:val="0"/>
          <w:marRight w:val="0"/>
          <w:marTop w:val="0"/>
          <w:marBottom w:val="0"/>
          <w:divBdr>
            <w:top w:val="none" w:sz="0" w:space="0" w:color="auto"/>
            <w:left w:val="none" w:sz="0" w:space="0" w:color="auto"/>
            <w:bottom w:val="none" w:sz="0" w:space="0" w:color="auto"/>
            <w:right w:val="none" w:sz="0" w:space="0" w:color="auto"/>
          </w:divBdr>
        </w:div>
        <w:div w:id="2024706169">
          <w:marLeft w:val="0"/>
          <w:marRight w:val="0"/>
          <w:marTop w:val="0"/>
          <w:marBottom w:val="0"/>
          <w:divBdr>
            <w:top w:val="none" w:sz="0" w:space="0" w:color="auto"/>
            <w:left w:val="none" w:sz="0" w:space="0" w:color="auto"/>
            <w:bottom w:val="none" w:sz="0" w:space="0" w:color="auto"/>
            <w:right w:val="none" w:sz="0" w:space="0" w:color="auto"/>
          </w:divBdr>
        </w:div>
        <w:div w:id="2024706170">
          <w:marLeft w:val="0"/>
          <w:marRight w:val="0"/>
          <w:marTop w:val="0"/>
          <w:marBottom w:val="0"/>
          <w:divBdr>
            <w:top w:val="none" w:sz="0" w:space="0" w:color="auto"/>
            <w:left w:val="none" w:sz="0" w:space="0" w:color="auto"/>
            <w:bottom w:val="none" w:sz="0" w:space="0" w:color="auto"/>
            <w:right w:val="none" w:sz="0" w:space="0" w:color="auto"/>
          </w:divBdr>
        </w:div>
        <w:div w:id="2024706171">
          <w:marLeft w:val="0"/>
          <w:marRight w:val="0"/>
          <w:marTop w:val="0"/>
          <w:marBottom w:val="0"/>
          <w:divBdr>
            <w:top w:val="none" w:sz="0" w:space="0" w:color="auto"/>
            <w:left w:val="none" w:sz="0" w:space="0" w:color="auto"/>
            <w:bottom w:val="none" w:sz="0" w:space="0" w:color="auto"/>
            <w:right w:val="none" w:sz="0" w:space="0" w:color="auto"/>
          </w:divBdr>
        </w:div>
        <w:div w:id="2024706172">
          <w:marLeft w:val="0"/>
          <w:marRight w:val="0"/>
          <w:marTop w:val="0"/>
          <w:marBottom w:val="0"/>
          <w:divBdr>
            <w:top w:val="none" w:sz="0" w:space="0" w:color="auto"/>
            <w:left w:val="none" w:sz="0" w:space="0" w:color="auto"/>
            <w:bottom w:val="none" w:sz="0" w:space="0" w:color="auto"/>
            <w:right w:val="none" w:sz="0" w:space="0" w:color="auto"/>
          </w:divBdr>
        </w:div>
        <w:div w:id="2024706173">
          <w:marLeft w:val="0"/>
          <w:marRight w:val="0"/>
          <w:marTop w:val="0"/>
          <w:marBottom w:val="0"/>
          <w:divBdr>
            <w:top w:val="none" w:sz="0" w:space="0" w:color="auto"/>
            <w:left w:val="none" w:sz="0" w:space="0" w:color="auto"/>
            <w:bottom w:val="none" w:sz="0" w:space="0" w:color="auto"/>
            <w:right w:val="none" w:sz="0" w:space="0" w:color="auto"/>
          </w:divBdr>
        </w:div>
        <w:div w:id="2024706174">
          <w:marLeft w:val="0"/>
          <w:marRight w:val="0"/>
          <w:marTop w:val="0"/>
          <w:marBottom w:val="0"/>
          <w:divBdr>
            <w:top w:val="none" w:sz="0" w:space="0" w:color="auto"/>
            <w:left w:val="none" w:sz="0" w:space="0" w:color="auto"/>
            <w:bottom w:val="none" w:sz="0" w:space="0" w:color="auto"/>
            <w:right w:val="none" w:sz="0" w:space="0" w:color="auto"/>
          </w:divBdr>
        </w:div>
        <w:div w:id="2024706175">
          <w:marLeft w:val="0"/>
          <w:marRight w:val="0"/>
          <w:marTop w:val="0"/>
          <w:marBottom w:val="0"/>
          <w:divBdr>
            <w:top w:val="none" w:sz="0" w:space="0" w:color="auto"/>
            <w:left w:val="none" w:sz="0" w:space="0" w:color="auto"/>
            <w:bottom w:val="none" w:sz="0" w:space="0" w:color="auto"/>
            <w:right w:val="none" w:sz="0" w:space="0" w:color="auto"/>
          </w:divBdr>
        </w:div>
        <w:div w:id="2024706176">
          <w:marLeft w:val="0"/>
          <w:marRight w:val="0"/>
          <w:marTop w:val="0"/>
          <w:marBottom w:val="0"/>
          <w:divBdr>
            <w:top w:val="none" w:sz="0" w:space="0" w:color="auto"/>
            <w:left w:val="none" w:sz="0" w:space="0" w:color="auto"/>
            <w:bottom w:val="none" w:sz="0" w:space="0" w:color="auto"/>
            <w:right w:val="none" w:sz="0" w:space="0" w:color="auto"/>
          </w:divBdr>
        </w:div>
        <w:div w:id="2024706177">
          <w:marLeft w:val="0"/>
          <w:marRight w:val="0"/>
          <w:marTop w:val="0"/>
          <w:marBottom w:val="0"/>
          <w:divBdr>
            <w:top w:val="none" w:sz="0" w:space="0" w:color="auto"/>
            <w:left w:val="none" w:sz="0" w:space="0" w:color="auto"/>
            <w:bottom w:val="none" w:sz="0" w:space="0" w:color="auto"/>
            <w:right w:val="none" w:sz="0" w:space="0" w:color="auto"/>
          </w:divBdr>
        </w:div>
        <w:div w:id="2024706178">
          <w:marLeft w:val="0"/>
          <w:marRight w:val="0"/>
          <w:marTop w:val="0"/>
          <w:marBottom w:val="0"/>
          <w:divBdr>
            <w:top w:val="none" w:sz="0" w:space="0" w:color="auto"/>
            <w:left w:val="none" w:sz="0" w:space="0" w:color="auto"/>
            <w:bottom w:val="none" w:sz="0" w:space="0" w:color="auto"/>
            <w:right w:val="none" w:sz="0" w:space="0" w:color="auto"/>
          </w:divBdr>
        </w:div>
        <w:div w:id="2024706179">
          <w:marLeft w:val="0"/>
          <w:marRight w:val="0"/>
          <w:marTop w:val="0"/>
          <w:marBottom w:val="0"/>
          <w:divBdr>
            <w:top w:val="none" w:sz="0" w:space="0" w:color="auto"/>
            <w:left w:val="none" w:sz="0" w:space="0" w:color="auto"/>
            <w:bottom w:val="none" w:sz="0" w:space="0" w:color="auto"/>
            <w:right w:val="none" w:sz="0" w:space="0" w:color="auto"/>
          </w:divBdr>
        </w:div>
        <w:div w:id="2024706180">
          <w:marLeft w:val="0"/>
          <w:marRight w:val="0"/>
          <w:marTop w:val="0"/>
          <w:marBottom w:val="0"/>
          <w:divBdr>
            <w:top w:val="none" w:sz="0" w:space="0" w:color="auto"/>
            <w:left w:val="none" w:sz="0" w:space="0" w:color="auto"/>
            <w:bottom w:val="none" w:sz="0" w:space="0" w:color="auto"/>
            <w:right w:val="none" w:sz="0" w:space="0" w:color="auto"/>
          </w:divBdr>
        </w:div>
        <w:div w:id="2024706181">
          <w:marLeft w:val="0"/>
          <w:marRight w:val="0"/>
          <w:marTop w:val="0"/>
          <w:marBottom w:val="0"/>
          <w:divBdr>
            <w:top w:val="none" w:sz="0" w:space="0" w:color="auto"/>
            <w:left w:val="none" w:sz="0" w:space="0" w:color="auto"/>
            <w:bottom w:val="none" w:sz="0" w:space="0" w:color="auto"/>
            <w:right w:val="none" w:sz="0" w:space="0" w:color="auto"/>
          </w:divBdr>
        </w:div>
        <w:div w:id="2024706182">
          <w:marLeft w:val="0"/>
          <w:marRight w:val="0"/>
          <w:marTop w:val="0"/>
          <w:marBottom w:val="0"/>
          <w:divBdr>
            <w:top w:val="none" w:sz="0" w:space="0" w:color="auto"/>
            <w:left w:val="none" w:sz="0" w:space="0" w:color="auto"/>
            <w:bottom w:val="none" w:sz="0" w:space="0" w:color="auto"/>
            <w:right w:val="none" w:sz="0" w:space="0" w:color="auto"/>
          </w:divBdr>
        </w:div>
        <w:div w:id="2024706183">
          <w:marLeft w:val="0"/>
          <w:marRight w:val="0"/>
          <w:marTop w:val="0"/>
          <w:marBottom w:val="0"/>
          <w:divBdr>
            <w:top w:val="none" w:sz="0" w:space="0" w:color="auto"/>
            <w:left w:val="none" w:sz="0" w:space="0" w:color="auto"/>
            <w:bottom w:val="none" w:sz="0" w:space="0" w:color="auto"/>
            <w:right w:val="none" w:sz="0" w:space="0" w:color="auto"/>
          </w:divBdr>
        </w:div>
        <w:div w:id="2024706184">
          <w:marLeft w:val="0"/>
          <w:marRight w:val="0"/>
          <w:marTop w:val="0"/>
          <w:marBottom w:val="0"/>
          <w:divBdr>
            <w:top w:val="none" w:sz="0" w:space="0" w:color="auto"/>
            <w:left w:val="none" w:sz="0" w:space="0" w:color="auto"/>
            <w:bottom w:val="none" w:sz="0" w:space="0" w:color="auto"/>
            <w:right w:val="none" w:sz="0" w:space="0" w:color="auto"/>
          </w:divBdr>
        </w:div>
        <w:div w:id="2024706185">
          <w:marLeft w:val="0"/>
          <w:marRight w:val="0"/>
          <w:marTop w:val="0"/>
          <w:marBottom w:val="0"/>
          <w:divBdr>
            <w:top w:val="none" w:sz="0" w:space="0" w:color="auto"/>
            <w:left w:val="none" w:sz="0" w:space="0" w:color="auto"/>
            <w:bottom w:val="none" w:sz="0" w:space="0" w:color="auto"/>
            <w:right w:val="none" w:sz="0" w:space="0" w:color="auto"/>
          </w:divBdr>
        </w:div>
        <w:div w:id="2024706186">
          <w:marLeft w:val="0"/>
          <w:marRight w:val="0"/>
          <w:marTop w:val="0"/>
          <w:marBottom w:val="0"/>
          <w:divBdr>
            <w:top w:val="none" w:sz="0" w:space="0" w:color="auto"/>
            <w:left w:val="none" w:sz="0" w:space="0" w:color="auto"/>
            <w:bottom w:val="none" w:sz="0" w:space="0" w:color="auto"/>
            <w:right w:val="none" w:sz="0" w:space="0" w:color="auto"/>
          </w:divBdr>
        </w:div>
        <w:div w:id="2024706187">
          <w:marLeft w:val="0"/>
          <w:marRight w:val="0"/>
          <w:marTop w:val="0"/>
          <w:marBottom w:val="0"/>
          <w:divBdr>
            <w:top w:val="none" w:sz="0" w:space="0" w:color="auto"/>
            <w:left w:val="none" w:sz="0" w:space="0" w:color="auto"/>
            <w:bottom w:val="none" w:sz="0" w:space="0" w:color="auto"/>
            <w:right w:val="none" w:sz="0" w:space="0" w:color="auto"/>
          </w:divBdr>
        </w:div>
        <w:div w:id="2024706188">
          <w:marLeft w:val="0"/>
          <w:marRight w:val="0"/>
          <w:marTop w:val="0"/>
          <w:marBottom w:val="0"/>
          <w:divBdr>
            <w:top w:val="none" w:sz="0" w:space="0" w:color="auto"/>
            <w:left w:val="none" w:sz="0" w:space="0" w:color="auto"/>
            <w:bottom w:val="none" w:sz="0" w:space="0" w:color="auto"/>
            <w:right w:val="none" w:sz="0" w:space="0" w:color="auto"/>
          </w:divBdr>
        </w:div>
        <w:div w:id="2024706189">
          <w:marLeft w:val="0"/>
          <w:marRight w:val="0"/>
          <w:marTop w:val="0"/>
          <w:marBottom w:val="0"/>
          <w:divBdr>
            <w:top w:val="none" w:sz="0" w:space="0" w:color="auto"/>
            <w:left w:val="none" w:sz="0" w:space="0" w:color="auto"/>
            <w:bottom w:val="none" w:sz="0" w:space="0" w:color="auto"/>
            <w:right w:val="none" w:sz="0" w:space="0" w:color="auto"/>
          </w:divBdr>
        </w:div>
        <w:div w:id="2024706190">
          <w:marLeft w:val="0"/>
          <w:marRight w:val="0"/>
          <w:marTop w:val="0"/>
          <w:marBottom w:val="0"/>
          <w:divBdr>
            <w:top w:val="none" w:sz="0" w:space="0" w:color="auto"/>
            <w:left w:val="none" w:sz="0" w:space="0" w:color="auto"/>
            <w:bottom w:val="none" w:sz="0" w:space="0" w:color="auto"/>
            <w:right w:val="none" w:sz="0" w:space="0" w:color="auto"/>
          </w:divBdr>
        </w:div>
        <w:div w:id="2024706191">
          <w:marLeft w:val="0"/>
          <w:marRight w:val="0"/>
          <w:marTop w:val="0"/>
          <w:marBottom w:val="0"/>
          <w:divBdr>
            <w:top w:val="none" w:sz="0" w:space="0" w:color="auto"/>
            <w:left w:val="none" w:sz="0" w:space="0" w:color="auto"/>
            <w:bottom w:val="none" w:sz="0" w:space="0" w:color="auto"/>
            <w:right w:val="none" w:sz="0" w:space="0" w:color="auto"/>
          </w:divBdr>
        </w:div>
        <w:div w:id="2024706192">
          <w:marLeft w:val="0"/>
          <w:marRight w:val="0"/>
          <w:marTop w:val="0"/>
          <w:marBottom w:val="0"/>
          <w:divBdr>
            <w:top w:val="none" w:sz="0" w:space="0" w:color="auto"/>
            <w:left w:val="none" w:sz="0" w:space="0" w:color="auto"/>
            <w:bottom w:val="none" w:sz="0" w:space="0" w:color="auto"/>
            <w:right w:val="none" w:sz="0" w:space="0" w:color="auto"/>
          </w:divBdr>
        </w:div>
        <w:div w:id="2024706193">
          <w:marLeft w:val="0"/>
          <w:marRight w:val="0"/>
          <w:marTop w:val="0"/>
          <w:marBottom w:val="0"/>
          <w:divBdr>
            <w:top w:val="none" w:sz="0" w:space="0" w:color="auto"/>
            <w:left w:val="none" w:sz="0" w:space="0" w:color="auto"/>
            <w:bottom w:val="none" w:sz="0" w:space="0" w:color="auto"/>
            <w:right w:val="none" w:sz="0" w:space="0" w:color="auto"/>
          </w:divBdr>
        </w:div>
        <w:div w:id="2024706194">
          <w:marLeft w:val="0"/>
          <w:marRight w:val="0"/>
          <w:marTop w:val="0"/>
          <w:marBottom w:val="0"/>
          <w:divBdr>
            <w:top w:val="none" w:sz="0" w:space="0" w:color="auto"/>
            <w:left w:val="none" w:sz="0" w:space="0" w:color="auto"/>
            <w:bottom w:val="none" w:sz="0" w:space="0" w:color="auto"/>
            <w:right w:val="none" w:sz="0" w:space="0" w:color="auto"/>
          </w:divBdr>
        </w:div>
        <w:div w:id="2024706195">
          <w:marLeft w:val="0"/>
          <w:marRight w:val="0"/>
          <w:marTop w:val="0"/>
          <w:marBottom w:val="0"/>
          <w:divBdr>
            <w:top w:val="none" w:sz="0" w:space="0" w:color="auto"/>
            <w:left w:val="none" w:sz="0" w:space="0" w:color="auto"/>
            <w:bottom w:val="none" w:sz="0" w:space="0" w:color="auto"/>
            <w:right w:val="none" w:sz="0" w:space="0" w:color="auto"/>
          </w:divBdr>
        </w:div>
        <w:div w:id="2024706196">
          <w:marLeft w:val="0"/>
          <w:marRight w:val="0"/>
          <w:marTop w:val="0"/>
          <w:marBottom w:val="0"/>
          <w:divBdr>
            <w:top w:val="none" w:sz="0" w:space="0" w:color="auto"/>
            <w:left w:val="none" w:sz="0" w:space="0" w:color="auto"/>
            <w:bottom w:val="none" w:sz="0" w:space="0" w:color="auto"/>
            <w:right w:val="none" w:sz="0" w:space="0" w:color="auto"/>
          </w:divBdr>
        </w:div>
        <w:div w:id="2024706197">
          <w:marLeft w:val="0"/>
          <w:marRight w:val="0"/>
          <w:marTop w:val="0"/>
          <w:marBottom w:val="0"/>
          <w:divBdr>
            <w:top w:val="none" w:sz="0" w:space="0" w:color="auto"/>
            <w:left w:val="none" w:sz="0" w:space="0" w:color="auto"/>
            <w:bottom w:val="none" w:sz="0" w:space="0" w:color="auto"/>
            <w:right w:val="none" w:sz="0" w:space="0" w:color="auto"/>
          </w:divBdr>
        </w:div>
        <w:div w:id="2024706198">
          <w:marLeft w:val="0"/>
          <w:marRight w:val="0"/>
          <w:marTop w:val="0"/>
          <w:marBottom w:val="0"/>
          <w:divBdr>
            <w:top w:val="none" w:sz="0" w:space="0" w:color="auto"/>
            <w:left w:val="none" w:sz="0" w:space="0" w:color="auto"/>
            <w:bottom w:val="none" w:sz="0" w:space="0" w:color="auto"/>
            <w:right w:val="none" w:sz="0" w:space="0" w:color="auto"/>
          </w:divBdr>
        </w:div>
        <w:div w:id="2024706199">
          <w:marLeft w:val="0"/>
          <w:marRight w:val="0"/>
          <w:marTop w:val="0"/>
          <w:marBottom w:val="0"/>
          <w:divBdr>
            <w:top w:val="none" w:sz="0" w:space="0" w:color="auto"/>
            <w:left w:val="none" w:sz="0" w:space="0" w:color="auto"/>
            <w:bottom w:val="none" w:sz="0" w:space="0" w:color="auto"/>
            <w:right w:val="none" w:sz="0" w:space="0" w:color="auto"/>
          </w:divBdr>
        </w:div>
        <w:div w:id="2024706200">
          <w:marLeft w:val="0"/>
          <w:marRight w:val="0"/>
          <w:marTop w:val="0"/>
          <w:marBottom w:val="0"/>
          <w:divBdr>
            <w:top w:val="none" w:sz="0" w:space="0" w:color="auto"/>
            <w:left w:val="none" w:sz="0" w:space="0" w:color="auto"/>
            <w:bottom w:val="none" w:sz="0" w:space="0" w:color="auto"/>
            <w:right w:val="none" w:sz="0" w:space="0" w:color="auto"/>
          </w:divBdr>
        </w:div>
        <w:div w:id="2024706201">
          <w:marLeft w:val="0"/>
          <w:marRight w:val="0"/>
          <w:marTop w:val="0"/>
          <w:marBottom w:val="0"/>
          <w:divBdr>
            <w:top w:val="none" w:sz="0" w:space="0" w:color="auto"/>
            <w:left w:val="none" w:sz="0" w:space="0" w:color="auto"/>
            <w:bottom w:val="none" w:sz="0" w:space="0" w:color="auto"/>
            <w:right w:val="none" w:sz="0" w:space="0" w:color="auto"/>
          </w:divBdr>
        </w:div>
        <w:div w:id="2024706202">
          <w:marLeft w:val="0"/>
          <w:marRight w:val="0"/>
          <w:marTop w:val="0"/>
          <w:marBottom w:val="0"/>
          <w:divBdr>
            <w:top w:val="none" w:sz="0" w:space="0" w:color="auto"/>
            <w:left w:val="none" w:sz="0" w:space="0" w:color="auto"/>
            <w:bottom w:val="none" w:sz="0" w:space="0" w:color="auto"/>
            <w:right w:val="none" w:sz="0" w:space="0" w:color="auto"/>
          </w:divBdr>
        </w:div>
        <w:div w:id="2024706203">
          <w:marLeft w:val="0"/>
          <w:marRight w:val="0"/>
          <w:marTop w:val="0"/>
          <w:marBottom w:val="0"/>
          <w:divBdr>
            <w:top w:val="none" w:sz="0" w:space="0" w:color="auto"/>
            <w:left w:val="none" w:sz="0" w:space="0" w:color="auto"/>
            <w:bottom w:val="none" w:sz="0" w:space="0" w:color="auto"/>
            <w:right w:val="none" w:sz="0" w:space="0" w:color="auto"/>
          </w:divBdr>
        </w:div>
        <w:div w:id="2024706204">
          <w:marLeft w:val="0"/>
          <w:marRight w:val="0"/>
          <w:marTop w:val="0"/>
          <w:marBottom w:val="0"/>
          <w:divBdr>
            <w:top w:val="none" w:sz="0" w:space="0" w:color="auto"/>
            <w:left w:val="none" w:sz="0" w:space="0" w:color="auto"/>
            <w:bottom w:val="none" w:sz="0" w:space="0" w:color="auto"/>
            <w:right w:val="none" w:sz="0" w:space="0" w:color="auto"/>
          </w:divBdr>
        </w:div>
        <w:div w:id="2024706205">
          <w:marLeft w:val="0"/>
          <w:marRight w:val="0"/>
          <w:marTop w:val="0"/>
          <w:marBottom w:val="0"/>
          <w:divBdr>
            <w:top w:val="none" w:sz="0" w:space="0" w:color="auto"/>
            <w:left w:val="none" w:sz="0" w:space="0" w:color="auto"/>
            <w:bottom w:val="none" w:sz="0" w:space="0" w:color="auto"/>
            <w:right w:val="none" w:sz="0" w:space="0" w:color="auto"/>
          </w:divBdr>
        </w:div>
        <w:div w:id="2024706206">
          <w:marLeft w:val="0"/>
          <w:marRight w:val="0"/>
          <w:marTop w:val="0"/>
          <w:marBottom w:val="0"/>
          <w:divBdr>
            <w:top w:val="none" w:sz="0" w:space="0" w:color="auto"/>
            <w:left w:val="none" w:sz="0" w:space="0" w:color="auto"/>
            <w:bottom w:val="none" w:sz="0" w:space="0" w:color="auto"/>
            <w:right w:val="none" w:sz="0" w:space="0" w:color="auto"/>
          </w:divBdr>
        </w:div>
        <w:div w:id="2024706207">
          <w:marLeft w:val="0"/>
          <w:marRight w:val="0"/>
          <w:marTop w:val="0"/>
          <w:marBottom w:val="0"/>
          <w:divBdr>
            <w:top w:val="none" w:sz="0" w:space="0" w:color="auto"/>
            <w:left w:val="none" w:sz="0" w:space="0" w:color="auto"/>
            <w:bottom w:val="none" w:sz="0" w:space="0" w:color="auto"/>
            <w:right w:val="none" w:sz="0" w:space="0" w:color="auto"/>
          </w:divBdr>
        </w:div>
        <w:div w:id="2024706208">
          <w:marLeft w:val="0"/>
          <w:marRight w:val="0"/>
          <w:marTop w:val="0"/>
          <w:marBottom w:val="0"/>
          <w:divBdr>
            <w:top w:val="none" w:sz="0" w:space="0" w:color="auto"/>
            <w:left w:val="none" w:sz="0" w:space="0" w:color="auto"/>
            <w:bottom w:val="none" w:sz="0" w:space="0" w:color="auto"/>
            <w:right w:val="none" w:sz="0" w:space="0" w:color="auto"/>
          </w:divBdr>
        </w:div>
        <w:div w:id="2024706209">
          <w:marLeft w:val="0"/>
          <w:marRight w:val="0"/>
          <w:marTop w:val="0"/>
          <w:marBottom w:val="0"/>
          <w:divBdr>
            <w:top w:val="none" w:sz="0" w:space="0" w:color="auto"/>
            <w:left w:val="none" w:sz="0" w:space="0" w:color="auto"/>
            <w:bottom w:val="none" w:sz="0" w:space="0" w:color="auto"/>
            <w:right w:val="none" w:sz="0" w:space="0" w:color="auto"/>
          </w:divBdr>
        </w:div>
        <w:div w:id="2024706210">
          <w:marLeft w:val="0"/>
          <w:marRight w:val="0"/>
          <w:marTop w:val="0"/>
          <w:marBottom w:val="0"/>
          <w:divBdr>
            <w:top w:val="none" w:sz="0" w:space="0" w:color="auto"/>
            <w:left w:val="none" w:sz="0" w:space="0" w:color="auto"/>
            <w:bottom w:val="none" w:sz="0" w:space="0" w:color="auto"/>
            <w:right w:val="none" w:sz="0" w:space="0" w:color="auto"/>
          </w:divBdr>
        </w:div>
        <w:div w:id="2024706211">
          <w:marLeft w:val="0"/>
          <w:marRight w:val="0"/>
          <w:marTop w:val="0"/>
          <w:marBottom w:val="0"/>
          <w:divBdr>
            <w:top w:val="none" w:sz="0" w:space="0" w:color="auto"/>
            <w:left w:val="none" w:sz="0" w:space="0" w:color="auto"/>
            <w:bottom w:val="none" w:sz="0" w:space="0" w:color="auto"/>
            <w:right w:val="none" w:sz="0" w:space="0" w:color="auto"/>
          </w:divBdr>
        </w:div>
        <w:div w:id="2024706212">
          <w:marLeft w:val="0"/>
          <w:marRight w:val="0"/>
          <w:marTop w:val="0"/>
          <w:marBottom w:val="0"/>
          <w:divBdr>
            <w:top w:val="none" w:sz="0" w:space="0" w:color="auto"/>
            <w:left w:val="none" w:sz="0" w:space="0" w:color="auto"/>
            <w:bottom w:val="none" w:sz="0" w:space="0" w:color="auto"/>
            <w:right w:val="none" w:sz="0" w:space="0" w:color="auto"/>
          </w:divBdr>
        </w:div>
        <w:div w:id="2024706213">
          <w:marLeft w:val="0"/>
          <w:marRight w:val="0"/>
          <w:marTop w:val="0"/>
          <w:marBottom w:val="0"/>
          <w:divBdr>
            <w:top w:val="none" w:sz="0" w:space="0" w:color="auto"/>
            <w:left w:val="none" w:sz="0" w:space="0" w:color="auto"/>
            <w:bottom w:val="none" w:sz="0" w:space="0" w:color="auto"/>
            <w:right w:val="none" w:sz="0" w:space="0" w:color="auto"/>
          </w:divBdr>
        </w:div>
        <w:div w:id="2024706214">
          <w:marLeft w:val="0"/>
          <w:marRight w:val="0"/>
          <w:marTop w:val="0"/>
          <w:marBottom w:val="0"/>
          <w:divBdr>
            <w:top w:val="none" w:sz="0" w:space="0" w:color="auto"/>
            <w:left w:val="none" w:sz="0" w:space="0" w:color="auto"/>
            <w:bottom w:val="none" w:sz="0" w:space="0" w:color="auto"/>
            <w:right w:val="none" w:sz="0" w:space="0" w:color="auto"/>
          </w:divBdr>
        </w:div>
        <w:div w:id="2024706215">
          <w:marLeft w:val="0"/>
          <w:marRight w:val="0"/>
          <w:marTop w:val="0"/>
          <w:marBottom w:val="0"/>
          <w:divBdr>
            <w:top w:val="none" w:sz="0" w:space="0" w:color="auto"/>
            <w:left w:val="none" w:sz="0" w:space="0" w:color="auto"/>
            <w:bottom w:val="none" w:sz="0" w:space="0" w:color="auto"/>
            <w:right w:val="none" w:sz="0" w:space="0" w:color="auto"/>
          </w:divBdr>
        </w:div>
      </w:divsChild>
    </w:div>
    <w:div w:id="2024703709">
      <w:marLeft w:val="0"/>
      <w:marRight w:val="0"/>
      <w:marTop w:val="0"/>
      <w:marBottom w:val="0"/>
      <w:divBdr>
        <w:top w:val="none" w:sz="0" w:space="0" w:color="auto"/>
        <w:left w:val="none" w:sz="0" w:space="0" w:color="auto"/>
        <w:bottom w:val="none" w:sz="0" w:space="0" w:color="auto"/>
        <w:right w:val="none" w:sz="0" w:space="0" w:color="auto"/>
      </w:divBdr>
    </w:div>
    <w:div w:id="2024703721">
      <w:marLeft w:val="0"/>
      <w:marRight w:val="0"/>
      <w:marTop w:val="0"/>
      <w:marBottom w:val="0"/>
      <w:divBdr>
        <w:top w:val="none" w:sz="0" w:space="0" w:color="auto"/>
        <w:left w:val="none" w:sz="0" w:space="0" w:color="auto"/>
        <w:bottom w:val="none" w:sz="0" w:space="0" w:color="auto"/>
        <w:right w:val="none" w:sz="0" w:space="0" w:color="auto"/>
      </w:divBdr>
      <w:divsChild>
        <w:div w:id="2024701415">
          <w:marLeft w:val="1166"/>
          <w:marRight w:val="0"/>
          <w:marTop w:val="106"/>
          <w:marBottom w:val="0"/>
          <w:divBdr>
            <w:top w:val="none" w:sz="0" w:space="0" w:color="auto"/>
            <w:left w:val="none" w:sz="0" w:space="0" w:color="auto"/>
            <w:bottom w:val="none" w:sz="0" w:space="0" w:color="auto"/>
            <w:right w:val="none" w:sz="0" w:space="0" w:color="auto"/>
          </w:divBdr>
        </w:div>
        <w:div w:id="2024703650">
          <w:marLeft w:val="1166"/>
          <w:marRight w:val="0"/>
          <w:marTop w:val="106"/>
          <w:marBottom w:val="0"/>
          <w:divBdr>
            <w:top w:val="none" w:sz="0" w:space="0" w:color="auto"/>
            <w:left w:val="none" w:sz="0" w:space="0" w:color="auto"/>
            <w:bottom w:val="none" w:sz="0" w:space="0" w:color="auto"/>
            <w:right w:val="none" w:sz="0" w:space="0" w:color="auto"/>
          </w:divBdr>
        </w:div>
        <w:div w:id="2024703970">
          <w:marLeft w:val="1166"/>
          <w:marRight w:val="0"/>
          <w:marTop w:val="106"/>
          <w:marBottom w:val="0"/>
          <w:divBdr>
            <w:top w:val="none" w:sz="0" w:space="0" w:color="auto"/>
            <w:left w:val="none" w:sz="0" w:space="0" w:color="auto"/>
            <w:bottom w:val="none" w:sz="0" w:space="0" w:color="auto"/>
            <w:right w:val="none" w:sz="0" w:space="0" w:color="auto"/>
          </w:divBdr>
        </w:div>
      </w:divsChild>
    </w:div>
    <w:div w:id="2024703793">
      <w:marLeft w:val="0"/>
      <w:marRight w:val="0"/>
      <w:marTop w:val="0"/>
      <w:marBottom w:val="0"/>
      <w:divBdr>
        <w:top w:val="none" w:sz="0" w:space="0" w:color="auto"/>
        <w:left w:val="none" w:sz="0" w:space="0" w:color="auto"/>
        <w:bottom w:val="none" w:sz="0" w:space="0" w:color="auto"/>
        <w:right w:val="none" w:sz="0" w:space="0" w:color="auto"/>
      </w:divBdr>
    </w:div>
    <w:div w:id="2024703833">
      <w:marLeft w:val="0"/>
      <w:marRight w:val="0"/>
      <w:marTop w:val="0"/>
      <w:marBottom w:val="0"/>
      <w:divBdr>
        <w:top w:val="none" w:sz="0" w:space="0" w:color="auto"/>
        <w:left w:val="none" w:sz="0" w:space="0" w:color="auto"/>
        <w:bottom w:val="none" w:sz="0" w:space="0" w:color="auto"/>
        <w:right w:val="none" w:sz="0" w:space="0" w:color="auto"/>
      </w:divBdr>
      <w:divsChild>
        <w:div w:id="2024699770">
          <w:marLeft w:val="0"/>
          <w:marRight w:val="0"/>
          <w:marTop w:val="0"/>
          <w:marBottom w:val="0"/>
          <w:divBdr>
            <w:top w:val="none" w:sz="0" w:space="0" w:color="auto"/>
            <w:left w:val="none" w:sz="0" w:space="0" w:color="auto"/>
            <w:bottom w:val="none" w:sz="0" w:space="0" w:color="auto"/>
            <w:right w:val="none" w:sz="0" w:space="0" w:color="auto"/>
          </w:divBdr>
        </w:div>
        <w:div w:id="2024699892">
          <w:marLeft w:val="0"/>
          <w:marRight w:val="0"/>
          <w:marTop w:val="0"/>
          <w:marBottom w:val="0"/>
          <w:divBdr>
            <w:top w:val="none" w:sz="0" w:space="0" w:color="auto"/>
            <w:left w:val="none" w:sz="0" w:space="0" w:color="auto"/>
            <w:bottom w:val="none" w:sz="0" w:space="0" w:color="auto"/>
            <w:right w:val="none" w:sz="0" w:space="0" w:color="auto"/>
          </w:divBdr>
        </w:div>
        <w:div w:id="2024704775">
          <w:marLeft w:val="0"/>
          <w:marRight w:val="0"/>
          <w:marTop w:val="0"/>
          <w:marBottom w:val="0"/>
          <w:divBdr>
            <w:top w:val="none" w:sz="0" w:space="0" w:color="auto"/>
            <w:left w:val="none" w:sz="0" w:space="0" w:color="auto"/>
            <w:bottom w:val="none" w:sz="0" w:space="0" w:color="auto"/>
            <w:right w:val="none" w:sz="0" w:space="0" w:color="auto"/>
          </w:divBdr>
        </w:div>
        <w:div w:id="2024705713">
          <w:marLeft w:val="0"/>
          <w:marRight w:val="0"/>
          <w:marTop w:val="0"/>
          <w:marBottom w:val="0"/>
          <w:divBdr>
            <w:top w:val="none" w:sz="0" w:space="0" w:color="auto"/>
            <w:left w:val="none" w:sz="0" w:space="0" w:color="auto"/>
            <w:bottom w:val="none" w:sz="0" w:space="0" w:color="auto"/>
            <w:right w:val="none" w:sz="0" w:space="0" w:color="auto"/>
          </w:divBdr>
        </w:div>
      </w:divsChild>
    </w:div>
    <w:div w:id="2024703889">
      <w:marLeft w:val="0"/>
      <w:marRight w:val="0"/>
      <w:marTop w:val="0"/>
      <w:marBottom w:val="0"/>
      <w:divBdr>
        <w:top w:val="none" w:sz="0" w:space="0" w:color="auto"/>
        <w:left w:val="none" w:sz="0" w:space="0" w:color="auto"/>
        <w:bottom w:val="none" w:sz="0" w:space="0" w:color="auto"/>
        <w:right w:val="none" w:sz="0" w:space="0" w:color="auto"/>
      </w:divBdr>
      <w:divsChild>
        <w:div w:id="2024704276">
          <w:marLeft w:val="0"/>
          <w:marRight w:val="0"/>
          <w:marTop w:val="0"/>
          <w:marBottom w:val="0"/>
          <w:divBdr>
            <w:top w:val="none" w:sz="0" w:space="0" w:color="auto"/>
            <w:left w:val="none" w:sz="0" w:space="0" w:color="auto"/>
            <w:bottom w:val="none" w:sz="0" w:space="0" w:color="auto"/>
            <w:right w:val="none" w:sz="0" w:space="0" w:color="auto"/>
          </w:divBdr>
        </w:div>
      </w:divsChild>
    </w:div>
    <w:div w:id="2024703958">
      <w:marLeft w:val="0"/>
      <w:marRight w:val="0"/>
      <w:marTop w:val="0"/>
      <w:marBottom w:val="0"/>
      <w:divBdr>
        <w:top w:val="none" w:sz="0" w:space="0" w:color="auto"/>
        <w:left w:val="none" w:sz="0" w:space="0" w:color="auto"/>
        <w:bottom w:val="none" w:sz="0" w:space="0" w:color="auto"/>
        <w:right w:val="none" w:sz="0" w:space="0" w:color="auto"/>
      </w:divBdr>
      <w:divsChild>
        <w:div w:id="2024703920">
          <w:marLeft w:val="1166"/>
          <w:marRight w:val="0"/>
          <w:marTop w:val="106"/>
          <w:marBottom w:val="0"/>
          <w:divBdr>
            <w:top w:val="none" w:sz="0" w:space="0" w:color="auto"/>
            <w:left w:val="none" w:sz="0" w:space="0" w:color="auto"/>
            <w:bottom w:val="none" w:sz="0" w:space="0" w:color="auto"/>
            <w:right w:val="none" w:sz="0" w:space="0" w:color="auto"/>
          </w:divBdr>
        </w:div>
        <w:div w:id="2024706023">
          <w:marLeft w:val="1166"/>
          <w:marRight w:val="0"/>
          <w:marTop w:val="106"/>
          <w:marBottom w:val="0"/>
          <w:divBdr>
            <w:top w:val="none" w:sz="0" w:space="0" w:color="auto"/>
            <w:left w:val="none" w:sz="0" w:space="0" w:color="auto"/>
            <w:bottom w:val="none" w:sz="0" w:space="0" w:color="auto"/>
            <w:right w:val="none" w:sz="0" w:space="0" w:color="auto"/>
          </w:divBdr>
        </w:div>
      </w:divsChild>
    </w:div>
    <w:div w:id="2024704005">
      <w:marLeft w:val="0"/>
      <w:marRight w:val="0"/>
      <w:marTop w:val="0"/>
      <w:marBottom w:val="0"/>
      <w:divBdr>
        <w:top w:val="none" w:sz="0" w:space="0" w:color="auto"/>
        <w:left w:val="none" w:sz="0" w:space="0" w:color="auto"/>
        <w:bottom w:val="none" w:sz="0" w:space="0" w:color="auto"/>
        <w:right w:val="none" w:sz="0" w:space="0" w:color="auto"/>
      </w:divBdr>
    </w:div>
    <w:div w:id="2024704038">
      <w:marLeft w:val="0"/>
      <w:marRight w:val="0"/>
      <w:marTop w:val="0"/>
      <w:marBottom w:val="0"/>
      <w:divBdr>
        <w:top w:val="none" w:sz="0" w:space="0" w:color="auto"/>
        <w:left w:val="none" w:sz="0" w:space="0" w:color="auto"/>
        <w:bottom w:val="none" w:sz="0" w:space="0" w:color="auto"/>
        <w:right w:val="none" w:sz="0" w:space="0" w:color="auto"/>
      </w:divBdr>
    </w:div>
    <w:div w:id="2024704047">
      <w:marLeft w:val="0"/>
      <w:marRight w:val="0"/>
      <w:marTop w:val="0"/>
      <w:marBottom w:val="0"/>
      <w:divBdr>
        <w:top w:val="none" w:sz="0" w:space="0" w:color="auto"/>
        <w:left w:val="none" w:sz="0" w:space="0" w:color="auto"/>
        <w:bottom w:val="none" w:sz="0" w:space="0" w:color="auto"/>
        <w:right w:val="none" w:sz="0" w:space="0" w:color="auto"/>
      </w:divBdr>
      <w:divsChild>
        <w:div w:id="2024700768">
          <w:marLeft w:val="1166"/>
          <w:marRight w:val="0"/>
          <w:marTop w:val="106"/>
          <w:marBottom w:val="0"/>
          <w:divBdr>
            <w:top w:val="none" w:sz="0" w:space="0" w:color="auto"/>
            <w:left w:val="none" w:sz="0" w:space="0" w:color="auto"/>
            <w:bottom w:val="none" w:sz="0" w:space="0" w:color="auto"/>
            <w:right w:val="none" w:sz="0" w:space="0" w:color="auto"/>
          </w:divBdr>
        </w:div>
        <w:div w:id="2024702159">
          <w:marLeft w:val="1166"/>
          <w:marRight w:val="0"/>
          <w:marTop w:val="106"/>
          <w:marBottom w:val="0"/>
          <w:divBdr>
            <w:top w:val="none" w:sz="0" w:space="0" w:color="auto"/>
            <w:left w:val="none" w:sz="0" w:space="0" w:color="auto"/>
            <w:bottom w:val="none" w:sz="0" w:space="0" w:color="auto"/>
            <w:right w:val="none" w:sz="0" w:space="0" w:color="auto"/>
          </w:divBdr>
        </w:div>
        <w:div w:id="2024702373">
          <w:marLeft w:val="1166"/>
          <w:marRight w:val="0"/>
          <w:marTop w:val="106"/>
          <w:marBottom w:val="0"/>
          <w:divBdr>
            <w:top w:val="none" w:sz="0" w:space="0" w:color="auto"/>
            <w:left w:val="none" w:sz="0" w:space="0" w:color="auto"/>
            <w:bottom w:val="none" w:sz="0" w:space="0" w:color="auto"/>
            <w:right w:val="none" w:sz="0" w:space="0" w:color="auto"/>
          </w:divBdr>
        </w:div>
      </w:divsChild>
    </w:div>
    <w:div w:id="2024704100">
      <w:marLeft w:val="0"/>
      <w:marRight w:val="0"/>
      <w:marTop w:val="0"/>
      <w:marBottom w:val="0"/>
      <w:divBdr>
        <w:top w:val="none" w:sz="0" w:space="0" w:color="auto"/>
        <w:left w:val="none" w:sz="0" w:space="0" w:color="auto"/>
        <w:bottom w:val="none" w:sz="0" w:space="0" w:color="auto"/>
        <w:right w:val="none" w:sz="0" w:space="0" w:color="auto"/>
      </w:divBdr>
    </w:div>
    <w:div w:id="2024704197">
      <w:marLeft w:val="0"/>
      <w:marRight w:val="0"/>
      <w:marTop w:val="0"/>
      <w:marBottom w:val="0"/>
      <w:divBdr>
        <w:top w:val="none" w:sz="0" w:space="0" w:color="auto"/>
        <w:left w:val="none" w:sz="0" w:space="0" w:color="auto"/>
        <w:bottom w:val="none" w:sz="0" w:space="0" w:color="auto"/>
        <w:right w:val="none" w:sz="0" w:space="0" w:color="auto"/>
      </w:divBdr>
    </w:div>
    <w:div w:id="2024704239">
      <w:marLeft w:val="0"/>
      <w:marRight w:val="0"/>
      <w:marTop w:val="0"/>
      <w:marBottom w:val="0"/>
      <w:divBdr>
        <w:top w:val="none" w:sz="0" w:space="0" w:color="auto"/>
        <w:left w:val="none" w:sz="0" w:space="0" w:color="auto"/>
        <w:bottom w:val="none" w:sz="0" w:space="0" w:color="auto"/>
        <w:right w:val="none" w:sz="0" w:space="0" w:color="auto"/>
      </w:divBdr>
    </w:div>
    <w:div w:id="2024704253">
      <w:marLeft w:val="0"/>
      <w:marRight w:val="0"/>
      <w:marTop w:val="0"/>
      <w:marBottom w:val="0"/>
      <w:divBdr>
        <w:top w:val="none" w:sz="0" w:space="0" w:color="auto"/>
        <w:left w:val="none" w:sz="0" w:space="0" w:color="auto"/>
        <w:bottom w:val="none" w:sz="0" w:space="0" w:color="auto"/>
        <w:right w:val="none" w:sz="0" w:space="0" w:color="auto"/>
      </w:divBdr>
    </w:div>
    <w:div w:id="2024704265">
      <w:marLeft w:val="0"/>
      <w:marRight w:val="0"/>
      <w:marTop w:val="0"/>
      <w:marBottom w:val="0"/>
      <w:divBdr>
        <w:top w:val="none" w:sz="0" w:space="0" w:color="auto"/>
        <w:left w:val="none" w:sz="0" w:space="0" w:color="auto"/>
        <w:bottom w:val="none" w:sz="0" w:space="0" w:color="auto"/>
        <w:right w:val="none" w:sz="0" w:space="0" w:color="auto"/>
      </w:divBdr>
    </w:div>
    <w:div w:id="2024704357">
      <w:marLeft w:val="0"/>
      <w:marRight w:val="0"/>
      <w:marTop w:val="0"/>
      <w:marBottom w:val="0"/>
      <w:divBdr>
        <w:top w:val="none" w:sz="0" w:space="0" w:color="auto"/>
        <w:left w:val="none" w:sz="0" w:space="0" w:color="auto"/>
        <w:bottom w:val="none" w:sz="0" w:space="0" w:color="auto"/>
        <w:right w:val="none" w:sz="0" w:space="0" w:color="auto"/>
      </w:divBdr>
      <w:divsChild>
        <w:div w:id="2024706002">
          <w:marLeft w:val="1166"/>
          <w:marRight w:val="0"/>
          <w:marTop w:val="106"/>
          <w:marBottom w:val="0"/>
          <w:divBdr>
            <w:top w:val="none" w:sz="0" w:space="0" w:color="auto"/>
            <w:left w:val="none" w:sz="0" w:space="0" w:color="auto"/>
            <w:bottom w:val="none" w:sz="0" w:space="0" w:color="auto"/>
            <w:right w:val="none" w:sz="0" w:space="0" w:color="auto"/>
          </w:divBdr>
        </w:div>
      </w:divsChild>
    </w:div>
    <w:div w:id="2024704395">
      <w:marLeft w:val="0"/>
      <w:marRight w:val="0"/>
      <w:marTop w:val="0"/>
      <w:marBottom w:val="0"/>
      <w:divBdr>
        <w:top w:val="none" w:sz="0" w:space="0" w:color="auto"/>
        <w:left w:val="none" w:sz="0" w:space="0" w:color="auto"/>
        <w:bottom w:val="none" w:sz="0" w:space="0" w:color="auto"/>
        <w:right w:val="none" w:sz="0" w:space="0" w:color="auto"/>
      </w:divBdr>
    </w:div>
    <w:div w:id="2024704426">
      <w:marLeft w:val="0"/>
      <w:marRight w:val="0"/>
      <w:marTop w:val="0"/>
      <w:marBottom w:val="0"/>
      <w:divBdr>
        <w:top w:val="none" w:sz="0" w:space="0" w:color="auto"/>
        <w:left w:val="none" w:sz="0" w:space="0" w:color="auto"/>
        <w:bottom w:val="none" w:sz="0" w:space="0" w:color="auto"/>
        <w:right w:val="none" w:sz="0" w:space="0" w:color="auto"/>
      </w:divBdr>
    </w:div>
    <w:div w:id="2024704439">
      <w:marLeft w:val="0"/>
      <w:marRight w:val="0"/>
      <w:marTop w:val="0"/>
      <w:marBottom w:val="0"/>
      <w:divBdr>
        <w:top w:val="none" w:sz="0" w:space="0" w:color="auto"/>
        <w:left w:val="none" w:sz="0" w:space="0" w:color="auto"/>
        <w:bottom w:val="none" w:sz="0" w:space="0" w:color="auto"/>
        <w:right w:val="none" w:sz="0" w:space="0" w:color="auto"/>
      </w:divBdr>
      <w:divsChild>
        <w:div w:id="2024703074">
          <w:marLeft w:val="1166"/>
          <w:marRight w:val="0"/>
          <w:marTop w:val="106"/>
          <w:marBottom w:val="0"/>
          <w:divBdr>
            <w:top w:val="none" w:sz="0" w:space="0" w:color="auto"/>
            <w:left w:val="none" w:sz="0" w:space="0" w:color="auto"/>
            <w:bottom w:val="none" w:sz="0" w:space="0" w:color="auto"/>
            <w:right w:val="none" w:sz="0" w:space="0" w:color="auto"/>
          </w:divBdr>
        </w:div>
        <w:div w:id="2024705073">
          <w:marLeft w:val="1166"/>
          <w:marRight w:val="0"/>
          <w:marTop w:val="106"/>
          <w:marBottom w:val="0"/>
          <w:divBdr>
            <w:top w:val="none" w:sz="0" w:space="0" w:color="auto"/>
            <w:left w:val="none" w:sz="0" w:space="0" w:color="auto"/>
            <w:bottom w:val="none" w:sz="0" w:space="0" w:color="auto"/>
            <w:right w:val="none" w:sz="0" w:space="0" w:color="auto"/>
          </w:divBdr>
        </w:div>
      </w:divsChild>
    </w:div>
    <w:div w:id="2024704455">
      <w:marLeft w:val="0"/>
      <w:marRight w:val="0"/>
      <w:marTop w:val="0"/>
      <w:marBottom w:val="0"/>
      <w:divBdr>
        <w:top w:val="none" w:sz="0" w:space="0" w:color="auto"/>
        <w:left w:val="none" w:sz="0" w:space="0" w:color="auto"/>
        <w:bottom w:val="none" w:sz="0" w:space="0" w:color="auto"/>
        <w:right w:val="none" w:sz="0" w:space="0" w:color="auto"/>
      </w:divBdr>
    </w:div>
    <w:div w:id="2024704532">
      <w:marLeft w:val="0"/>
      <w:marRight w:val="0"/>
      <w:marTop w:val="0"/>
      <w:marBottom w:val="0"/>
      <w:divBdr>
        <w:top w:val="none" w:sz="0" w:space="0" w:color="auto"/>
        <w:left w:val="none" w:sz="0" w:space="0" w:color="auto"/>
        <w:bottom w:val="none" w:sz="0" w:space="0" w:color="auto"/>
        <w:right w:val="none" w:sz="0" w:space="0" w:color="auto"/>
      </w:divBdr>
    </w:div>
    <w:div w:id="2024704544">
      <w:marLeft w:val="0"/>
      <w:marRight w:val="0"/>
      <w:marTop w:val="0"/>
      <w:marBottom w:val="0"/>
      <w:divBdr>
        <w:top w:val="none" w:sz="0" w:space="0" w:color="auto"/>
        <w:left w:val="none" w:sz="0" w:space="0" w:color="auto"/>
        <w:bottom w:val="none" w:sz="0" w:space="0" w:color="auto"/>
        <w:right w:val="none" w:sz="0" w:space="0" w:color="auto"/>
      </w:divBdr>
    </w:div>
    <w:div w:id="2024704578">
      <w:marLeft w:val="0"/>
      <w:marRight w:val="0"/>
      <w:marTop w:val="0"/>
      <w:marBottom w:val="0"/>
      <w:divBdr>
        <w:top w:val="none" w:sz="0" w:space="0" w:color="auto"/>
        <w:left w:val="none" w:sz="0" w:space="0" w:color="auto"/>
        <w:bottom w:val="none" w:sz="0" w:space="0" w:color="auto"/>
        <w:right w:val="none" w:sz="0" w:space="0" w:color="auto"/>
      </w:divBdr>
      <w:divsChild>
        <w:div w:id="2024702760">
          <w:marLeft w:val="0"/>
          <w:marRight w:val="0"/>
          <w:marTop w:val="0"/>
          <w:marBottom w:val="0"/>
          <w:divBdr>
            <w:top w:val="none" w:sz="0" w:space="0" w:color="auto"/>
            <w:left w:val="none" w:sz="0" w:space="0" w:color="auto"/>
            <w:bottom w:val="none" w:sz="0" w:space="0" w:color="auto"/>
            <w:right w:val="none" w:sz="0" w:space="0" w:color="auto"/>
          </w:divBdr>
        </w:div>
      </w:divsChild>
    </w:div>
    <w:div w:id="2024704724">
      <w:marLeft w:val="0"/>
      <w:marRight w:val="0"/>
      <w:marTop w:val="0"/>
      <w:marBottom w:val="0"/>
      <w:divBdr>
        <w:top w:val="none" w:sz="0" w:space="0" w:color="auto"/>
        <w:left w:val="none" w:sz="0" w:space="0" w:color="auto"/>
        <w:bottom w:val="none" w:sz="0" w:space="0" w:color="auto"/>
        <w:right w:val="none" w:sz="0" w:space="0" w:color="auto"/>
      </w:divBdr>
    </w:div>
    <w:div w:id="2024704740">
      <w:marLeft w:val="0"/>
      <w:marRight w:val="0"/>
      <w:marTop w:val="0"/>
      <w:marBottom w:val="0"/>
      <w:divBdr>
        <w:top w:val="none" w:sz="0" w:space="0" w:color="auto"/>
        <w:left w:val="none" w:sz="0" w:space="0" w:color="auto"/>
        <w:bottom w:val="none" w:sz="0" w:space="0" w:color="auto"/>
        <w:right w:val="none" w:sz="0" w:space="0" w:color="auto"/>
      </w:divBdr>
      <w:divsChild>
        <w:div w:id="2024699502">
          <w:marLeft w:val="0"/>
          <w:marRight w:val="0"/>
          <w:marTop w:val="0"/>
          <w:marBottom w:val="0"/>
          <w:divBdr>
            <w:top w:val="none" w:sz="0" w:space="0" w:color="auto"/>
            <w:left w:val="none" w:sz="0" w:space="0" w:color="auto"/>
            <w:bottom w:val="none" w:sz="0" w:space="0" w:color="auto"/>
            <w:right w:val="none" w:sz="0" w:space="0" w:color="auto"/>
          </w:divBdr>
        </w:div>
        <w:div w:id="2024700554">
          <w:marLeft w:val="0"/>
          <w:marRight w:val="0"/>
          <w:marTop w:val="0"/>
          <w:marBottom w:val="0"/>
          <w:divBdr>
            <w:top w:val="none" w:sz="0" w:space="0" w:color="auto"/>
            <w:left w:val="none" w:sz="0" w:space="0" w:color="auto"/>
            <w:bottom w:val="none" w:sz="0" w:space="0" w:color="auto"/>
            <w:right w:val="none" w:sz="0" w:space="0" w:color="auto"/>
          </w:divBdr>
        </w:div>
        <w:div w:id="2024701299">
          <w:marLeft w:val="0"/>
          <w:marRight w:val="0"/>
          <w:marTop w:val="0"/>
          <w:marBottom w:val="0"/>
          <w:divBdr>
            <w:top w:val="none" w:sz="0" w:space="0" w:color="auto"/>
            <w:left w:val="none" w:sz="0" w:space="0" w:color="auto"/>
            <w:bottom w:val="none" w:sz="0" w:space="0" w:color="auto"/>
            <w:right w:val="none" w:sz="0" w:space="0" w:color="auto"/>
          </w:divBdr>
        </w:div>
        <w:div w:id="2024702193">
          <w:marLeft w:val="0"/>
          <w:marRight w:val="0"/>
          <w:marTop w:val="0"/>
          <w:marBottom w:val="0"/>
          <w:divBdr>
            <w:top w:val="none" w:sz="0" w:space="0" w:color="auto"/>
            <w:left w:val="none" w:sz="0" w:space="0" w:color="auto"/>
            <w:bottom w:val="none" w:sz="0" w:space="0" w:color="auto"/>
            <w:right w:val="none" w:sz="0" w:space="0" w:color="auto"/>
          </w:divBdr>
        </w:div>
        <w:div w:id="2024703437">
          <w:marLeft w:val="0"/>
          <w:marRight w:val="0"/>
          <w:marTop w:val="0"/>
          <w:marBottom w:val="0"/>
          <w:divBdr>
            <w:top w:val="none" w:sz="0" w:space="0" w:color="auto"/>
            <w:left w:val="none" w:sz="0" w:space="0" w:color="auto"/>
            <w:bottom w:val="none" w:sz="0" w:space="0" w:color="auto"/>
            <w:right w:val="none" w:sz="0" w:space="0" w:color="auto"/>
          </w:divBdr>
        </w:div>
        <w:div w:id="2024703825">
          <w:marLeft w:val="0"/>
          <w:marRight w:val="0"/>
          <w:marTop w:val="0"/>
          <w:marBottom w:val="0"/>
          <w:divBdr>
            <w:top w:val="none" w:sz="0" w:space="0" w:color="auto"/>
            <w:left w:val="none" w:sz="0" w:space="0" w:color="auto"/>
            <w:bottom w:val="none" w:sz="0" w:space="0" w:color="auto"/>
            <w:right w:val="none" w:sz="0" w:space="0" w:color="auto"/>
          </w:divBdr>
        </w:div>
        <w:div w:id="2024704709">
          <w:marLeft w:val="0"/>
          <w:marRight w:val="0"/>
          <w:marTop w:val="0"/>
          <w:marBottom w:val="0"/>
          <w:divBdr>
            <w:top w:val="none" w:sz="0" w:space="0" w:color="auto"/>
            <w:left w:val="none" w:sz="0" w:space="0" w:color="auto"/>
            <w:bottom w:val="none" w:sz="0" w:space="0" w:color="auto"/>
            <w:right w:val="none" w:sz="0" w:space="0" w:color="auto"/>
          </w:divBdr>
        </w:div>
        <w:div w:id="2024704890">
          <w:marLeft w:val="0"/>
          <w:marRight w:val="0"/>
          <w:marTop w:val="0"/>
          <w:marBottom w:val="0"/>
          <w:divBdr>
            <w:top w:val="none" w:sz="0" w:space="0" w:color="auto"/>
            <w:left w:val="none" w:sz="0" w:space="0" w:color="auto"/>
            <w:bottom w:val="none" w:sz="0" w:space="0" w:color="auto"/>
            <w:right w:val="none" w:sz="0" w:space="0" w:color="auto"/>
          </w:divBdr>
        </w:div>
        <w:div w:id="2024706133">
          <w:marLeft w:val="0"/>
          <w:marRight w:val="0"/>
          <w:marTop w:val="0"/>
          <w:marBottom w:val="0"/>
          <w:divBdr>
            <w:top w:val="none" w:sz="0" w:space="0" w:color="auto"/>
            <w:left w:val="none" w:sz="0" w:space="0" w:color="auto"/>
            <w:bottom w:val="none" w:sz="0" w:space="0" w:color="auto"/>
            <w:right w:val="none" w:sz="0" w:space="0" w:color="auto"/>
          </w:divBdr>
        </w:div>
      </w:divsChild>
    </w:div>
    <w:div w:id="2024704833">
      <w:marLeft w:val="0"/>
      <w:marRight w:val="0"/>
      <w:marTop w:val="0"/>
      <w:marBottom w:val="0"/>
      <w:divBdr>
        <w:top w:val="none" w:sz="0" w:space="0" w:color="auto"/>
        <w:left w:val="none" w:sz="0" w:space="0" w:color="auto"/>
        <w:bottom w:val="none" w:sz="0" w:space="0" w:color="auto"/>
        <w:right w:val="none" w:sz="0" w:space="0" w:color="auto"/>
      </w:divBdr>
    </w:div>
    <w:div w:id="2024704840">
      <w:marLeft w:val="0"/>
      <w:marRight w:val="0"/>
      <w:marTop w:val="0"/>
      <w:marBottom w:val="0"/>
      <w:divBdr>
        <w:top w:val="none" w:sz="0" w:space="0" w:color="auto"/>
        <w:left w:val="none" w:sz="0" w:space="0" w:color="auto"/>
        <w:bottom w:val="none" w:sz="0" w:space="0" w:color="auto"/>
        <w:right w:val="none" w:sz="0" w:space="0" w:color="auto"/>
      </w:divBdr>
      <w:divsChild>
        <w:div w:id="2024703930">
          <w:marLeft w:val="0"/>
          <w:marRight w:val="0"/>
          <w:marTop w:val="0"/>
          <w:marBottom w:val="0"/>
          <w:divBdr>
            <w:top w:val="none" w:sz="0" w:space="0" w:color="auto"/>
            <w:left w:val="none" w:sz="0" w:space="0" w:color="auto"/>
            <w:bottom w:val="none" w:sz="0" w:space="0" w:color="auto"/>
            <w:right w:val="none" w:sz="0" w:space="0" w:color="auto"/>
          </w:divBdr>
        </w:div>
      </w:divsChild>
    </w:div>
    <w:div w:id="2024704901">
      <w:marLeft w:val="0"/>
      <w:marRight w:val="0"/>
      <w:marTop w:val="0"/>
      <w:marBottom w:val="0"/>
      <w:divBdr>
        <w:top w:val="none" w:sz="0" w:space="0" w:color="auto"/>
        <w:left w:val="none" w:sz="0" w:space="0" w:color="auto"/>
        <w:bottom w:val="none" w:sz="0" w:space="0" w:color="auto"/>
        <w:right w:val="none" w:sz="0" w:space="0" w:color="auto"/>
      </w:divBdr>
    </w:div>
    <w:div w:id="2024704911">
      <w:marLeft w:val="0"/>
      <w:marRight w:val="0"/>
      <w:marTop w:val="0"/>
      <w:marBottom w:val="0"/>
      <w:divBdr>
        <w:top w:val="none" w:sz="0" w:space="0" w:color="auto"/>
        <w:left w:val="none" w:sz="0" w:space="0" w:color="auto"/>
        <w:bottom w:val="none" w:sz="0" w:space="0" w:color="auto"/>
        <w:right w:val="none" w:sz="0" w:space="0" w:color="auto"/>
      </w:divBdr>
    </w:div>
    <w:div w:id="2024704941">
      <w:marLeft w:val="0"/>
      <w:marRight w:val="0"/>
      <w:marTop w:val="0"/>
      <w:marBottom w:val="0"/>
      <w:divBdr>
        <w:top w:val="none" w:sz="0" w:space="0" w:color="auto"/>
        <w:left w:val="none" w:sz="0" w:space="0" w:color="auto"/>
        <w:bottom w:val="none" w:sz="0" w:space="0" w:color="auto"/>
        <w:right w:val="none" w:sz="0" w:space="0" w:color="auto"/>
      </w:divBdr>
    </w:div>
    <w:div w:id="2024704997">
      <w:marLeft w:val="0"/>
      <w:marRight w:val="0"/>
      <w:marTop w:val="0"/>
      <w:marBottom w:val="0"/>
      <w:divBdr>
        <w:top w:val="none" w:sz="0" w:space="0" w:color="auto"/>
        <w:left w:val="none" w:sz="0" w:space="0" w:color="auto"/>
        <w:bottom w:val="none" w:sz="0" w:space="0" w:color="auto"/>
        <w:right w:val="none" w:sz="0" w:space="0" w:color="auto"/>
      </w:divBdr>
    </w:div>
    <w:div w:id="2024705055">
      <w:marLeft w:val="0"/>
      <w:marRight w:val="0"/>
      <w:marTop w:val="0"/>
      <w:marBottom w:val="0"/>
      <w:divBdr>
        <w:top w:val="none" w:sz="0" w:space="0" w:color="auto"/>
        <w:left w:val="none" w:sz="0" w:space="0" w:color="auto"/>
        <w:bottom w:val="none" w:sz="0" w:space="0" w:color="auto"/>
        <w:right w:val="none" w:sz="0" w:space="0" w:color="auto"/>
      </w:divBdr>
      <w:divsChild>
        <w:div w:id="2024701370">
          <w:marLeft w:val="1382"/>
          <w:marRight w:val="0"/>
          <w:marTop w:val="106"/>
          <w:marBottom w:val="0"/>
          <w:divBdr>
            <w:top w:val="none" w:sz="0" w:space="0" w:color="auto"/>
            <w:left w:val="none" w:sz="0" w:space="0" w:color="auto"/>
            <w:bottom w:val="none" w:sz="0" w:space="0" w:color="auto"/>
            <w:right w:val="none" w:sz="0" w:space="0" w:color="auto"/>
          </w:divBdr>
        </w:div>
        <w:div w:id="2024706158">
          <w:marLeft w:val="1382"/>
          <w:marRight w:val="0"/>
          <w:marTop w:val="106"/>
          <w:marBottom w:val="0"/>
          <w:divBdr>
            <w:top w:val="none" w:sz="0" w:space="0" w:color="auto"/>
            <w:left w:val="none" w:sz="0" w:space="0" w:color="auto"/>
            <w:bottom w:val="none" w:sz="0" w:space="0" w:color="auto"/>
            <w:right w:val="none" w:sz="0" w:space="0" w:color="auto"/>
          </w:divBdr>
        </w:div>
      </w:divsChild>
    </w:div>
    <w:div w:id="2024705101">
      <w:marLeft w:val="0"/>
      <w:marRight w:val="0"/>
      <w:marTop w:val="0"/>
      <w:marBottom w:val="0"/>
      <w:divBdr>
        <w:top w:val="none" w:sz="0" w:space="0" w:color="auto"/>
        <w:left w:val="none" w:sz="0" w:space="0" w:color="auto"/>
        <w:bottom w:val="none" w:sz="0" w:space="0" w:color="auto"/>
        <w:right w:val="none" w:sz="0" w:space="0" w:color="auto"/>
      </w:divBdr>
    </w:div>
    <w:div w:id="2024705155">
      <w:marLeft w:val="0"/>
      <w:marRight w:val="0"/>
      <w:marTop w:val="0"/>
      <w:marBottom w:val="0"/>
      <w:divBdr>
        <w:top w:val="none" w:sz="0" w:space="0" w:color="auto"/>
        <w:left w:val="none" w:sz="0" w:space="0" w:color="auto"/>
        <w:bottom w:val="none" w:sz="0" w:space="0" w:color="auto"/>
        <w:right w:val="none" w:sz="0" w:space="0" w:color="auto"/>
      </w:divBdr>
      <w:divsChild>
        <w:div w:id="2024699549">
          <w:marLeft w:val="0"/>
          <w:marRight w:val="0"/>
          <w:marTop w:val="0"/>
          <w:marBottom w:val="0"/>
          <w:divBdr>
            <w:top w:val="none" w:sz="0" w:space="0" w:color="auto"/>
            <w:left w:val="none" w:sz="0" w:space="0" w:color="auto"/>
            <w:bottom w:val="none" w:sz="0" w:space="0" w:color="auto"/>
            <w:right w:val="none" w:sz="0" w:space="0" w:color="auto"/>
          </w:divBdr>
        </w:div>
        <w:div w:id="2024699687">
          <w:marLeft w:val="0"/>
          <w:marRight w:val="0"/>
          <w:marTop w:val="0"/>
          <w:marBottom w:val="0"/>
          <w:divBdr>
            <w:top w:val="none" w:sz="0" w:space="0" w:color="auto"/>
            <w:left w:val="none" w:sz="0" w:space="0" w:color="auto"/>
            <w:bottom w:val="none" w:sz="0" w:space="0" w:color="auto"/>
            <w:right w:val="none" w:sz="0" w:space="0" w:color="auto"/>
          </w:divBdr>
        </w:div>
        <w:div w:id="2024700834">
          <w:marLeft w:val="0"/>
          <w:marRight w:val="0"/>
          <w:marTop w:val="0"/>
          <w:marBottom w:val="0"/>
          <w:divBdr>
            <w:top w:val="none" w:sz="0" w:space="0" w:color="auto"/>
            <w:left w:val="none" w:sz="0" w:space="0" w:color="auto"/>
            <w:bottom w:val="none" w:sz="0" w:space="0" w:color="auto"/>
            <w:right w:val="none" w:sz="0" w:space="0" w:color="auto"/>
          </w:divBdr>
        </w:div>
        <w:div w:id="2024704974">
          <w:marLeft w:val="0"/>
          <w:marRight w:val="0"/>
          <w:marTop w:val="0"/>
          <w:marBottom w:val="0"/>
          <w:divBdr>
            <w:top w:val="none" w:sz="0" w:space="0" w:color="auto"/>
            <w:left w:val="none" w:sz="0" w:space="0" w:color="auto"/>
            <w:bottom w:val="none" w:sz="0" w:space="0" w:color="auto"/>
            <w:right w:val="none" w:sz="0" w:space="0" w:color="auto"/>
          </w:divBdr>
        </w:div>
      </w:divsChild>
    </w:div>
    <w:div w:id="2024705196">
      <w:marLeft w:val="0"/>
      <w:marRight w:val="0"/>
      <w:marTop w:val="0"/>
      <w:marBottom w:val="0"/>
      <w:divBdr>
        <w:top w:val="none" w:sz="0" w:space="0" w:color="auto"/>
        <w:left w:val="none" w:sz="0" w:space="0" w:color="auto"/>
        <w:bottom w:val="none" w:sz="0" w:space="0" w:color="auto"/>
        <w:right w:val="none" w:sz="0" w:space="0" w:color="auto"/>
      </w:divBdr>
      <w:divsChild>
        <w:div w:id="2024700672">
          <w:marLeft w:val="1166"/>
          <w:marRight w:val="0"/>
          <w:marTop w:val="106"/>
          <w:marBottom w:val="0"/>
          <w:divBdr>
            <w:top w:val="none" w:sz="0" w:space="0" w:color="auto"/>
            <w:left w:val="none" w:sz="0" w:space="0" w:color="auto"/>
            <w:bottom w:val="none" w:sz="0" w:space="0" w:color="auto"/>
            <w:right w:val="none" w:sz="0" w:space="0" w:color="auto"/>
          </w:divBdr>
        </w:div>
      </w:divsChild>
    </w:div>
    <w:div w:id="2024705211">
      <w:marLeft w:val="0"/>
      <w:marRight w:val="0"/>
      <w:marTop w:val="0"/>
      <w:marBottom w:val="0"/>
      <w:divBdr>
        <w:top w:val="none" w:sz="0" w:space="0" w:color="auto"/>
        <w:left w:val="none" w:sz="0" w:space="0" w:color="auto"/>
        <w:bottom w:val="none" w:sz="0" w:space="0" w:color="auto"/>
        <w:right w:val="none" w:sz="0" w:space="0" w:color="auto"/>
      </w:divBdr>
    </w:div>
    <w:div w:id="2024705217">
      <w:marLeft w:val="0"/>
      <w:marRight w:val="0"/>
      <w:marTop w:val="0"/>
      <w:marBottom w:val="0"/>
      <w:divBdr>
        <w:top w:val="none" w:sz="0" w:space="0" w:color="auto"/>
        <w:left w:val="none" w:sz="0" w:space="0" w:color="auto"/>
        <w:bottom w:val="none" w:sz="0" w:space="0" w:color="auto"/>
        <w:right w:val="none" w:sz="0" w:space="0" w:color="auto"/>
      </w:divBdr>
      <w:divsChild>
        <w:div w:id="2024701393">
          <w:marLeft w:val="0"/>
          <w:marRight w:val="0"/>
          <w:marTop w:val="0"/>
          <w:marBottom w:val="0"/>
          <w:divBdr>
            <w:top w:val="none" w:sz="0" w:space="0" w:color="auto"/>
            <w:left w:val="none" w:sz="0" w:space="0" w:color="auto"/>
            <w:bottom w:val="none" w:sz="0" w:space="0" w:color="auto"/>
            <w:right w:val="none" w:sz="0" w:space="0" w:color="auto"/>
          </w:divBdr>
          <w:divsChild>
            <w:div w:id="2024705097">
              <w:marLeft w:val="0"/>
              <w:marRight w:val="0"/>
              <w:marTop w:val="0"/>
              <w:marBottom w:val="0"/>
              <w:divBdr>
                <w:top w:val="none" w:sz="0" w:space="0" w:color="auto"/>
                <w:left w:val="none" w:sz="0" w:space="0" w:color="auto"/>
                <w:bottom w:val="none" w:sz="0" w:space="0" w:color="auto"/>
                <w:right w:val="none" w:sz="0" w:space="0" w:color="auto"/>
              </w:divBdr>
              <w:divsChild>
                <w:div w:id="2024703274">
                  <w:marLeft w:val="0"/>
                  <w:marRight w:val="0"/>
                  <w:marTop w:val="0"/>
                  <w:marBottom w:val="0"/>
                  <w:divBdr>
                    <w:top w:val="none" w:sz="0" w:space="0" w:color="auto"/>
                    <w:left w:val="none" w:sz="0" w:space="0" w:color="auto"/>
                    <w:bottom w:val="none" w:sz="0" w:space="0" w:color="auto"/>
                    <w:right w:val="none" w:sz="0" w:space="0" w:color="auto"/>
                  </w:divBdr>
                  <w:divsChild>
                    <w:div w:id="2024700507">
                      <w:marLeft w:val="0"/>
                      <w:marRight w:val="0"/>
                      <w:marTop w:val="0"/>
                      <w:marBottom w:val="0"/>
                      <w:divBdr>
                        <w:top w:val="none" w:sz="0" w:space="0" w:color="auto"/>
                        <w:left w:val="none" w:sz="0" w:space="0" w:color="auto"/>
                        <w:bottom w:val="none" w:sz="0" w:space="0" w:color="auto"/>
                        <w:right w:val="none" w:sz="0" w:space="0" w:color="auto"/>
                      </w:divBdr>
                      <w:divsChild>
                        <w:div w:id="20247055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24705270">
      <w:marLeft w:val="0"/>
      <w:marRight w:val="0"/>
      <w:marTop w:val="0"/>
      <w:marBottom w:val="0"/>
      <w:divBdr>
        <w:top w:val="none" w:sz="0" w:space="0" w:color="auto"/>
        <w:left w:val="none" w:sz="0" w:space="0" w:color="auto"/>
        <w:bottom w:val="none" w:sz="0" w:space="0" w:color="auto"/>
        <w:right w:val="none" w:sz="0" w:space="0" w:color="auto"/>
      </w:divBdr>
    </w:div>
    <w:div w:id="2024705347">
      <w:marLeft w:val="0"/>
      <w:marRight w:val="0"/>
      <w:marTop w:val="0"/>
      <w:marBottom w:val="0"/>
      <w:divBdr>
        <w:top w:val="none" w:sz="0" w:space="0" w:color="auto"/>
        <w:left w:val="none" w:sz="0" w:space="0" w:color="auto"/>
        <w:bottom w:val="none" w:sz="0" w:space="0" w:color="auto"/>
        <w:right w:val="none" w:sz="0" w:space="0" w:color="auto"/>
      </w:divBdr>
    </w:div>
    <w:div w:id="2024705414">
      <w:marLeft w:val="0"/>
      <w:marRight w:val="0"/>
      <w:marTop w:val="0"/>
      <w:marBottom w:val="0"/>
      <w:divBdr>
        <w:top w:val="none" w:sz="0" w:space="0" w:color="auto"/>
        <w:left w:val="none" w:sz="0" w:space="0" w:color="auto"/>
        <w:bottom w:val="none" w:sz="0" w:space="0" w:color="auto"/>
        <w:right w:val="none" w:sz="0" w:space="0" w:color="auto"/>
      </w:divBdr>
    </w:div>
    <w:div w:id="2024705428">
      <w:marLeft w:val="0"/>
      <w:marRight w:val="0"/>
      <w:marTop w:val="0"/>
      <w:marBottom w:val="0"/>
      <w:divBdr>
        <w:top w:val="none" w:sz="0" w:space="0" w:color="auto"/>
        <w:left w:val="none" w:sz="0" w:space="0" w:color="auto"/>
        <w:bottom w:val="none" w:sz="0" w:space="0" w:color="auto"/>
        <w:right w:val="none" w:sz="0" w:space="0" w:color="auto"/>
      </w:divBdr>
      <w:divsChild>
        <w:div w:id="2024701794">
          <w:marLeft w:val="1166"/>
          <w:marRight w:val="0"/>
          <w:marTop w:val="106"/>
          <w:marBottom w:val="0"/>
          <w:divBdr>
            <w:top w:val="none" w:sz="0" w:space="0" w:color="auto"/>
            <w:left w:val="none" w:sz="0" w:space="0" w:color="auto"/>
            <w:bottom w:val="none" w:sz="0" w:space="0" w:color="auto"/>
            <w:right w:val="none" w:sz="0" w:space="0" w:color="auto"/>
          </w:divBdr>
        </w:div>
      </w:divsChild>
    </w:div>
    <w:div w:id="2024705431">
      <w:marLeft w:val="0"/>
      <w:marRight w:val="0"/>
      <w:marTop w:val="0"/>
      <w:marBottom w:val="0"/>
      <w:divBdr>
        <w:top w:val="none" w:sz="0" w:space="0" w:color="auto"/>
        <w:left w:val="none" w:sz="0" w:space="0" w:color="auto"/>
        <w:bottom w:val="none" w:sz="0" w:space="0" w:color="auto"/>
        <w:right w:val="none" w:sz="0" w:space="0" w:color="auto"/>
      </w:divBdr>
      <w:divsChild>
        <w:div w:id="2024700749">
          <w:marLeft w:val="0"/>
          <w:marRight w:val="0"/>
          <w:marTop w:val="0"/>
          <w:marBottom w:val="0"/>
          <w:divBdr>
            <w:top w:val="none" w:sz="0" w:space="0" w:color="auto"/>
            <w:left w:val="none" w:sz="0" w:space="0" w:color="auto"/>
            <w:bottom w:val="none" w:sz="0" w:space="0" w:color="auto"/>
            <w:right w:val="none" w:sz="0" w:space="0" w:color="auto"/>
          </w:divBdr>
          <w:divsChild>
            <w:div w:id="2024703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4705478">
      <w:marLeft w:val="0"/>
      <w:marRight w:val="0"/>
      <w:marTop w:val="0"/>
      <w:marBottom w:val="0"/>
      <w:divBdr>
        <w:top w:val="none" w:sz="0" w:space="0" w:color="auto"/>
        <w:left w:val="none" w:sz="0" w:space="0" w:color="auto"/>
        <w:bottom w:val="none" w:sz="0" w:space="0" w:color="auto"/>
        <w:right w:val="none" w:sz="0" w:space="0" w:color="auto"/>
      </w:divBdr>
      <w:divsChild>
        <w:div w:id="2024701482">
          <w:marLeft w:val="165"/>
          <w:marRight w:val="0"/>
          <w:marTop w:val="0"/>
          <w:marBottom w:val="0"/>
          <w:divBdr>
            <w:top w:val="none" w:sz="0" w:space="0" w:color="auto"/>
            <w:left w:val="none" w:sz="0" w:space="0" w:color="auto"/>
            <w:bottom w:val="none" w:sz="0" w:space="0" w:color="auto"/>
            <w:right w:val="none" w:sz="0" w:space="0" w:color="auto"/>
          </w:divBdr>
          <w:divsChild>
            <w:div w:id="2024701827">
              <w:marLeft w:val="0"/>
              <w:marRight w:val="0"/>
              <w:marTop w:val="0"/>
              <w:marBottom w:val="0"/>
              <w:divBdr>
                <w:top w:val="none" w:sz="0" w:space="0" w:color="auto"/>
                <w:left w:val="none" w:sz="0" w:space="0" w:color="auto"/>
                <w:bottom w:val="none" w:sz="0" w:space="0" w:color="auto"/>
                <w:right w:val="none" w:sz="0" w:space="0" w:color="auto"/>
              </w:divBdr>
              <w:divsChild>
                <w:div w:id="20246993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4705356">
          <w:marLeft w:val="165"/>
          <w:marRight w:val="0"/>
          <w:marTop w:val="0"/>
          <w:marBottom w:val="0"/>
          <w:divBdr>
            <w:top w:val="none" w:sz="0" w:space="0" w:color="auto"/>
            <w:left w:val="none" w:sz="0" w:space="0" w:color="auto"/>
            <w:bottom w:val="none" w:sz="0" w:space="0" w:color="auto"/>
            <w:right w:val="none" w:sz="0" w:space="0" w:color="auto"/>
          </w:divBdr>
          <w:divsChild>
            <w:div w:id="2024703995">
              <w:marLeft w:val="0"/>
              <w:marRight w:val="0"/>
              <w:marTop w:val="0"/>
              <w:marBottom w:val="0"/>
              <w:divBdr>
                <w:top w:val="none" w:sz="0" w:space="0" w:color="auto"/>
                <w:left w:val="none" w:sz="0" w:space="0" w:color="auto"/>
                <w:bottom w:val="none" w:sz="0" w:space="0" w:color="auto"/>
                <w:right w:val="none" w:sz="0" w:space="0" w:color="auto"/>
              </w:divBdr>
              <w:divsChild>
                <w:div w:id="2024699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4705521">
      <w:marLeft w:val="0"/>
      <w:marRight w:val="0"/>
      <w:marTop w:val="0"/>
      <w:marBottom w:val="0"/>
      <w:divBdr>
        <w:top w:val="none" w:sz="0" w:space="0" w:color="auto"/>
        <w:left w:val="none" w:sz="0" w:space="0" w:color="auto"/>
        <w:bottom w:val="none" w:sz="0" w:space="0" w:color="auto"/>
        <w:right w:val="none" w:sz="0" w:space="0" w:color="auto"/>
      </w:divBdr>
    </w:div>
    <w:div w:id="2024705537">
      <w:marLeft w:val="0"/>
      <w:marRight w:val="0"/>
      <w:marTop w:val="0"/>
      <w:marBottom w:val="0"/>
      <w:divBdr>
        <w:top w:val="none" w:sz="0" w:space="0" w:color="auto"/>
        <w:left w:val="none" w:sz="0" w:space="0" w:color="auto"/>
        <w:bottom w:val="none" w:sz="0" w:space="0" w:color="auto"/>
        <w:right w:val="none" w:sz="0" w:space="0" w:color="auto"/>
      </w:divBdr>
    </w:div>
    <w:div w:id="2024705583">
      <w:marLeft w:val="0"/>
      <w:marRight w:val="0"/>
      <w:marTop w:val="0"/>
      <w:marBottom w:val="0"/>
      <w:divBdr>
        <w:top w:val="none" w:sz="0" w:space="0" w:color="auto"/>
        <w:left w:val="none" w:sz="0" w:space="0" w:color="auto"/>
        <w:bottom w:val="none" w:sz="0" w:space="0" w:color="auto"/>
        <w:right w:val="none" w:sz="0" w:space="0" w:color="auto"/>
      </w:divBdr>
    </w:div>
    <w:div w:id="2024705606">
      <w:marLeft w:val="0"/>
      <w:marRight w:val="0"/>
      <w:marTop w:val="0"/>
      <w:marBottom w:val="0"/>
      <w:divBdr>
        <w:top w:val="none" w:sz="0" w:space="0" w:color="auto"/>
        <w:left w:val="none" w:sz="0" w:space="0" w:color="auto"/>
        <w:bottom w:val="none" w:sz="0" w:space="0" w:color="auto"/>
        <w:right w:val="none" w:sz="0" w:space="0" w:color="auto"/>
      </w:divBdr>
    </w:div>
    <w:div w:id="2024705607">
      <w:marLeft w:val="0"/>
      <w:marRight w:val="0"/>
      <w:marTop w:val="0"/>
      <w:marBottom w:val="0"/>
      <w:divBdr>
        <w:top w:val="none" w:sz="0" w:space="0" w:color="auto"/>
        <w:left w:val="none" w:sz="0" w:space="0" w:color="auto"/>
        <w:bottom w:val="none" w:sz="0" w:space="0" w:color="auto"/>
        <w:right w:val="none" w:sz="0" w:space="0" w:color="auto"/>
      </w:divBdr>
    </w:div>
    <w:div w:id="2024705610">
      <w:marLeft w:val="0"/>
      <w:marRight w:val="0"/>
      <w:marTop w:val="0"/>
      <w:marBottom w:val="0"/>
      <w:divBdr>
        <w:top w:val="none" w:sz="0" w:space="0" w:color="auto"/>
        <w:left w:val="none" w:sz="0" w:space="0" w:color="auto"/>
        <w:bottom w:val="none" w:sz="0" w:space="0" w:color="auto"/>
        <w:right w:val="none" w:sz="0" w:space="0" w:color="auto"/>
      </w:divBdr>
      <w:divsChild>
        <w:div w:id="2024699404">
          <w:marLeft w:val="432"/>
          <w:marRight w:val="0"/>
          <w:marTop w:val="240"/>
          <w:marBottom w:val="0"/>
          <w:divBdr>
            <w:top w:val="none" w:sz="0" w:space="0" w:color="auto"/>
            <w:left w:val="none" w:sz="0" w:space="0" w:color="auto"/>
            <w:bottom w:val="none" w:sz="0" w:space="0" w:color="auto"/>
            <w:right w:val="none" w:sz="0" w:space="0" w:color="auto"/>
          </w:divBdr>
        </w:div>
      </w:divsChild>
    </w:div>
    <w:div w:id="2024705628">
      <w:marLeft w:val="0"/>
      <w:marRight w:val="0"/>
      <w:marTop w:val="0"/>
      <w:marBottom w:val="0"/>
      <w:divBdr>
        <w:top w:val="none" w:sz="0" w:space="0" w:color="auto"/>
        <w:left w:val="none" w:sz="0" w:space="0" w:color="auto"/>
        <w:bottom w:val="none" w:sz="0" w:space="0" w:color="auto"/>
        <w:right w:val="none" w:sz="0" w:space="0" w:color="auto"/>
      </w:divBdr>
    </w:div>
    <w:div w:id="2024705652">
      <w:marLeft w:val="0"/>
      <w:marRight w:val="0"/>
      <w:marTop w:val="0"/>
      <w:marBottom w:val="0"/>
      <w:divBdr>
        <w:top w:val="none" w:sz="0" w:space="0" w:color="auto"/>
        <w:left w:val="none" w:sz="0" w:space="0" w:color="auto"/>
        <w:bottom w:val="none" w:sz="0" w:space="0" w:color="auto"/>
        <w:right w:val="none" w:sz="0" w:space="0" w:color="auto"/>
      </w:divBdr>
    </w:div>
    <w:div w:id="2024705691">
      <w:marLeft w:val="0"/>
      <w:marRight w:val="0"/>
      <w:marTop w:val="0"/>
      <w:marBottom w:val="0"/>
      <w:divBdr>
        <w:top w:val="none" w:sz="0" w:space="0" w:color="auto"/>
        <w:left w:val="none" w:sz="0" w:space="0" w:color="auto"/>
        <w:bottom w:val="none" w:sz="0" w:space="0" w:color="auto"/>
        <w:right w:val="none" w:sz="0" w:space="0" w:color="auto"/>
      </w:divBdr>
    </w:div>
    <w:div w:id="2024705703">
      <w:marLeft w:val="0"/>
      <w:marRight w:val="0"/>
      <w:marTop w:val="0"/>
      <w:marBottom w:val="0"/>
      <w:divBdr>
        <w:top w:val="none" w:sz="0" w:space="0" w:color="auto"/>
        <w:left w:val="none" w:sz="0" w:space="0" w:color="auto"/>
        <w:bottom w:val="none" w:sz="0" w:space="0" w:color="auto"/>
        <w:right w:val="none" w:sz="0" w:space="0" w:color="auto"/>
      </w:divBdr>
    </w:div>
    <w:div w:id="2024705728">
      <w:marLeft w:val="0"/>
      <w:marRight w:val="0"/>
      <w:marTop w:val="0"/>
      <w:marBottom w:val="0"/>
      <w:divBdr>
        <w:top w:val="none" w:sz="0" w:space="0" w:color="auto"/>
        <w:left w:val="none" w:sz="0" w:space="0" w:color="auto"/>
        <w:bottom w:val="none" w:sz="0" w:space="0" w:color="auto"/>
        <w:right w:val="none" w:sz="0" w:space="0" w:color="auto"/>
      </w:divBdr>
    </w:div>
    <w:div w:id="2024705809">
      <w:marLeft w:val="0"/>
      <w:marRight w:val="0"/>
      <w:marTop w:val="0"/>
      <w:marBottom w:val="0"/>
      <w:divBdr>
        <w:top w:val="none" w:sz="0" w:space="0" w:color="auto"/>
        <w:left w:val="none" w:sz="0" w:space="0" w:color="auto"/>
        <w:bottom w:val="none" w:sz="0" w:space="0" w:color="auto"/>
        <w:right w:val="none" w:sz="0" w:space="0" w:color="auto"/>
      </w:divBdr>
    </w:div>
    <w:div w:id="2024705880">
      <w:marLeft w:val="0"/>
      <w:marRight w:val="0"/>
      <w:marTop w:val="0"/>
      <w:marBottom w:val="0"/>
      <w:divBdr>
        <w:top w:val="none" w:sz="0" w:space="0" w:color="auto"/>
        <w:left w:val="none" w:sz="0" w:space="0" w:color="auto"/>
        <w:bottom w:val="none" w:sz="0" w:space="0" w:color="auto"/>
        <w:right w:val="none" w:sz="0" w:space="0" w:color="auto"/>
      </w:divBdr>
    </w:div>
    <w:div w:id="2024705893">
      <w:marLeft w:val="0"/>
      <w:marRight w:val="0"/>
      <w:marTop w:val="0"/>
      <w:marBottom w:val="0"/>
      <w:divBdr>
        <w:top w:val="none" w:sz="0" w:space="0" w:color="auto"/>
        <w:left w:val="none" w:sz="0" w:space="0" w:color="auto"/>
        <w:bottom w:val="none" w:sz="0" w:space="0" w:color="auto"/>
        <w:right w:val="none" w:sz="0" w:space="0" w:color="auto"/>
      </w:divBdr>
    </w:div>
    <w:div w:id="2024705900">
      <w:marLeft w:val="0"/>
      <w:marRight w:val="0"/>
      <w:marTop w:val="0"/>
      <w:marBottom w:val="0"/>
      <w:divBdr>
        <w:top w:val="none" w:sz="0" w:space="0" w:color="auto"/>
        <w:left w:val="none" w:sz="0" w:space="0" w:color="auto"/>
        <w:bottom w:val="none" w:sz="0" w:space="0" w:color="auto"/>
        <w:right w:val="none" w:sz="0" w:space="0" w:color="auto"/>
      </w:divBdr>
    </w:div>
    <w:div w:id="2024705902">
      <w:marLeft w:val="0"/>
      <w:marRight w:val="0"/>
      <w:marTop w:val="0"/>
      <w:marBottom w:val="0"/>
      <w:divBdr>
        <w:top w:val="none" w:sz="0" w:space="0" w:color="auto"/>
        <w:left w:val="none" w:sz="0" w:space="0" w:color="auto"/>
        <w:bottom w:val="none" w:sz="0" w:space="0" w:color="auto"/>
        <w:right w:val="none" w:sz="0" w:space="0" w:color="auto"/>
      </w:divBdr>
    </w:div>
    <w:div w:id="2024706019">
      <w:marLeft w:val="0"/>
      <w:marRight w:val="0"/>
      <w:marTop w:val="0"/>
      <w:marBottom w:val="0"/>
      <w:divBdr>
        <w:top w:val="none" w:sz="0" w:space="0" w:color="auto"/>
        <w:left w:val="none" w:sz="0" w:space="0" w:color="auto"/>
        <w:bottom w:val="none" w:sz="0" w:space="0" w:color="auto"/>
        <w:right w:val="none" w:sz="0" w:space="0" w:color="auto"/>
      </w:divBdr>
    </w:div>
    <w:div w:id="2024706032">
      <w:marLeft w:val="0"/>
      <w:marRight w:val="0"/>
      <w:marTop w:val="0"/>
      <w:marBottom w:val="0"/>
      <w:divBdr>
        <w:top w:val="none" w:sz="0" w:space="0" w:color="auto"/>
        <w:left w:val="none" w:sz="0" w:space="0" w:color="auto"/>
        <w:bottom w:val="none" w:sz="0" w:space="0" w:color="auto"/>
        <w:right w:val="none" w:sz="0" w:space="0" w:color="auto"/>
      </w:divBdr>
      <w:divsChild>
        <w:div w:id="2024703039">
          <w:marLeft w:val="1166"/>
          <w:marRight w:val="0"/>
          <w:marTop w:val="106"/>
          <w:marBottom w:val="0"/>
          <w:divBdr>
            <w:top w:val="none" w:sz="0" w:space="0" w:color="auto"/>
            <w:left w:val="none" w:sz="0" w:space="0" w:color="auto"/>
            <w:bottom w:val="none" w:sz="0" w:space="0" w:color="auto"/>
            <w:right w:val="none" w:sz="0" w:space="0" w:color="auto"/>
          </w:divBdr>
        </w:div>
        <w:div w:id="2024703649">
          <w:marLeft w:val="1166"/>
          <w:marRight w:val="0"/>
          <w:marTop w:val="106"/>
          <w:marBottom w:val="0"/>
          <w:divBdr>
            <w:top w:val="none" w:sz="0" w:space="0" w:color="auto"/>
            <w:left w:val="none" w:sz="0" w:space="0" w:color="auto"/>
            <w:bottom w:val="none" w:sz="0" w:space="0" w:color="auto"/>
            <w:right w:val="none" w:sz="0" w:space="0" w:color="auto"/>
          </w:divBdr>
        </w:div>
      </w:divsChild>
    </w:div>
    <w:div w:id="2024706134">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3.xml"/><Relationship Id="rId18" Type="http://schemas.openxmlformats.org/officeDocument/2006/relationships/image" Target="media/image6.emf"/><Relationship Id="rId26" Type="http://schemas.openxmlformats.org/officeDocument/2006/relationships/image" Target="media/image14.png"/><Relationship Id="rId39" Type="http://schemas.openxmlformats.org/officeDocument/2006/relationships/image" Target="media/image25.emf"/><Relationship Id="rId3" Type="http://schemas.microsoft.com/office/2007/relationships/stylesWithEffects" Target="stylesWithEffects.xml"/><Relationship Id="rId21" Type="http://schemas.openxmlformats.org/officeDocument/2006/relationships/image" Target="media/image9.png"/><Relationship Id="rId34" Type="http://schemas.openxmlformats.org/officeDocument/2006/relationships/image" Target="media/image20.png"/><Relationship Id="rId42" Type="http://schemas.openxmlformats.org/officeDocument/2006/relationships/hyperlink" Target="http://www.deloitte.com/cz/onas" TargetMode="Externa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5.emf"/><Relationship Id="rId25" Type="http://schemas.openxmlformats.org/officeDocument/2006/relationships/image" Target="media/image13.emf"/><Relationship Id="rId33" Type="http://schemas.openxmlformats.org/officeDocument/2006/relationships/footer" Target="footer4.xml"/><Relationship Id="rId38" Type="http://schemas.openxmlformats.org/officeDocument/2006/relationships/image" Target="media/image24.emf"/><Relationship Id="rId2" Type="http://schemas.openxmlformats.org/officeDocument/2006/relationships/styles" Target="styles.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41" Type="http://schemas.openxmlformats.org/officeDocument/2006/relationships/image" Target="media/image27.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2.emf"/><Relationship Id="rId32" Type="http://schemas.openxmlformats.org/officeDocument/2006/relationships/footer" Target="footer3.xml"/><Relationship Id="rId37" Type="http://schemas.openxmlformats.org/officeDocument/2006/relationships/image" Target="media/image23.png"/><Relationship Id="rId40" Type="http://schemas.openxmlformats.org/officeDocument/2006/relationships/image" Target="media/image26.jpeg"/><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image" Target="media/image11.emf"/><Relationship Id="rId28" Type="http://schemas.openxmlformats.org/officeDocument/2006/relationships/image" Target="media/image16.png"/><Relationship Id="rId36" Type="http://schemas.openxmlformats.org/officeDocument/2006/relationships/image" Target="media/image22.png"/><Relationship Id="rId10" Type="http://schemas.openxmlformats.org/officeDocument/2006/relationships/footer" Target="footer1.xml"/><Relationship Id="rId19" Type="http://schemas.openxmlformats.org/officeDocument/2006/relationships/image" Target="media/image7.emf"/><Relationship Id="rId31" Type="http://schemas.openxmlformats.org/officeDocument/2006/relationships/image" Target="media/image19.pn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3.emf"/><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emf"/><Relationship Id="rId35" Type="http://schemas.openxmlformats.org/officeDocument/2006/relationships/image" Target="media/image21.png"/><Relationship Id="rId43" Type="http://schemas.openxmlformats.org/officeDocument/2006/relationships/hyperlink" Target="http://www.deloitte.com/cz/onas"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135</Pages>
  <Words>57172</Words>
  <Characters>321679</Characters>
  <Application>Microsoft Office Word</Application>
  <DocSecurity>0</DocSecurity>
  <Lines>2680</Lines>
  <Paragraphs>756</Paragraphs>
  <ScaleCrop>false</ScaleCrop>
  <HeadingPairs>
    <vt:vector size="2" baseType="variant">
      <vt:variant>
        <vt:lpstr>Název</vt:lpstr>
      </vt:variant>
      <vt:variant>
        <vt:i4>1</vt:i4>
      </vt:variant>
    </vt:vector>
  </HeadingPairs>
  <TitlesOfParts>
    <vt:vector size="1" baseType="lpstr">
      <vt:lpstr/>
    </vt:vector>
  </TitlesOfParts>
  <LinksUpToDate>false</LinksUpToDate>
  <CharactersWithSpaces>378095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2015-07-30T13:38:00Z</dcterms:created>
  <dcterms:modified xsi:type="dcterms:W3CDTF">2015-07-30T13:38:00Z</dcterms:modified>
</cp:coreProperties>
</file>